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1960" w:hanging="3912"/>
        <w:spacing w:after="0" w:line="305" w:lineRule="auto"/>
        <w:tabs>
          <w:tab w:leader="none" w:pos="50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ind w:left="500" w:hanging="492"/>
        <w:spacing w:after="0" w:line="199" w:lineRule="auto"/>
        <w:tabs>
          <w:tab w:leader="none" w:pos="500" w:val="left"/>
        </w:tabs>
        <w:numPr>
          <w:ilvl w:val="0"/>
          <w:numId w:val="2"/>
        </w:numPr>
        <w:rPr>
          <w:rFonts w:ascii="MS PGothic" w:cs="MS PGothic" w:eastAsia="MS PGothic" w:hAnsi="MS PGothic"/>
          <w:sz w:val="8"/>
          <w:szCs w:val="8"/>
          <w:color w:val="auto"/>
          <w:highlight w:val="black"/>
        </w:rPr>
      </w:pPr>
      <w:r>
        <w:rPr>
          <w:rFonts w:ascii="Arial" w:cs="Arial" w:eastAsia="Arial" w:hAnsi="Arial"/>
          <w:sz w:val="8"/>
          <w:szCs w:val="8"/>
          <w:b w:val="1"/>
          <w:bCs w:val="1"/>
          <w:color w:val="auto"/>
        </w:rPr>
        <w:t>TRANSITION REPORT PURSUANT TO SECTION 13 OR 15(d) OF THE SECURITIES EXCHANGE ACT OF 1934 FOR THE</w:t>
      </w:r>
    </w:p>
    <w:p>
      <w:pPr>
        <w:spacing w:after="0" w:line="203" w:lineRule="exact"/>
        <w:rPr>
          <w:sz w:val="24"/>
          <w:szCs w:val="24"/>
          <w:color w:val="auto"/>
        </w:rPr>
      </w:pPr>
    </w:p>
    <w:p>
      <w:pPr>
        <w:ind w:left="500"/>
        <w:spacing w:after="0"/>
        <w:tabs>
          <w:tab w:leader="none" w:pos="39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tbl>
      <w:tblPr>
        <w:tblLayout w:type="fixed"/>
        <w:tblInd w:w="1780" w:type="dxa"/>
        <w:tblCellMar>
          <w:top w:w="0" w:type="dxa"/>
          <w:left w:w="0" w:type="dxa"/>
          <w:bottom w:w="0" w:type="dxa"/>
          <w:right w:w="0" w:type="dxa"/>
        </w:tblCellMar>
      </w:tblPr>
      <w:tr>
        <w:trPr>
          <w:trHeight w:val="520"/>
        </w:trPr>
        <w:tc>
          <w:tcPr>
            <w:tcW w:w="5920" w:type="dxa"/>
            <w:vAlign w:val="bottom"/>
            <w:gridSpan w:val="3"/>
          </w:tcPr>
          <w:p>
            <w:pPr>
              <w:jc w:val="center"/>
              <w:ind w:left="1692"/>
              <w:spacing w:after="0"/>
              <w:rPr>
                <w:sz w:val="20"/>
                <w:szCs w:val="20"/>
                <w:color w:val="auto"/>
              </w:rPr>
            </w:pPr>
            <w:r>
              <w:rPr>
                <w:rFonts w:ascii="Arial" w:cs="Arial" w:eastAsia="Arial" w:hAnsi="Arial"/>
                <w:sz w:val="43"/>
                <w:szCs w:val="43"/>
                <w:b w:val="1"/>
                <w:bCs w:val="1"/>
                <w:color w:val="auto"/>
              </w:rPr>
              <w:t>SYNLOGIC, INC.</w:t>
            </w:r>
          </w:p>
        </w:tc>
        <w:tc>
          <w:tcPr>
            <w:tcW w:w="1220" w:type="dxa"/>
            <w:vAlign w:val="bottom"/>
          </w:tcPr>
          <w:p>
            <w:pPr>
              <w:spacing w:after="0"/>
              <w:rPr>
                <w:sz w:val="24"/>
                <w:szCs w:val="24"/>
                <w:color w:val="auto"/>
              </w:rPr>
            </w:pPr>
          </w:p>
        </w:tc>
      </w:tr>
      <w:tr>
        <w:trPr>
          <w:trHeight w:val="186"/>
        </w:trPr>
        <w:tc>
          <w:tcPr>
            <w:tcW w:w="5920" w:type="dxa"/>
            <w:vAlign w:val="bottom"/>
            <w:gridSpan w:val="3"/>
          </w:tcPr>
          <w:p>
            <w:pPr>
              <w:jc w:val="center"/>
              <w:ind w:left="169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220" w:type="dxa"/>
            <w:vAlign w:val="bottom"/>
          </w:tcPr>
          <w:p>
            <w:pPr>
              <w:spacing w:after="0"/>
              <w:rPr>
                <w:sz w:val="16"/>
                <w:szCs w:val="16"/>
                <w:color w:val="auto"/>
              </w:rPr>
            </w:pPr>
          </w:p>
        </w:tc>
      </w:tr>
      <w:tr>
        <w:trPr>
          <w:trHeight w:val="66"/>
        </w:trPr>
        <w:tc>
          <w:tcPr>
            <w:tcW w:w="272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45"/>
        </w:trPr>
        <w:tc>
          <w:tcPr>
            <w:tcW w:w="592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30"/>
              <w:spacing w:after="0"/>
              <w:rPr>
                <w:sz w:val="20"/>
                <w:szCs w:val="20"/>
                <w:color w:val="auto"/>
              </w:rPr>
            </w:pPr>
            <w:r>
              <w:rPr>
                <w:rFonts w:ascii="Arial" w:cs="Arial" w:eastAsia="Arial" w:hAnsi="Arial"/>
                <w:sz w:val="16"/>
                <w:szCs w:val="16"/>
                <w:b w:val="1"/>
                <w:bCs w:val="1"/>
                <w:color w:val="auto"/>
              </w:rPr>
              <w:t>26-1824804</w:t>
            </w:r>
          </w:p>
        </w:tc>
      </w:tr>
      <w:tr>
        <w:trPr>
          <w:trHeight w:val="135"/>
        </w:trPr>
        <w:tc>
          <w:tcPr>
            <w:tcW w:w="5920" w:type="dxa"/>
            <w:vAlign w:val="bottom"/>
            <w:gridSpan w:val="3"/>
          </w:tcPr>
          <w:p>
            <w:pPr>
              <w:jc w:val="center"/>
              <w:ind w:right="386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220" w:type="dxa"/>
            <w:vAlign w:val="bottom"/>
          </w:tcPr>
          <w:p>
            <w:pPr>
              <w:jc w:val="center"/>
              <w:ind w:left="1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5920" w:type="dxa"/>
            <w:vAlign w:val="bottom"/>
            <w:gridSpan w:val="3"/>
          </w:tcPr>
          <w:p>
            <w:pPr>
              <w:jc w:val="center"/>
              <w:ind w:right="3840"/>
              <w:spacing w:after="0"/>
              <w:rPr>
                <w:sz w:val="20"/>
                <w:szCs w:val="20"/>
                <w:color w:val="auto"/>
              </w:rPr>
            </w:pPr>
            <w:r>
              <w:rPr>
                <w:rFonts w:ascii="Arial" w:cs="Arial" w:eastAsia="Arial" w:hAnsi="Arial"/>
                <w:sz w:val="13"/>
                <w:szCs w:val="13"/>
                <w:b w:val="1"/>
                <w:bCs w:val="1"/>
                <w:color w:val="auto"/>
                <w:w w:val="88"/>
              </w:rPr>
              <w:t>incorporation or organization)</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89"/>
              </w:rPr>
              <w:t>Identification No.)</w:t>
            </w:r>
          </w:p>
        </w:tc>
      </w:tr>
      <w:tr>
        <w:trPr>
          <w:trHeight w:val="245"/>
        </w:trPr>
        <w:tc>
          <w:tcPr>
            <w:tcW w:w="5920" w:type="dxa"/>
            <w:vAlign w:val="bottom"/>
            <w:gridSpan w:val="3"/>
          </w:tcPr>
          <w:p>
            <w:pPr>
              <w:jc w:val="center"/>
              <w:ind w:right="3840"/>
              <w:spacing w:after="0"/>
              <w:rPr>
                <w:sz w:val="20"/>
                <w:szCs w:val="20"/>
                <w:color w:val="auto"/>
              </w:rPr>
            </w:pPr>
            <w:r>
              <w:rPr>
                <w:rFonts w:ascii="Arial" w:cs="Arial" w:eastAsia="Arial" w:hAnsi="Arial"/>
                <w:sz w:val="16"/>
                <w:szCs w:val="16"/>
                <w:b w:val="1"/>
                <w:bCs w:val="1"/>
                <w:color w:val="auto"/>
                <w:w w:val="91"/>
              </w:rPr>
              <w:t>301 Binney St., Suite 402</w:t>
            </w:r>
          </w:p>
        </w:tc>
        <w:tc>
          <w:tcPr>
            <w:tcW w:w="1220" w:type="dxa"/>
            <w:vAlign w:val="bottom"/>
          </w:tcPr>
          <w:p>
            <w:pPr>
              <w:spacing w:after="0"/>
              <w:rPr>
                <w:sz w:val="21"/>
                <w:szCs w:val="21"/>
                <w:color w:val="auto"/>
              </w:rPr>
            </w:pPr>
          </w:p>
        </w:tc>
      </w:tr>
      <w:tr>
        <w:trPr>
          <w:trHeight w:val="212"/>
        </w:trPr>
        <w:tc>
          <w:tcPr>
            <w:tcW w:w="592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7"/>
              </w:rPr>
              <w:t>Cambridge, MA</w:t>
            </w:r>
          </w:p>
        </w:tc>
        <w:tc>
          <w:tcPr>
            <w:tcW w:w="1220" w:type="dxa"/>
            <w:vAlign w:val="bottom"/>
          </w:tcPr>
          <w:p>
            <w:pPr>
              <w:jc w:val="right"/>
              <w:ind w:right="210"/>
              <w:spacing w:after="0"/>
              <w:rPr>
                <w:sz w:val="20"/>
                <w:szCs w:val="20"/>
                <w:color w:val="auto"/>
              </w:rPr>
            </w:pPr>
            <w:r>
              <w:rPr>
                <w:rFonts w:ascii="Arial" w:cs="Arial" w:eastAsia="Arial" w:hAnsi="Arial"/>
                <w:sz w:val="16"/>
                <w:szCs w:val="16"/>
                <w:b w:val="1"/>
                <w:bCs w:val="1"/>
                <w:color w:val="auto"/>
              </w:rPr>
              <w:t>02142</w:t>
            </w:r>
          </w:p>
        </w:tc>
      </w:tr>
      <w:tr>
        <w:trPr>
          <w:trHeight w:val="164"/>
        </w:trPr>
        <w:tc>
          <w:tcPr>
            <w:tcW w:w="5920" w:type="dxa"/>
            <w:vAlign w:val="bottom"/>
            <w:gridSpan w:val="3"/>
          </w:tcPr>
          <w:p>
            <w:pPr>
              <w:jc w:val="center"/>
              <w:ind w:right="384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(Zip Code)</w:t>
            </w:r>
          </w:p>
        </w:tc>
      </w:tr>
      <w:tr>
        <w:trPr>
          <w:trHeight w:val="239"/>
        </w:trPr>
        <w:tc>
          <w:tcPr>
            <w:tcW w:w="4960" w:type="dxa"/>
            <w:vAlign w:val="bottom"/>
            <w:gridSpan w:val="2"/>
          </w:tcPr>
          <w:p>
            <w:pPr>
              <w:jc w:val="center"/>
              <w:ind w:left="2652"/>
              <w:spacing w:after="0"/>
              <w:rPr>
                <w:sz w:val="20"/>
                <w:szCs w:val="20"/>
                <w:color w:val="auto"/>
              </w:rPr>
            </w:pPr>
            <w:r>
              <w:rPr>
                <w:rFonts w:ascii="Arial" w:cs="Arial" w:eastAsia="Arial" w:hAnsi="Arial"/>
                <w:sz w:val="16"/>
                <w:szCs w:val="16"/>
                <w:b w:val="1"/>
                <w:bCs w:val="1"/>
                <w:color w:val="auto"/>
                <w:w w:val="93"/>
              </w:rPr>
              <w:t>(617) 401-9975</w:t>
            </w: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5920" w:type="dxa"/>
            <w:vAlign w:val="bottom"/>
            <w:gridSpan w:val="3"/>
          </w:tcPr>
          <w:p>
            <w:pPr>
              <w:jc w:val="center"/>
              <w:ind w:left="1692"/>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220" w:type="dxa"/>
            <w:vAlign w:val="bottom"/>
          </w:tcPr>
          <w:p>
            <w:pPr>
              <w:spacing w:after="0"/>
              <w:rPr>
                <w:sz w:val="22"/>
                <w:szCs w:val="22"/>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460" w:type="dxa"/>
            <w:vAlign w:val="bottom"/>
            <w:tcBorders>
              <w:top w:val="single" w:sz="8" w:color="auto"/>
              <w:left w:val="single" w:sz="8" w:color="auto"/>
              <w:bottom w:val="single" w:sz="8" w:color="auto"/>
            </w:tcBorders>
          </w:tcPr>
          <w:p>
            <w:pPr>
              <w:jc w:val="center"/>
              <w:ind w:left="221"/>
              <w:spacing w:after="0"/>
              <w:rPr>
                <w:sz w:val="20"/>
                <w:szCs w:val="20"/>
                <w:color w:val="auto"/>
              </w:rPr>
            </w:pPr>
            <w:r>
              <w:rPr>
                <w:rFonts w:ascii="Arial" w:cs="Arial" w:eastAsia="Arial" w:hAnsi="Arial"/>
                <w:sz w:val="16"/>
                <w:szCs w:val="16"/>
                <w:color w:val="auto"/>
                <w:w w:val="90"/>
              </w:rPr>
              <w:t>Title of each class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2"/>
          </w:tcPr>
          <w:p>
            <w:pPr>
              <w:jc w:val="center"/>
              <w:ind w:right="540"/>
              <w:spacing w:after="0"/>
              <w:rPr>
                <w:sz w:val="20"/>
                <w:szCs w:val="20"/>
                <w:color w:val="auto"/>
              </w:rPr>
            </w:pPr>
            <w:r>
              <w:rPr>
                <w:rFonts w:ascii="Arial" w:cs="Arial" w:eastAsia="Arial" w:hAnsi="Arial"/>
                <w:sz w:val="16"/>
                <w:szCs w:val="16"/>
                <w:color w:val="auto"/>
                <w:w w:val="94"/>
              </w:rPr>
              <w:t>Trading Symbol</w:t>
            </w:r>
          </w:p>
        </w:tc>
        <w:tc>
          <w:tcPr>
            <w:tcW w:w="20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600" w:type="dxa"/>
            <w:vAlign w:val="bottom"/>
            <w:tcBorders>
              <w:top w:val="single" w:sz="8" w:color="auto"/>
              <w:bottom w:val="single" w:sz="8" w:color="auto"/>
              <w:right w:val="single" w:sz="8" w:color="auto"/>
            </w:tcBorders>
          </w:tcPr>
          <w:p>
            <w:pPr>
              <w:jc w:val="center"/>
              <w:ind w:right="61"/>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460" w:type="dxa"/>
            <w:vAlign w:val="bottom"/>
            <w:tcBorders>
              <w:left w:val="single" w:sz="8" w:color="auto"/>
              <w:bottom w:val="single" w:sz="8" w:color="auto"/>
            </w:tcBorders>
          </w:tcPr>
          <w:p>
            <w:pPr>
              <w:jc w:val="center"/>
              <w:ind w:left="221"/>
              <w:spacing w:after="0"/>
              <w:rPr>
                <w:sz w:val="20"/>
                <w:szCs w:val="20"/>
                <w:color w:val="auto"/>
              </w:rPr>
            </w:pPr>
            <w:r>
              <w:rPr>
                <w:rFonts w:ascii="Arial" w:cs="Arial" w:eastAsia="Arial" w:hAnsi="Arial"/>
                <w:sz w:val="16"/>
                <w:szCs w:val="16"/>
                <w:color w:val="auto"/>
                <w:w w:val="90"/>
              </w:rPr>
              <w:t>Common Stock, par value $0.001 per share</w:t>
            </w:r>
          </w:p>
        </w:tc>
        <w:tc>
          <w:tcPr>
            <w:tcW w:w="3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6"/>
                <w:szCs w:val="16"/>
                <w:color w:val="auto"/>
              </w:rPr>
              <w:t>SYBX</w:t>
            </w: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r>
        <w:trPr>
          <w:trHeight w:val="308"/>
        </w:trPr>
        <w:tc>
          <w:tcPr>
            <w:tcW w:w="3460" w:type="dxa"/>
            <w:vAlign w:val="bottom"/>
          </w:tcPr>
          <w:p>
            <w:pPr>
              <w:spacing w:after="0"/>
              <w:rPr>
                <w:sz w:val="24"/>
                <w:szCs w:val="24"/>
                <w:color w:val="auto"/>
              </w:rPr>
            </w:pPr>
          </w:p>
        </w:tc>
        <w:tc>
          <w:tcPr>
            <w:tcW w:w="4180" w:type="dxa"/>
            <w:vAlign w:val="bottom"/>
            <w:gridSpan w:val="6"/>
          </w:tcPr>
          <w:p>
            <w:pPr>
              <w:jc w:val="center"/>
              <w:ind w:left="5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None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00" w:type="dxa"/>
            <w:vAlign w:val="bottom"/>
            <w:gridSpan w:val="3"/>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3600" w:type="dxa"/>
            <w:vAlign w:val="bottom"/>
            <w:vMerge w:val="restart"/>
          </w:tcPr>
          <w:p>
            <w:pPr>
              <w:ind w:left="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8"/>
        </w:trPr>
        <w:tc>
          <w:tcPr>
            <w:tcW w:w="7300" w:type="dxa"/>
            <w:vAlign w:val="bottom"/>
            <w:gridSpan w:val="5"/>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340" w:type="dxa"/>
            <w:vAlign w:val="bottom"/>
            <w:gridSpan w:val="2"/>
          </w:tcPr>
          <w:p>
            <w:pPr>
              <w:ind w:left="40"/>
              <w:spacing w:after="0"/>
              <w:rPr>
                <w:sz w:val="20"/>
                <w:szCs w:val="20"/>
                <w:color w:val="auto"/>
              </w:rPr>
            </w:pPr>
            <w:r>
              <w:rPr>
                <w:rFonts w:ascii="Arial" w:cs="Arial" w:eastAsia="Arial" w:hAnsi="Arial"/>
                <w:sz w:val="15"/>
                <w:szCs w:val="15"/>
                <w:color w:val="auto"/>
                <w:w w:val="93"/>
              </w:rPr>
              <w:t>YES</w:t>
            </w:r>
          </w:p>
        </w:tc>
        <w:tc>
          <w:tcPr>
            <w:tcW w:w="3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300" w:type="dxa"/>
            <w:vAlign w:val="bottom"/>
            <w:gridSpan w:val="5"/>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340" w:type="dxa"/>
            <w:vAlign w:val="bottom"/>
            <w:gridSpan w:val="2"/>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3600" w:type="dxa"/>
            <w:vAlign w:val="bottom"/>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3" w:lineRule="exact"/>
        <w:rPr>
          <w:sz w:val="24"/>
          <w:szCs w:val="24"/>
          <w:color w:val="auto"/>
        </w:rPr>
      </w:pPr>
    </w:p>
    <w:p>
      <w:pPr>
        <w:spacing w:after="0" w:line="173" w:lineRule="exact"/>
        <w:tabs>
          <w:tab w:leader="none" w:pos="10100" w:val="left"/>
          <w:tab w:leader="none" w:pos="10760" w:val="left"/>
        </w:tabs>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37" w:lineRule="exact"/>
        <w:rPr>
          <w:sz w:val="24"/>
          <w:szCs w:val="24"/>
          <w:color w:val="auto"/>
        </w:rPr>
      </w:pPr>
    </w:p>
    <w:p>
      <w:pPr>
        <w:ind w:right="18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right="80"/>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Small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6" w:lineRule="exact"/>
        <w:rPr>
          <w:sz w:val="24"/>
          <w:szCs w:val="24"/>
          <w:color w:val="auto"/>
        </w:rPr>
      </w:pPr>
    </w:p>
    <w:p>
      <w:pPr>
        <w:ind w:right="6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tabs>
          <w:tab w:leader="none" w:pos="7080" w:val="left"/>
          <w:tab w:leader="none" w:pos="7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3" w:lineRule="exact"/>
        <w:rPr>
          <w:sz w:val="24"/>
          <w:szCs w:val="24"/>
          <w:color w:val="auto"/>
        </w:rPr>
      </w:pPr>
    </w:p>
    <w:p>
      <w:pPr>
        <w:ind w:right="420"/>
        <w:spacing w:after="0" w:line="247" w:lineRule="auto"/>
        <w:rPr>
          <w:sz w:val="20"/>
          <w:szCs w:val="20"/>
          <w:color w:val="auto"/>
        </w:rPr>
      </w:pPr>
      <w:r>
        <w:rPr>
          <w:rFonts w:ascii="Arial" w:cs="Arial" w:eastAsia="Arial" w:hAnsi="Arial"/>
          <w:sz w:val="15"/>
          <w:szCs w:val="15"/>
          <w:color w:val="auto"/>
        </w:rPr>
        <w:t>The aggregate market value of common stock held by non-affiliates of the registrant as of June 30, 2020, the last business day of the registrant’s most recently completed second quarter, was $38.0 million, computed based on the closing price of $2.03 per share on June 30, 2020.</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As of March 18, 2021 there were 39,657,841 shares of the registrant’s common stock, par value $0.001 per share, outstanding.</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0" w:lineRule="exact"/>
        <w:rPr>
          <w:sz w:val="24"/>
          <w:szCs w:val="24"/>
          <w:color w:val="auto"/>
        </w:rPr>
      </w:pPr>
    </w:p>
    <w:p>
      <w:pPr>
        <w:jc w:val="both"/>
        <w:ind w:right="100"/>
        <w:spacing w:after="0"/>
        <w:rPr>
          <w:sz w:val="20"/>
          <w:szCs w:val="20"/>
          <w:color w:val="auto"/>
        </w:rPr>
      </w:pPr>
      <w:r>
        <w:rPr>
          <w:rFonts w:ascii="Arial" w:cs="Arial" w:eastAsia="Arial" w:hAnsi="Arial"/>
          <w:sz w:val="15"/>
          <w:szCs w:val="15"/>
          <w:color w:val="auto"/>
        </w:rPr>
        <w:t>The following documents (or parts thereof) are incorporated by reference into the following parts of this Form 10-K: Certain information required in Part III of this Annual Report on Form 10-K is incorporated from the registrant’s definitive proxy statement for the 2021 annual meeting of stockholders to be filed pursuant to Regulation 14A with the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8"/>
          </w:tcPr>
          <w:p>
            <w:pPr>
              <w:ind w:left="60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2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42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4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40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940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3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Legal Proceedings</w:t>
              </w:r>
            </w:hyperlink>
          </w:p>
        </w:tc>
        <w:tc>
          <w:tcPr>
            <w:tcW w:w="806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40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45"/>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66">
              <w:r>
                <w:rPr>
                  <w:rFonts w:ascii="Arial" w:cs="Arial" w:eastAsia="Arial" w:hAnsi="Arial"/>
                  <w:sz w:val="18"/>
                  <w:szCs w:val="18"/>
                  <w:b w:val="1"/>
                  <w:bCs w:val="1"/>
                  <w:color w:val="0000EE"/>
                  <w:w w:val="99"/>
                </w:rPr>
                <w:t>PART II</w:t>
              </w:r>
            </w:hyperlink>
          </w:p>
        </w:tc>
        <w:tc>
          <w:tcPr>
            <w:tcW w:w="36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Market for Registrant’s Common Equity, Related Stockholder Matters and Issuer Purchases of Equity Securities</w:t>
              </w:r>
            </w:hyperlink>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940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Selected Financial Data</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Management’s Discussion and Analysis of Financial Condition and Results of Operations</w:t>
              </w:r>
            </w:hyperlink>
          </w:p>
        </w:tc>
        <w:tc>
          <w:tcPr>
            <w:tcW w:w="294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Quantitative and Qualitative Disclosures About Market Risk</w:t>
              </w:r>
            </w:hyperlink>
          </w:p>
        </w:tc>
        <w:tc>
          <w:tcPr>
            <w:tcW w:w="5040" w:type="dxa"/>
            <w:vAlign w:val="bottom"/>
            <w:gridSpan w:val="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400" w:type="dxa"/>
            <w:vAlign w:val="bottom"/>
            <w:gridSpan w:val="2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Financial Statements and Supplementary Data</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400" w:type="dxa"/>
            <w:vAlign w:val="bottom"/>
            <w:gridSpan w:val="2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290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764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4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Directors, Executive Officers and Corporate Governance</w:t>
              </w:r>
            </w:hyperlink>
          </w:p>
        </w:tc>
        <w:tc>
          <w:tcPr>
            <w:tcW w:w="53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940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Security Ownership of Certain Beneficial Owners and Management and Related Stockholder Matters</w:t>
              </w:r>
            </w:hyperlink>
          </w:p>
        </w:tc>
        <w:tc>
          <w:tcPr>
            <w:tcW w:w="21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Certain Relationships and Related Transactions, and Director Independence</w:t>
              </w:r>
            </w:hyperlink>
          </w:p>
        </w:tc>
        <w:tc>
          <w:tcPr>
            <w:tcW w:w="394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940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45"/>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82">
              <w:r>
                <w:rPr>
                  <w:rFonts w:ascii="Arial" w:cs="Arial" w:eastAsia="Arial" w:hAnsi="Arial"/>
                  <w:sz w:val="18"/>
                  <w:szCs w:val="18"/>
                  <w:b w:val="1"/>
                  <w:bCs w:val="1"/>
                  <w:color w:val="0000EE"/>
                  <w:w w:val="98"/>
                </w:rPr>
                <w:t>PART IV</w:t>
              </w:r>
            </w:hyperlink>
          </w:p>
        </w:tc>
        <w:tc>
          <w:tcPr>
            <w:tcW w:w="3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Exhibits, Financial Statement Schedules</w:t>
              </w:r>
            </w:hyperlink>
          </w:p>
        </w:tc>
        <w:tc>
          <w:tcPr>
            <w:tcW w:w="6500" w:type="dxa"/>
            <w:vAlign w:val="bottom"/>
            <w:gridSpan w:val="9"/>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02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9400" w:type="dxa"/>
            <w:vAlign w:val="bottom"/>
            <w:gridSpan w:val="21"/>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53"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7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firstLine="510"/>
        <w:spacing w:after="0" w:line="254" w:lineRule="auto"/>
        <w:rPr>
          <w:sz w:val="20"/>
          <w:szCs w:val="20"/>
          <w:color w:val="auto"/>
        </w:rPr>
      </w:pPr>
      <w:r>
        <w:rPr>
          <w:rFonts w:ascii="Arial" w:cs="Arial" w:eastAsia="Arial" w:hAnsi="Arial"/>
          <w:sz w:val="18"/>
          <w:szCs w:val="18"/>
          <w:color w:val="auto"/>
        </w:rPr>
        <w:t>We are a clinical-stage biopharmaceutical company focused on the discovery and development of Synthetic Biotic™ medicines. Synthetic Biotic medicines are generated from Synlogic’s proprietary drug discovery and development platform, using Synthetic Biology and leveraging a reproducible, modular approach to develop beneficial microbes that perform or deliver critical therapeutic functions. Synthetic Biotic medicines are designed to metabolize a toxic substance, compensate for missing or damaged metabolic pathways, or deliver combinations of therapeutic factors. Our goal is to discover, develop, and ultimately commercialize Synthetic Biotic medicines. Synlogic’s proprietary pipeline includes Synthetic Biotic medicines for the treatment of metabolic disorders including Phenylketonuria (PKU) and Enteric Hyperoxaluria. We are also building a portfolio of partner-able assets in immunology and oncology.</w:t>
      </w:r>
    </w:p>
    <w:p>
      <w:pPr>
        <w:spacing w:after="0" w:line="195"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are supported by our Board of Directors and our scientific advisory board, each of which offers complementary experience in drug discovery and development, as well as expertise in building public companies, management, and business development. Our founding science came from the laboratories of Professors James Collins and Timothy Lu from the Massachusetts Institute of Technology (MIT), who remain highly engaged in guiding development and application of our platform.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 Metabolic Disease</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Phenylketonuria</w:t>
      </w:r>
    </w:p>
    <w:p>
      <w:pPr>
        <w:spacing w:after="0" w:line="12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most advanced product candidate is SYNB1618, an oral therapy intended for the treatment of PKU, a rare metabolic disease in which an amino acid known as phenylalanine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U.S. Food and Drug Administration (FDA).</w:t>
      </w:r>
    </w:p>
    <w:p>
      <w:pPr>
        <w:spacing w:after="0" w:line="8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initiated a Phase 2 clinical trial with SYNB1618 in the third quarter of 2020. The Phase 2 trial, referred to as the SynPheny-1 Study, is designed to evaluate safety and tolerability of a solid formulation of SYNB1618 as well as its potential to lower blood Phe levels in adult PKU patients. The SynPheny-1 Study is designed to be flexible, with subjects physically coming to the clinic or participating from the patient's home utilizing home healthcare services.</w:t>
      </w:r>
    </w:p>
    <w:p>
      <w:pPr>
        <w:spacing w:after="0" w:line="18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Following the study using the liquid formulation, we developed a lyophilized formulation of SYNB1618. We have evaluated this lyophilized formulation in a bridging study in healthy volunteers. The study of this more patient- and commercialization-appropriate presentation of SYNB1618 demonstrated activity and improved tolerability over the early liquid formulation.</w:t>
      </w:r>
    </w:p>
    <w:p>
      <w:pPr>
        <w:spacing w:after="0" w:line="53"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SYNB1618 is a member of a family of SYNB strains that consume Phe. We have additional Phe consuming strains for PKU in preclinical development, including SYNB1934.</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Enteric Hyperoxaluria</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Enteric Hyperoxaluria is an acquired metabolic disorder. Enteric Hyperoxaluria is caused by increased absorption of dietary oxalate, which is present in many healthy foods such as leafy greens, nuts, and chocolate, making it difficult to control with dietary interventions.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 kidney stone formation, and nephrocalcinosis. There are no approved treatments.</w:t>
      </w:r>
    </w:p>
    <w:p>
      <w:pPr>
        <w:spacing w:after="0" w:line="80"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In May 2020, we announced the nomination of a clinical candidate for Enteric Hyperoxaluria, SYNB8802. We initiated a Phase 1 clinical trial of SYNB8802 in the fourth quarter of 2020. This study will assess the safety, tolerability and kinetics of SYNB8802 as well as the effect SYNB8802 has on changes in plasma and urine biomarkers of strain activity, and the potential to reduce urinary oxalate. The study has two parts: Part A is a multiple ascending dose study in healthy volunteers in whom we will induce temporary hyperoxaluria via diet; Part B is a placebo controlled, cross-over design study in patients with Enteric Hyperoxaluria following Roux-n-Y gastric bypass surgery.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Other Metabolic Programs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are advancing a portfolio of investigational Synthetic Biotic medicines for rare, niche, and common metabolic disorders which, similar to PKU and enteric hyperoxaluria, have a toxic metabolite found in the GI tract. We will disclose additional details on such programs as they move through preclinical development.</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Maple Syrup Urine Disease (MSUD) is an inherited, rare metabolic disease characterized by a deficiency of enzymes required to break down certain amino acids. We have been conducting studies to advance a pre-clinical candidate for MSUD. Prototype strains did not meet pre-specified criteria for candidate declaration. Therefore, we discontinued efforts in MSUD in the third quarter of 2020 to prioritize other metabolic disorders.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 Immunomodulation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We have also developed a portfolio of Synthetic Biotic medicines to treat certain cancers that are designed to modify the tumor microenvironment, activate the immune system and result in tumor reduction. These Synthetic Biotic medicines could be used in combination with other cancer therapies such as checkpoint inhibitors. Our first Synthetic Biotic clinical immuno-oncology (IO) candidate is SYNB1891, an intratumorally administered Synthetic Biotic medicine engineered to act as a dual innate and adaptive immune activator. SYNB1891 has been designed to activate the immune response in tumors via the </w:t>
      </w:r>
      <w:r>
        <w:rPr>
          <w:rFonts w:ascii="Arial" w:cs="Arial" w:eastAsia="Arial" w:hAnsi="Arial"/>
          <w:sz w:val="17"/>
          <w:szCs w:val="17"/>
          <w:i w:val="1"/>
          <w:iCs w:val="1"/>
          <w:color w:val="auto"/>
        </w:rPr>
        <w:t>E.coli</w:t>
      </w:r>
      <w:r>
        <w:rPr>
          <w:rFonts w:ascii="Arial" w:cs="Arial" w:eastAsia="Arial" w:hAnsi="Arial"/>
          <w:sz w:val="17"/>
          <w:szCs w:val="17"/>
          <w:color w:val="auto"/>
        </w:rPr>
        <w:t xml:space="preserve"> Nissle chassis and production of cyclic di-AMP, an activator of the Stimulator of Interferon Genes, also referred to as the STING pathway. The STING pathway plays a critical role in the initiation of an anti-tumor immune response. In January 2020, we treated the first subject in a Phase 1 clinical trial of SYNB1891 in patients with advanced solid tumors and lymphoma. The clinical trial is designed to identify a maximum tolerated dose (MTD) of SYNB1891 delivered as a monotherapy. Once an MTD is identified, we will evaluate treatment of patients with a combination of SYNB1891 and the checkpoint inhibitor atezolizumab (Tecentriq), provided through a supply agreement with Roche. Despite the COVID-19 pandemic, the Phase 1 clinical trial has remained open to both currently enrolled patients and for new patient enrollment. We released interim data from the ongoing monotherapy arm of this trial in December of 2020, which demonstrated target engagement and the production of biomarkers consistent with STING activation. In December of 2020, we also initiated the combination arm of the Phase 1 clinical trial. Additional data on this study may be shared at future medical meetings.</w:t>
      </w:r>
    </w:p>
    <w:p>
      <w:pPr>
        <w:spacing w:after="0" w:line="74"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b w:val="1"/>
          <w:bCs w:val="1"/>
          <w:color w:val="auto"/>
        </w:rPr>
        <w:t>Immunology</w:t>
      </w:r>
      <w:r>
        <w:rPr>
          <w:rFonts w:ascii="Arial" w:cs="Arial" w:eastAsia="Arial" w:hAnsi="Arial"/>
          <w:sz w:val="16"/>
          <w:szCs w:val="16"/>
          <w:color w:val="auto"/>
        </w:rPr>
        <w:t>We also leverage our proprietary technology platform to develop Synthetic Biotic medicines to treat a broader range of human</w:t>
      </w:r>
      <w:r>
        <w:rPr>
          <w:rFonts w:ascii="Arial" w:cs="Arial" w:eastAsia="Arial" w:hAnsi="Arial"/>
          <w:sz w:val="16"/>
          <w:szCs w:val="16"/>
          <w:b w:val="1"/>
          <w:bCs w:val="1"/>
          <w:color w:val="auto"/>
        </w:rPr>
        <w:t xml:space="preserve"> </w:t>
      </w:r>
      <w:r>
        <w:rPr>
          <w:rFonts w:ascii="Arial" w:cs="Arial" w:eastAsia="Arial" w:hAnsi="Arial"/>
          <w:sz w:val="16"/>
          <w:szCs w:val="16"/>
          <w:color w:val="auto"/>
        </w:rPr>
        <w:t>diseases. To achieve this goal, we collaborate with key disease experts who have developed robust models of relevant diseases and inform our translational medicine strategy. These collaborators bring complementary expertise in preclinical development, clinical development and commercialization. Inflammatory bowel disease (IBD) is an attractive target for our technology as Synthetic Biotic medicines can be designed to locally deliver combinations of complementary therapeutics to potentially address the unmet medical need for maintenance of disease remissions. In May 2020, we announced the termination of our collaboration with AbbVie S.à.r.l. (AbbVie) to develop Synthetic Biotic medicines for the treatment of types of inflammatory bowel diseases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 We may enter into additional strategic partnerships in the future to maximize the value of our programs and our Synthetic Biotic platform.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 w:name="page6"/>
    <w:bookmarkEnd w:id="5"/>
    <w:p>
      <w:pPr>
        <w:ind w:left="520"/>
        <w:spacing w:after="0"/>
        <w:rPr>
          <w:sz w:val="20"/>
          <w:szCs w:val="20"/>
          <w:color w:val="auto"/>
        </w:rPr>
      </w:pPr>
      <w:r>
        <w:rPr>
          <w:rFonts w:ascii="Arial" w:cs="Arial" w:eastAsia="Arial" w:hAnsi="Arial"/>
          <w:sz w:val="18"/>
          <w:szCs w:val="18"/>
          <w:color w:val="auto"/>
        </w:rPr>
        <w:t>Our pipeline of our programs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14605</wp:posOffset>
            </wp:positionV>
            <wp:extent cx="5648960" cy="2494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80" w:firstLine="749"/>
        <w:spacing w:after="0" w:line="259" w:lineRule="auto"/>
        <w:rPr>
          <w:sz w:val="20"/>
          <w:szCs w:val="20"/>
          <w:color w:val="auto"/>
        </w:rPr>
      </w:pPr>
      <w:r>
        <w:rPr>
          <w:rFonts w:ascii="Arial" w:cs="Arial" w:eastAsia="Arial" w:hAnsi="Arial"/>
          <w:sz w:val="18"/>
          <w:szCs w:val="18"/>
          <w:color w:val="auto"/>
        </w:rPr>
        <w:t>As we advance our lead programs, we continue to learn and improve our Synthetic Biotic platform, which will inform all future portfolio programs. Consequently, we believe we have a robust engine for building a sustainable pipeline of novel, Synthetic Biotic medicines across a range of diseases. Through the strength of our internal team and network of partners, we believe we can deliver on the promise of Synthetic Biotic medicines to improve the lives of patients with significant unmet medical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achieve our goal, we are pursuing the following key strategies:</w:t>
      </w:r>
    </w:p>
    <w:p>
      <w:pPr>
        <w:spacing w:after="0" w:line="333" w:lineRule="exact"/>
        <w:rPr>
          <w:sz w:val="20"/>
          <w:szCs w:val="20"/>
          <w:color w:val="auto"/>
        </w:rPr>
      </w:pPr>
    </w:p>
    <w:p>
      <w:pPr>
        <w:ind w:right="720"/>
        <w:spacing w:after="0" w:line="258" w:lineRule="auto"/>
        <w:rPr>
          <w:sz w:val="20"/>
          <w:szCs w:val="20"/>
          <w:color w:val="auto"/>
        </w:rPr>
      </w:pPr>
      <w:r>
        <w:rPr>
          <w:rFonts w:ascii="Arial" w:cs="Arial" w:eastAsia="Arial" w:hAnsi="Arial"/>
          <w:sz w:val="18"/>
          <w:szCs w:val="18"/>
          <w:b w:val="1"/>
          <w:bCs w:val="1"/>
          <w:i w:val="1"/>
          <w:iCs w:val="1"/>
          <w:color w:val="auto"/>
        </w:rPr>
        <w:t>Advance an internal portfolio of investigational Synthetic Biotic medicines that address rare or niche metabolic diseases by metabolizing toxic substances in the GI tract.</w:t>
      </w:r>
    </w:p>
    <w:p>
      <w:pPr>
        <w:spacing w:after="0" w:line="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b w:val="1"/>
          <w:bCs w:val="1"/>
          <w:i w:val="1"/>
          <w:iCs w:val="1"/>
          <w:color w:val="auto"/>
        </w:rPr>
        <w:t>Advance Clinical Development of SYNB1618 for PKU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initiated a Phase 2 clinical trial with SYNB1618 in the third quarter of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2 trial, referred to as the SynPheny-1 Study, is designed to evaluate safety and tolerability of a solid formulation of SYNB1618 as well as its potential to lower blood Phe levels in adult PKU patients.</w:t>
      </w:r>
    </w:p>
    <w:p>
      <w:pPr>
        <w:spacing w:after="0" w:line="19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In September 2019, we presented data from a Phase 1/2a clinical trial that demonstrated that an early liquid formulation of SYNB1618 was safe in healthy volunteers and patients with PKU and achieved proof-of-mechanism demonstrating that SYNB1618 is consuming Phe in the GI tract. In the second half of 2019, we initiated a bridging study in healthy volunteers to evaluate a new solid lyophilized formulation which provides a more commercially appropriate presentation of SYNB1618. The bridging study demonstrated improved tolerability of the lyophilized SYNB1618 over the early liquid formulation and enabled us to determine an MTD to take forward to test in patients.</w:t>
      </w:r>
    </w:p>
    <w:p>
      <w:pPr>
        <w:spacing w:after="0" w:line="8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 xml:space="preserve">Advance Clinical Development of SYNB8802 for Enteric Hyperoxaluria. </w:t>
      </w:r>
      <w:r>
        <w:rPr>
          <w:rFonts w:ascii="Arial" w:cs="Arial" w:eastAsia="Arial" w:hAnsi="Arial"/>
          <w:sz w:val="18"/>
          <w:szCs w:val="18"/>
          <w:color w:val="auto"/>
        </w:rPr>
        <w:t>In May 2020, we announced the nomination of a clinical candidate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Enteric Hyperoxaluria, SYNB8802. We initiated a Phase 1 clinical trial of SYNB8802 in the fourth quarter of 2020.</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SYNB8802 will be assessed for safety and tolerability, strain kinetics, changes in plasma and urine biomarkers of strain activity, and the potential to reduce urinary oxalate in the Phase 1 clinical study. The study has two parts: Part A is a multiple ascending dose study in healthy volunteers in whom we will induce temporary hyperoxaluria via diet; Part B is a placebo controlled, cross-over design study in patients with Enteric Hyperoxaluria following Roux-n-Y gastric bypass surgery.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right="380"/>
        <w:spacing w:after="0" w:line="277" w:lineRule="auto"/>
        <w:rPr>
          <w:sz w:val="20"/>
          <w:szCs w:val="20"/>
          <w:color w:val="auto"/>
        </w:rPr>
      </w:pPr>
      <w:r>
        <w:rPr>
          <w:rFonts w:ascii="Arial" w:cs="Arial" w:eastAsia="Arial" w:hAnsi="Arial"/>
          <w:sz w:val="18"/>
          <w:szCs w:val="18"/>
          <w:b w:val="1"/>
          <w:bCs w:val="1"/>
          <w:i w:val="1"/>
          <w:iCs w:val="1"/>
          <w:color w:val="auto"/>
        </w:rPr>
        <w:t>Create a portfolio of investigational Synthetic Biotic medicines that modulate the immune system, which we can then partner with third parties for further development.</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b w:val="1"/>
          <w:bCs w:val="1"/>
          <w:i w:val="1"/>
          <w:iCs w:val="1"/>
          <w:color w:val="auto"/>
        </w:rPr>
        <w:t xml:space="preserve">Advance Clinical Development of our First Immuno-Oncology program, SYNB1891. </w:t>
      </w:r>
      <w:r>
        <w:rPr>
          <w:rFonts w:ascii="Arial" w:cs="Arial" w:eastAsia="Arial" w:hAnsi="Arial"/>
          <w:sz w:val="18"/>
          <w:szCs w:val="18"/>
          <w:color w:val="auto"/>
        </w:rPr>
        <w:t>We initiated a Phase 1 clinical trial of our first IO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SYNB1891, in patients with advanced solid tumors and lymphoma and in January 2020 announced that we had treated the first subject. The first arm of the study is designed to evaluate SYNB1891 as a monotherapy and to establish an MTD which will inform dosing in the second arm in which SYNB1891 will be evaluated in combination with atezolizumab. We released interim data from the ongoing monotherapy arm of this trial in December of 2020 that demonstrated target engagement and the production of biomarkers consistent with STING activation. In December of 2020 we also initiated the combination arm of the Phase 1 clinical trial.</w:t>
      </w:r>
    </w:p>
    <w:p>
      <w:pPr>
        <w:spacing w:after="0" w:line="188" w:lineRule="exact"/>
        <w:rPr>
          <w:sz w:val="20"/>
          <w:szCs w:val="20"/>
          <w:color w:val="auto"/>
        </w:rPr>
      </w:pPr>
    </w:p>
    <w:p>
      <w:pPr>
        <w:ind w:right="440" w:firstLine="510"/>
        <w:spacing w:after="0" w:line="266" w:lineRule="auto"/>
        <w:rPr>
          <w:sz w:val="20"/>
          <w:szCs w:val="20"/>
          <w:color w:val="auto"/>
        </w:rPr>
      </w:pPr>
      <w:r>
        <w:rPr>
          <w:rFonts w:ascii="Arial" w:cs="Arial" w:eastAsia="Arial" w:hAnsi="Arial"/>
          <w:sz w:val="18"/>
          <w:szCs w:val="18"/>
          <w:b w:val="1"/>
          <w:bCs w:val="1"/>
          <w:i w:val="1"/>
          <w:iCs w:val="1"/>
          <w:color w:val="auto"/>
        </w:rPr>
        <w:t>Maximize the Value of the Synthetic Biotic Platform by Leveraging Strategic Collaborations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continue to explore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that would leverage the complementary capabilities of our partners to develop Synthetic Biotic medicines and maximize the value of our Synthetic Biotic platform.</w:t>
      </w:r>
    </w:p>
    <w:p>
      <w:pPr>
        <w:spacing w:after="0" w:line="3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Expand our Synthetic Biotic platform capabilities including expertise in synthetic biology, microbial and disease biology, process development and manufacturing, clinical and regulatory development.</w:t>
      </w:r>
    </w:p>
    <w:p>
      <w:pPr>
        <w:spacing w:after="0" w:line="170" w:lineRule="exact"/>
        <w:rPr>
          <w:sz w:val="20"/>
          <w:szCs w:val="20"/>
          <w:color w:val="auto"/>
        </w:rPr>
      </w:pPr>
    </w:p>
    <w:p>
      <w:pPr>
        <w:ind w:right="120" w:firstLine="510"/>
        <w:spacing w:after="0" w:line="305" w:lineRule="auto"/>
        <w:rPr>
          <w:sz w:val="20"/>
          <w:szCs w:val="20"/>
          <w:color w:val="auto"/>
        </w:rPr>
      </w:pPr>
      <w:r>
        <w:rPr>
          <w:rFonts w:ascii="Arial" w:cs="Arial" w:eastAsia="Arial" w:hAnsi="Arial"/>
          <w:sz w:val="16"/>
          <w:szCs w:val="16"/>
          <w:b w:val="1"/>
          <w:bCs w:val="1"/>
          <w:i w:val="1"/>
          <w:iCs w:val="1"/>
          <w:color w:val="auto"/>
        </w:rPr>
        <w:t xml:space="preserve">Support Clinical Pipeline Progress with Expanded Manufacturing and Formulation Capability. </w:t>
      </w:r>
      <w:r>
        <w:rPr>
          <w:rFonts w:ascii="Arial" w:cs="Arial" w:eastAsia="Arial" w:hAnsi="Arial"/>
          <w:sz w:val="16"/>
          <w:szCs w:val="16"/>
          <w:color w:val="auto"/>
        </w:rPr>
        <w:t>We have established internal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capabilities to produce both liquid and solid oral formulations of clinical trial material for mid-stage studies through entry into an agreement to lease good manufacturing practice (GMP) clean-room space in Waltham, Massachusetts. The clean-room facility provides an affordable and flexible option that maximizes control over our processes and timelines enabling us to move efficiently through clinical development. We continue to evaluate additional formulation and presentation options for later stage clinical studies and eventual commercialization of our Synthetic Biotic medicines.</w:t>
      </w:r>
    </w:p>
    <w:p>
      <w:pPr>
        <w:spacing w:after="0" w:line="15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b w:val="1"/>
          <w:bCs w:val="1"/>
          <w:i w:val="1"/>
          <w:iCs w:val="1"/>
          <w:color w:val="auto"/>
        </w:rPr>
        <w:t>Enhance our Synthetic Biotic Platform Capabilities to Expand our Pipeline of Synthetic Biotic Medicines</w:t>
      </w:r>
      <w:r>
        <w:rPr>
          <w:rFonts w:ascii="Arial" w:cs="Arial" w:eastAsia="Arial" w:hAnsi="Arial"/>
          <w:sz w:val="16"/>
          <w:szCs w:val="16"/>
          <w:color w:val="auto"/>
        </w:rPr>
        <w:t>. As a leader in the development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engineered non-pathogenic bacteria for therapeutic use, we intend to advance the field of Synthetic Biotic medicines by continuing to innovate and broaden the potential of our platform to deliver clinically meaningful benefits for patients. We intend to build on our expertise in design, optimization, and manufacturing to further develop the Synthetic Biotic platform as a reproducible and scalable engine for generating a pipeline of innovative product candidates that address a broad range of diseases. We established a technology collaboration with Ginkgo Bioworks, Inc. (Ginkgo) to enable the rapid optimization of Synthetic Biotic candidates. We will collaborate with other groups as appropriate to further develop our platform capabilities.</w:t>
      </w:r>
    </w:p>
    <w:p>
      <w:pPr>
        <w:spacing w:after="0" w:line="16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b w:val="1"/>
          <w:bCs w:val="1"/>
          <w:i w:val="1"/>
          <w:iCs w:val="1"/>
          <w:color w:val="auto"/>
        </w:rPr>
        <w:t>Protect and Leverage Our Intellectual Property Portfolio and Patents</w:t>
      </w:r>
      <w:r>
        <w:rPr>
          <w:rFonts w:ascii="Arial" w:cs="Arial" w:eastAsia="Arial" w:hAnsi="Arial"/>
          <w:sz w:val="18"/>
          <w:szCs w:val="18"/>
          <w:color w:val="auto"/>
        </w:rPr>
        <w:t>. We believe that we have a broad intellectual property portfolio that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patents and patent applications relevant to the engineering, development, manufacturing and formulation of human therapeutic products based on synthetic biology and the metabolic engineering of non-pathogenic bacteria. We intend to continue to protect and leverage our intellectual property assets by maintenance and expansion of our worldwide portfolio of intellectual property, including the pursuit of composition of matter and other intellectual property focused on our Synthetic Biotic programs and our technology platform.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Synthetic Biotic Medicines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novel, proprietary Synthetic Biotic discovery and development platform combines synthetic biology and metabolic engineering to re-design the genetic circuitry of beneficial non-pathogenic microbes. Synthetic Biotic medicines are designed to perform metabolic transformations to compensate for missing or defective pathways in a patient or to produce therapeutically beneficial molecules. Synthetic Biotic medicines have unique advantages as potential therapeutics. Engineered microbes can be programmed to carry out functions that cannot be performed by conventional drug treatments, such as small molecules or antibodies. A Synthetic Biotic medicine can function catalytically, since a single living cell can carry out multiple cycles of the intended therapeutic activity during its time in the patient.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Leveraging Synthetic Biology and Metabolic Engineering of Non-Pathogenic Bacteria to Produce Synthetic Biotic Medicines</w:t>
      </w:r>
    </w:p>
    <w:p>
      <w:pPr>
        <w:spacing w:after="0" w:line="11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i w:val="1"/>
          <w:iCs w:val="1"/>
          <w:color w:val="auto"/>
        </w:rPr>
        <w:t xml:space="preserve">Non-Pathogenic Bacteria. </w:t>
      </w:r>
      <w:r>
        <w:rPr>
          <w:rFonts w:ascii="Arial" w:cs="Arial" w:eastAsia="Arial" w:hAnsi="Arial"/>
          <w:sz w:val="16"/>
          <w:szCs w:val="16"/>
          <w:color w:val="auto"/>
        </w:rPr>
        <w:t>Bacteria have been isolated from the human microbiota and widely used as supplements (probiotics) that are believed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 health benefits. Bacteria have evolved over millions of years to adapt, survive, and actively metabolize to consume or produce metabolites in the human body. They are also amenable to genetic manipulation. To confer a therapeutic effect, we use basic biological properties of bacteria and the tools of synthetic biology to develop Synthetic Biotic medicines from non-pathogenic microbes, focusing initially on a single strain of the bacteria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w:t>
      </w:r>
    </w:p>
    <w:p>
      <w:pPr>
        <w:spacing w:after="0" w:line="15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 xml:space="preserve">Using Synthetic Biology to Generate Synthetic Biotic Medicines. </w:t>
      </w:r>
      <w:r>
        <w:rPr>
          <w:rFonts w:ascii="Arial" w:cs="Arial" w:eastAsia="Arial" w:hAnsi="Arial"/>
          <w:sz w:val="17"/>
          <w:szCs w:val="17"/>
          <w:color w:val="auto"/>
        </w:rPr>
        <w:t>Our scientists genetically engineer this non-pathogenic bacterium with “wiring” or</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biological circuits to direct cellular biological processes in a manner analogous to designing electrical circuits. The critical parts of an engineered Synthetic Biotic medicine include (1) the “chassis,” or non-pathogenic bacterium, (2) the effector module, which is a gene or pathway encoding the core biological activity that provides the therapeutic function, and (3) tunable switches to precisely determine the circumstances under which the effector module will be active, as well as the potency, performance and output of the effectors themselves. We aim to precisely and appropriately control the amount, location and activity of our Synthetic Biotic medicines to address specific diseases.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Schematic of the Synthetic Biotic Platform Components: Chassis, Effector Module,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151765</wp:posOffset>
            </wp:positionV>
            <wp:extent cx="5263515" cy="2957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6351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518"/>
        <w:spacing w:after="0" w:line="291" w:lineRule="auto"/>
        <w:tabs>
          <w:tab w:leader="none" w:pos="76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Chassis: </w:t>
      </w:r>
      <w:r>
        <w:rPr>
          <w:rFonts w:ascii="Arial" w:cs="Arial" w:eastAsia="Arial" w:hAnsi="Arial"/>
          <w:sz w:val="16"/>
          <w:szCs w:val="16"/>
          <w:color w:val="auto"/>
        </w:rPr>
        <w:t>Our Synthetic Biotic platform starts with a well-characterized bacteria used as probiotic to serve as the chassis upon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build our living medicines. Our initial programs use </w:t>
      </w:r>
      <w:r>
        <w:rPr>
          <w:rFonts w:ascii="Arial" w:cs="Arial" w:eastAsia="Arial" w:hAnsi="Arial"/>
          <w:sz w:val="16"/>
          <w:szCs w:val="16"/>
          <w:i w:val="1"/>
          <w:iCs w:val="1"/>
          <w:color w:val="auto"/>
        </w:rPr>
        <w:t>E.coli</w:t>
      </w:r>
      <w:r>
        <w:rPr>
          <w:rFonts w:ascii="Arial" w:cs="Arial" w:eastAsia="Arial" w:hAnsi="Arial"/>
          <w:sz w:val="16"/>
          <w:szCs w:val="16"/>
          <w:color w:val="auto"/>
        </w:rPr>
        <w:t xml:space="preserve"> Nissle, which is one of many non-pathogenic strains isolated from the human microbiota.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is non-colonizing and has been used as a probiotic bacterial supplement for many years to promote gut health. Clinical studies have demonstrated that </w:t>
      </w:r>
      <w:r>
        <w:rPr>
          <w:rFonts w:ascii="Arial" w:cs="Arial" w:eastAsia="Arial" w:hAnsi="Arial"/>
          <w:sz w:val="16"/>
          <w:szCs w:val="16"/>
          <w:i w:val="1"/>
          <w:iCs w:val="1"/>
          <w:color w:val="auto"/>
        </w:rPr>
        <w:t>E.coli</w:t>
      </w:r>
      <w:r>
        <w:rPr>
          <w:rFonts w:ascii="Arial" w:cs="Arial" w:eastAsia="Arial" w:hAnsi="Arial"/>
          <w:sz w:val="16"/>
          <w:szCs w:val="16"/>
          <w:color w:val="auto"/>
        </w:rPr>
        <w:t xml:space="preserve"> Nissle is rapidly cleared from most individuals with no significant safety issues (Clin. Transl. Sci. (2017) 00, 1—8). We also observed similar rates of clearance from subjects in our recent Phase 1 clinical trial of SYNB1020 in healthy volunteers (</w:t>
      </w:r>
      <w:r>
        <w:rPr>
          <w:rFonts w:ascii="Arial" w:cs="Arial" w:eastAsia="Arial" w:hAnsi="Arial"/>
          <w:sz w:val="16"/>
          <w:szCs w:val="16"/>
          <w:i w:val="1"/>
          <w:iCs w:val="1"/>
          <w:color w:val="auto"/>
        </w:rPr>
        <w:t>Sci. Transl. Med.</w:t>
      </w:r>
      <w:r>
        <w:rPr>
          <w:rFonts w:ascii="Arial" w:cs="Arial" w:eastAsia="Arial" w:hAnsi="Arial"/>
          <w:sz w:val="16"/>
          <w:szCs w:val="16"/>
          <w:color w:val="auto"/>
        </w:rPr>
        <w:t xml:space="preserve"> 2019: Vol. 11, Issue 475, eaau7975). We believe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Nissle’s widespread use as a probiotic is evidence of its utility as a safe background chassis to apply synthetic biology to confer a therapeutic benefit. There are a number of additional features of </w:t>
      </w:r>
      <w:r>
        <w:rPr>
          <w:rFonts w:ascii="Arial" w:cs="Arial" w:eastAsia="Arial" w:hAnsi="Arial"/>
          <w:sz w:val="16"/>
          <w:szCs w:val="16"/>
          <w:i w:val="1"/>
          <w:iCs w:val="1"/>
          <w:color w:val="auto"/>
        </w:rPr>
        <w:t>E.coli</w:t>
      </w:r>
      <w:r>
        <w:rPr>
          <w:rFonts w:ascii="Arial" w:cs="Arial" w:eastAsia="Arial" w:hAnsi="Arial"/>
          <w:sz w:val="16"/>
          <w:szCs w:val="16"/>
          <w:color w:val="auto"/>
        </w:rPr>
        <w:t xml:space="preserve"> Nissle organism that makes it an attractive chassis for our platform:</w:t>
      </w:r>
    </w:p>
    <w:p>
      <w:pPr>
        <w:spacing w:after="0" w:line="58" w:lineRule="exact"/>
        <w:rPr>
          <w:rFonts w:ascii="Arial" w:cs="Arial" w:eastAsia="Arial" w:hAnsi="Arial"/>
          <w:sz w:val="16"/>
          <w:szCs w:val="16"/>
          <w:i w:val="1"/>
          <w:iCs w:val="1"/>
          <w:color w:val="auto"/>
        </w:rPr>
      </w:pPr>
    </w:p>
    <w:p>
      <w:pPr>
        <w:ind w:left="1380" w:right="800" w:hanging="495"/>
        <w:spacing w:after="0" w:line="308" w:lineRule="auto"/>
        <w:tabs>
          <w:tab w:leader="none" w:pos="138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 coli </w:t>
      </w:r>
      <w:r>
        <w:rPr>
          <w:rFonts w:ascii="Arial" w:cs="Arial" w:eastAsia="Arial" w:hAnsi="Arial"/>
          <w:sz w:val="17"/>
          <w:szCs w:val="17"/>
          <w:color w:val="auto"/>
        </w:rPr>
        <w:t>Nissle’s genetic and metabolic machinery are well understood and provide a robust cellular context into which genetic</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can be introduced with high efficiency and little or no damage to the fitness of the bacterium.</w:t>
      </w:r>
    </w:p>
    <w:p>
      <w:pPr>
        <w:spacing w:after="0" w:line="38" w:lineRule="exact"/>
        <w:rPr>
          <w:rFonts w:ascii="Arial" w:cs="Arial" w:eastAsia="Arial" w:hAnsi="Arial"/>
          <w:sz w:val="17"/>
          <w:szCs w:val="17"/>
          <w:color w:val="auto"/>
        </w:rPr>
      </w:pPr>
    </w:p>
    <w:p>
      <w:pPr>
        <w:ind w:left="1380" w:right="140" w:hanging="495"/>
        <w:spacing w:after="0" w:line="308" w:lineRule="auto"/>
        <w:tabs>
          <w:tab w:leader="none" w:pos="1380"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The advanced nature of the synthetic biology toolkit available for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enables rapid iterative design, assembly, and testing of prototype product candidates and remains unique among other bacterial and cellular engineering approaches.</w:t>
      </w:r>
    </w:p>
    <w:p>
      <w:pPr>
        <w:spacing w:after="0" w:line="38" w:lineRule="exact"/>
        <w:rPr>
          <w:rFonts w:ascii="Arial" w:cs="Arial" w:eastAsia="Arial" w:hAnsi="Arial"/>
          <w:sz w:val="17"/>
          <w:szCs w:val="17"/>
          <w:color w:val="auto"/>
        </w:rPr>
      </w:pPr>
    </w:p>
    <w:p>
      <w:pPr>
        <w:ind w:left="1380" w:hanging="495"/>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E.coli </w:t>
      </w:r>
      <w:r>
        <w:rPr>
          <w:rFonts w:ascii="Arial" w:cs="Arial" w:eastAsia="Arial" w:hAnsi="Arial"/>
          <w:sz w:val="18"/>
          <w:szCs w:val="18"/>
          <w:color w:val="auto"/>
        </w:rPr>
        <w:t>is relatively easy to manufacture at large scale compared to other bacteria.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 w:name="page9"/>
    <w:bookmarkEnd w:id="8"/>
    <w:p>
      <w:pPr>
        <w:ind w:left="1380" w:hanging="495"/>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As a Gram-negative bacterium, with a protective outer wall, </w:t>
      </w:r>
      <w:r>
        <w:rPr>
          <w:rFonts w:ascii="Arial" w:cs="Arial" w:eastAsia="Arial" w:hAnsi="Arial"/>
          <w:sz w:val="18"/>
          <w:szCs w:val="18"/>
          <w:i w:val="1"/>
          <w:iCs w:val="1"/>
          <w:color w:val="auto"/>
        </w:rPr>
        <w:t>E.coli</w:t>
      </w:r>
      <w:r>
        <w:rPr>
          <w:rFonts w:ascii="Arial" w:cs="Arial" w:eastAsia="Arial" w:hAnsi="Arial"/>
          <w:sz w:val="18"/>
          <w:szCs w:val="18"/>
          <w:color w:val="auto"/>
        </w:rPr>
        <w:t xml:space="preserve"> Nissle survives well in the human GI tract.</w:t>
      </w:r>
    </w:p>
    <w:p>
      <w:pPr>
        <w:spacing w:after="0" w:line="252" w:lineRule="exact"/>
        <w:rPr>
          <w:rFonts w:ascii="Arial" w:cs="Arial" w:eastAsia="Arial" w:hAnsi="Arial"/>
          <w:sz w:val="18"/>
          <w:szCs w:val="18"/>
          <w:color w:val="auto"/>
        </w:rPr>
      </w:pPr>
    </w:p>
    <w:p>
      <w:pPr>
        <w:ind w:firstLine="518"/>
        <w:spacing w:after="0" w:line="269" w:lineRule="auto"/>
        <w:tabs>
          <w:tab w:leader="none" w:pos="76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Building the Effector Module or Circuit: </w:t>
      </w:r>
      <w:r>
        <w:rPr>
          <w:rFonts w:ascii="Arial" w:cs="Arial" w:eastAsia="Arial" w:hAnsi="Arial"/>
          <w:sz w:val="17"/>
          <w:szCs w:val="17"/>
          <w:color w:val="auto"/>
        </w:rPr>
        <w:t>Synthetic Biotic medicines have the advantage that they can be designed with multiple pathway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components. We have developed proprietary integration systems to direct stable insertion of multiple genetic circuits and pathways into optimal chromosomal locations, or “landing pads,” of </w:t>
      </w:r>
      <w:r>
        <w:rPr>
          <w:rFonts w:ascii="Arial" w:cs="Arial" w:eastAsia="Arial" w:hAnsi="Arial"/>
          <w:sz w:val="17"/>
          <w:szCs w:val="17"/>
          <w:i w:val="1"/>
          <w:iCs w:val="1"/>
          <w:color w:val="auto"/>
        </w:rPr>
        <w:t>E.coli</w:t>
      </w:r>
      <w:r>
        <w:rPr>
          <w:rFonts w:ascii="Arial" w:cs="Arial" w:eastAsia="Arial" w:hAnsi="Arial"/>
          <w:sz w:val="17"/>
          <w:szCs w:val="17"/>
          <w:color w:val="auto"/>
        </w:rPr>
        <w:t xml:space="preserve"> Nissle. This enables efficient and stable expression of multiple genes encoding enzymes and other proteins. These activities may be further improved for therapeutic effect when combined or when under the control of tunable switches that determine when the mechanisms should be activated. Our Synthetic Biotic platform allows us to engineer two types of mechanistic activities into our Synthetic Biotic medicines: 1) we can engineer Synthetic Biotics capable of metabolic transformations that can substitute or compensate for missing or defective pathways in a patient, and 2) we can engineer Synthetic Biotics to produce therapeutically beneficial molecules. The enzymatic pathways needed to produce or consume molecules are protected from the harsh GI environment by their location within the cell cytoplasm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allowing them the potential to function throughout the GI tract. We have leveraged proprietary tools, know-how and intellectual property to build multiple Synthetic Biotic lead strains that produce therapeutically relevant effects in pre-clinical experiments. Progression of these strains as product candidates in diseases with high unmet need is based on prioritizing those with feasible drug development paths in terms of availability of informative animal models and existence of biomarkers to guide efficient clinical development.</w:t>
      </w:r>
    </w:p>
    <w:p>
      <w:pPr>
        <w:spacing w:after="0" w:line="178" w:lineRule="exact"/>
        <w:rPr>
          <w:rFonts w:ascii="Arial" w:cs="Arial" w:eastAsia="Arial" w:hAnsi="Arial"/>
          <w:sz w:val="17"/>
          <w:szCs w:val="17"/>
          <w:i w:val="1"/>
          <w:iCs w:val="1"/>
          <w:color w:val="auto"/>
        </w:rPr>
      </w:pPr>
    </w:p>
    <w:p>
      <w:pPr>
        <w:ind w:right="60" w:firstLine="518"/>
        <w:spacing w:after="0" w:line="273" w:lineRule="auto"/>
        <w:tabs>
          <w:tab w:leader="none" w:pos="76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Tunable Switches: </w:t>
      </w:r>
      <w:r>
        <w:rPr>
          <w:rFonts w:ascii="Arial" w:cs="Arial" w:eastAsia="Arial" w:hAnsi="Arial"/>
          <w:sz w:val="17"/>
          <w:szCs w:val="17"/>
          <w:color w:val="auto"/>
        </w:rPr>
        <w:t>We also design and engineer proprietary switches to mediate the activity of the new pathways we introduce into our Synthetic</w:t>
      </w:r>
      <w:r>
        <w:rPr>
          <w:rFonts w:ascii="Arial" w:cs="Arial" w:eastAsia="Arial" w:hAnsi="Arial"/>
          <w:sz w:val="17"/>
          <w:szCs w:val="17"/>
          <w:i w:val="1"/>
          <w:iCs w:val="1"/>
          <w:color w:val="auto"/>
        </w:rPr>
        <w:t xml:space="preserve"> </w:t>
      </w:r>
      <w:r>
        <w:rPr>
          <w:rFonts w:ascii="Arial" w:cs="Arial" w:eastAsia="Arial" w:hAnsi="Arial"/>
          <w:sz w:val="17"/>
          <w:szCs w:val="17"/>
          <w:color w:val="auto"/>
        </w:rPr>
        <w:t>Biotic medicines, with the goal of controlling the engineered circuit or its therapeutic output. To optimize the fitness of a Synthetic Biotic strain, it is critical that the effector is activated only at the appropriate time and place. The switches are based on engineering DNA elements called “inducible promoters” that are designed to respond to disease states, specific environmental signals, or exogenously added inducing molecules. Our goal is to design and develop Synthetic Biotic medicines programmed with switches to produce therapeutic effects at precisely the right time and location such as the anaerobic environment of the gut, or in the context of local inflammation or other pathogenic factors.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Our Synthetic Biotic Drug Development Platform and Synthetic Biotic Living Medicines</w:t>
      </w:r>
    </w:p>
    <w:p>
      <w:pPr>
        <w:spacing w:after="0" w:line="11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We believe our platform has the potential to provide safe and effective therapies for patients given several attributes of our Synthetic Biotic approach: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Synthetic Biotic Medicines Have Potential to Address Unmet Need with Mechanisms Not Possible with Other Modalities</w:t>
      </w:r>
    </w:p>
    <w:p>
      <w:pPr>
        <w:spacing w:after="0" w:line="117" w:lineRule="exact"/>
        <w:rPr>
          <w:sz w:val="20"/>
          <w:szCs w:val="20"/>
          <w:color w:val="auto"/>
        </w:rPr>
      </w:pPr>
    </w:p>
    <w:p>
      <w:pPr>
        <w:ind w:left="1000" w:right="60" w:hanging="493"/>
        <w:spacing w:after="0" w:line="290"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Consuming Toxins: </w:t>
      </w:r>
      <w:r>
        <w:rPr>
          <w:rFonts w:ascii="Arial" w:cs="Arial" w:eastAsia="Arial" w:hAnsi="Arial"/>
          <w:sz w:val="16"/>
          <w:szCs w:val="16"/>
          <w:color w:val="auto"/>
        </w:rPr>
        <w:t>Unlike other therapeutic approaches, Synthetic Biotic medicines can be programmed with a unique mechanistic activity.</w:t>
      </w:r>
      <w:r>
        <w:rPr>
          <w:rFonts w:ascii="Arial" w:cs="Arial" w:eastAsia="Arial" w:hAnsi="Arial"/>
          <w:sz w:val="16"/>
          <w:szCs w:val="16"/>
          <w:i w:val="1"/>
          <w:iCs w:val="1"/>
          <w:color w:val="auto"/>
        </w:rPr>
        <w:t xml:space="preserve"> </w:t>
      </w:r>
      <w:r>
        <w:rPr>
          <w:rFonts w:ascii="Arial" w:cs="Arial" w:eastAsia="Arial" w:hAnsi="Arial"/>
          <w:sz w:val="16"/>
          <w:szCs w:val="16"/>
          <w:color w:val="auto"/>
        </w:rPr>
        <w:t>In our initial internal metabolic programs, we are engineering Synthetic Biotic medicines with entire pathways designed to degrade or “consume” toxic metabolites. We believe using a consumption pathway is advantageous compared to gene, RNA or enzyme replacement therapies that are limited to targeting a single gene or protein defect and may require several unique drug products to address genetically heterogeneous patient populations. By compensating with an entire pathway delivered in bacteria Synthetic Biotic medicines may provide a safe, therapeutic solution to broader disease populations as a single engineered therapeutic. Our SYNB1618 program is designed to consume Phe and has been shown to do so in both PKU patients and healthy volunteers. Our SYNB8802 program is designed to consume oxalate. The experience and lessons learned from this program are being applied to our additional preclinical programs.</w:t>
      </w:r>
    </w:p>
    <w:p>
      <w:pPr>
        <w:spacing w:after="0" w:line="57"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Production of Therapeutic Molecules</w:t>
      </w:r>
      <w:r>
        <w:rPr>
          <w:rFonts w:ascii="Arial" w:cs="Arial" w:eastAsia="Arial" w:hAnsi="Arial"/>
          <w:sz w:val="18"/>
          <w:szCs w:val="18"/>
          <w:color w:val="auto"/>
        </w:rPr>
        <w:t>: Synthetic Biotic medicines can also be programmed to produce beneficial molecules. SYNB1891, our</w:t>
      </w:r>
      <w:r>
        <w:rPr>
          <w:rFonts w:ascii="Arial" w:cs="Arial" w:eastAsia="Arial" w:hAnsi="Arial"/>
          <w:sz w:val="18"/>
          <w:szCs w:val="18"/>
          <w:i w:val="1"/>
          <w:iCs w:val="1"/>
          <w:color w:val="auto"/>
        </w:rPr>
        <w:t xml:space="preserve"> </w:t>
      </w:r>
      <w:r>
        <w:rPr>
          <w:rFonts w:ascii="Arial" w:cs="Arial" w:eastAsia="Arial" w:hAnsi="Arial"/>
          <w:sz w:val="18"/>
          <w:szCs w:val="18"/>
          <w:color w:val="auto"/>
        </w:rPr>
        <w:t>first oncology candidate is engineered to produce a STING agonist that has the potential to activate the immune system within the tumor microenvironment towards anti-tumor activity.</w:t>
      </w:r>
    </w:p>
    <w:p>
      <w:pPr>
        <w:spacing w:after="0" w:line="75" w:lineRule="exact"/>
        <w:rPr>
          <w:rFonts w:ascii="Arial" w:cs="Arial" w:eastAsia="Arial" w:hAnsi="Arial"/>
          <w:sz w:val="18"/>
          <w:szCs w:val="18"/>
          <w:color w:val="auto"/>
        </w:rPr>
      </w:pPr>
    </w:p>
    <w:p>
      <w:pPr>
        <w:ind w:left="1020" w:right="200" w:hanging="459"/>
        <w:spacing w:after="0" w:line="279" w:lineRule="auto"/>
        <w:tabs>
          <w:tab w:leader="none" w:pos="102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Combinations of Mechanisms: </w:t>
      </w:r>
      <w:r>
        <w:rPr>
          <w:rFonts w:ascii="Arial" w:cs="Arial" w:eastAsia="Arial" w:hAnsi="Arial"/>
          <w:sz w:val="17"/>
          <w:szCs w:val="17"/>
          <w:color w:val="auto"/>
        </w:rPr>
        <w:t>Many diseases with complex pathophysiology, require more than a single effector to achieve a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response. By incorporating multiple effectors or enzymes into a single strain, Synthetic Biotic medicines have the potential to more effectively address multifactorial disease biology. For example, Synthetic biotic medicines can be engineered with multiple enzymes which consume toxic metabolites more effectively than a single effector could otherwise provide.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Synthetic Biotic Medicines Provide Local Therapeutic Delivery to Reduce Safety Risk</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believe that when delivered locally, Synthetic Biotic medicines have the potential to avoid the risks of dose-limiting side effects often associated with systemic therapies, especially when combinations of systemic therapies are required. Our Synthetic Biotic programs for metabolic diseases are designed to be dosed orally, and act locally while transiting through the gut and, as a consequence, decrease toxic metabolite levels in the blood, thereby providing a systemic therapeutic benefit to the patient. This approach is well suited to regulate the amount of a metabolic byproduct in a patient’s body, particularly when there is unconstrained metabolite flux between the systemic circulation and the gut. Given the potential for chronic oral dosing, Synthetic Biotic medicines may have benefits in terms of dose prediction and reversibility of activity.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Synthetic Biotic Medicines are Rationally Designed to Achieve Predictable Drug-like Properties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have demonstrated the ability to move a program from concept to clinical development in as little as three years for our lead programs. Features of our Synthetic Biotic platform enable a highly efficient drug discovery and development process and have the potential to advance product candidates more rapidly and efficiently than is typically possible with other novel or emerging modalities. These include:</w:t>
      </w:r>
    </w:p>
    <w:p>
      <w:pPr>
        <w:spacing w:after="0" w:line="76" w:lineRule="exact"/>
        <w:rPr>
          <w:sz w:val="20"/>
          <w:szCs w:val="20"/>
          <w:color w:val="auto"/>
        </w:rPr>
      </w:pPr>
    </w:p>
    <w:p>
      <w:pPr>
        <w:ind w:left="1000" w:hanging="493"/>
        <w:spacing w:after="0" w:line="270"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Single Strain as Safe Chassis. </w:t>
      </w:r>
      <w:r>
        <w:rPr>
          <w:rFonts w:ascii="Arial" w:cs="Arial" w:eastAsia="Arial" w:hAnsi="Arial"/>
          <w:sz w:val="17"/>
          <w:szCs w:val="17"/>
          <w:color w:val="auto"/>
        </w:rPr>
        <w:t>There are several benefits of employing a single, safe and well-characterized probiotic bacterium such as</w:t>
      </w:r>
      <w:r>
        <w:rPr>
          <w:rFonts w:ascii="Arial" w:cs="Arial" w:eastAsia="Arial" w:hAnsi="Arial"/>
          <w:sz w:val="17"/>
          <w:szCs w:val="17"/>
          <w:i w:val="1"/>
          <w:iCs w:val="1"/>
          <w:color w:val="auto"/>
        </w:rPr>
        <w:t xml:space="preserve"> E. coli </w:t>
      </w:r>
      <w:r>
        <w:rPr>
          <w:rFonts w:ascii="Arial" w:cs="Arial" w:eastAsia="Arial" w:hAnsi="Arial"/>
          <w:sz w:val="17"/>
          <w:szCs w:val="17"/>
          <w:color w:val="auto"/>
        </w:rPr>
        <w:t>Nissle as the background chassis. First, because our lead programs are based on</w:t>
      </w:r>
      <w:r>
        <w:rPr>
          <w:rFonts w:ascii="Arial" w:cs="Arial" w:eastAsia="Arial" w:hAnsi="Arial"/>
          <w:sz w:val="17"/>
          <w:szCs w:val="17"/>
          <w:i w:val="1"/>
          <w:iCs w:val="1"/>
          <w:color w:val="auto"/>
        </w:rPr>
        <w:t xml:space="preserve"> E. coli </w:t>
      </w:r>
      <w:r>
        <w:rPr>
          <w:rFonts w:ascii="Arial" w:cs="Arial" w:eastAsia="Arial" w:hAnsi="Arial"/>
          <w:sz w:val="17"/>
          <w:szCs w:val="17"/>
          <w:color w:val="auto"/>
        </w:rPr>
        <w:t>Nissle, experience can be leveraged broadly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across the portfolio, further optimizing the efficiency and reproducibility of discovery, development and manufacturing efforts. Next, the non-colonizing nature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can be combined with engineering approaches to optimize safety in terms of impact on the patient and the environment.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can be engineered to require a specific exogenous nutrient supplement for growth, which limits the ability to replicate in the human body and environment. By controlling replication, we can control the number of cells being administered to a patient, which limits patient-to-patient variability. Also, dependence on an essential nutritional supplement not available in the environment reduces biocontainment risk. Moreover, the risk of a Synthetic Biotic medicine to the environment is further limited given that it is disadvantaged in terms of fitness due to its modifications.</w:t>
      </w:r>
    </w:p>
    <w:p>
      <w:pPr>
        <w:spacing w:after="0" w:line="72" w:lineRule="exact"/>
        <w:rPr>
          <w:rFonts w:ascii="Arial" w:cs="Arial" w:eastAsia="Arial" w:hAnsi="Arial"/>
          <w:sz w:val="17"/>
          <w:szCs w:val="17"/>
          <w:color w:val="auto"/>
        </w:rPr>
      </w:pPr>
    </w:p>
    <w:p>
      <w:pPr>
        <w:jc w:val="both"/>
        <w:ind w:left="1000" w:right="140" w:hanging="493"/>
        <w:spacing w:after="0" w:line="30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Predictive Pharmacology and Biomarkers</w:t>
      </w:r>
      <w:r>
        <w:rPr>
          <w:rFonts w:ascii="Arial" w:cs="Arial" w:eastAsia="Arial" w:hAnsi="Arial"/>
          <w:sz w:val="16"/>
          <w:szCs w:val="16"/>
          <w:color w:val="auto"/>
        </w:rPr>
        <w:t>. Synthetic Biotic programs are designed to achieve a target activity, and the platform supports an</w:t>
      </w:r>
      <w:r>
        <w:rPr>
          <w:rFonts w:ascii="Arial" w:cs="Arial" w:eastAsia="Arial" w:hAnsi="Arial"/>
          <w:sz w:val="16"/>
          <w:szCs w:val="16"/>
          <w:i w:val="1"/>
          <w:iCs w:val="1"/>
          <w:color w:val="auto"/>
        </w:rPr>
        <w:t xml:space="preserve"> </w:t>
      </w:r>
      <w:r>
        <w:rPr>
          <w:rFonts w:ascii="Arial" w:cs="Arial" w:eastAsia="Arial" w:hAnsi="Arial"/>
          <w:sz w:val="16"/>
          <w:szCs w:val="16"/>
          <w:color w:val="auto"/>
        </w:rPr>
        <w:t>iterative design-build-test cycle to improve performance for achieving this target. For example, Synthetic Biotic programs can be optimized by including multiple copies or regulated control of certain genes, by adding transporters for particular substrates or by optimizing enzymes for basic bacterial metabolism. These tools enable rational and iterative engineering cycles in the discovery phase.</w:t>
      </w:r>
    </w:p>
    <w:p>
      <w:pPr>
        <w:spacing w:after="0" w:line="49" w:lineRule="exact"/>
        <w:rPr>
          <w:rFonts w:ascii="Arial" w:cs="Arial" w:eastAsia="Arial" w:hAnsi="Arial"/>
          <w:sz w:val="16"/>
          <w:szCs w:val="16"/>
          <w:color w:val="auto"/>
        </w:rPr>
      </w:pPr>
    </w:p>
    <w:p>
      <w:pPr>
        <w:ind w:left="1020" w:right="180"/>
        <w:spacing w:after="0" w:line="279" w:lineRule="auto"/>
        <w:rPr>
          <w:rFonts w:ascii="Arial" w:cs="Arial" w:eastAsia="Arial" w:hAnsi="Arial"/>
          <w:sz w:val="16"/>
          <w:szCs w:val="16"/>
          <w:color w:val="auto"/>
        </w:rPr>
      </w:pPr>
      <w:r>
        <w:rPr>
          <w:rFonts w:ascii="Arial" w:cs="Arial" w:eastAsia="Arial" w:hAnsi="Arial"/>
          <w:sz w:val="17"/>
          <w:szCs w:val="17"/>
          <w:color w:val="auto"/>
        </w:rPr>
        <w:t xml:space="preserve">Biomarkers as indicators of mechanistic and clinical activity may also be engineered into Synthetic Biotic medicines from the beginning to drive optimization and decision-making. By assessing the activities of our Synthetic Biotic programs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models, we can model activity in humans. As we progress through clinical studies, we expect our predictive pharmacology models will be further refined to inform dosing and development decisions for our additional programs.</w:t>
      </w:r>
    </w:p>
    <w:p>
      <w:pPr>
        <w:spacing w:after="0" w:line="63" w:lineRule="exact"/>
        <w:rPr>
          <w:rFonts w:ascii="Arial" w:cs="Arial" w:eastAsia="Arial" w:hAnsi="Arial"/>
          <w:sz w:val="16"/>
          <w:szCs w:val="16"/>
          <w:color w:val="auto"/>
        </w:rPr>
      </w:pPr>
    </w:p>
    <w:p>
      <w:pPr>
        <w:ind w:left="1000" w:right="20" w:hanging="493"/>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Stability and Manufacturing</w:t>
      </w:r>
      <w:r>
        <w:rPr>
          <w:rFonts w:ascii="Arial" w:cs="Arial" w:eastAsia="Arial" w:hAnsi="Arial"/>
          <w:sz w:val="18"/>
          <w:szCs w:val="18"/>
          <w:color w:val="auto"/>
        </w:rPr>
        <w:t>. Our lead Synthetic Biotic programs have advanced the platform by defining manufacturing processes that can</w:t>
      </w:r>
      <w:r>
        <w:rPr>
          <w:rFonts w:ascii="Arial" w:cs="Arial" w:eastAsia="Arial" w:hAnsi="Arial"/>
          <w:sz w:val="18"/>
          <w:szCs w:val="18"/>
          <w:i w:val="1"/>
          <w:iCs w:val="1"/>
          <w:color w:val="auto"/>
        </w:rPr>
        <w:t xml:space="preserve"> </w:t>
      </w:r>
      <w:r>
        <w:rPr>
          <w:rFonts w:ascii="Arial" w:cs="Arial" w:eastAsia="Arial" w:hAnsi="Arial"/>
          <w:sz w:val="18"/>
          <w:szCs w:val="18"/>
          <w:color w:val="auto"/>
        </w:rPr>
        <w:t>be used for the entire portfolio. Our use of synthetic biology switches permits the precise control of engineered metabolic pathway activation. We use switches to suppress effector activity during manufacturing, enabling development of reproducible processes for generation of biomass and robust, cost-efficient scale up of product candidates.</w:t>
      </w:r>
    </w:p>
    <w:p>
      <w:pPr>
        <w:spacing w:after="0" w:line="78" w:lineRule="exact"/>
        <w:rPr>
          <w:rFonts w:ascii="Arial" w:cs="Arial" w:eastAsia="Arial" w:hAnsi="Arial"/>
          <w:sz w:val="18"/>
          <w:szCs w:val="18"/>
          <w:color w:val="auto"/>
        </w:rPr>
      </w:pPr>
    </w:p>
    <w:p>
      <w:pPr>
        <w:ind w:left="1020" w:right="60"/>
        <w:spacing w:after="0" w:line="257" w:lineRule="auto"/>
        <w:rPr>
          <w:rFonts w:ascii="Arial" w:cs="Arial" w:eastAsia="Arial" w:hAnsi="Arial"/>
          <w:sz w:val="18"/>
          <w:szCs w:val="18"/>
          <w:color w:val="auto"/>
        </w:rPr>
      </w:pPr>
      <w:r>
        <w:rPr>
          <w:rFonts w:ascii="Arial" w:cs="Arial" w:eastAsia="Arial" w:hAnsi="Arial"/>
          <w:sz w:val="18"/>
          <w:szCs w:val="18"/>
          <w:color w:val="auto"/>
        </w:rPr>
        <w:t>Manufacturing efforts have demonstrated reproducibility, yield and stability during small, medium and Phase 1 clinical-scale campaigns where we have developed and executed processes to manufacture 3,000 to 5,000 doses of active drug. In December 2018, we entered into an agreement to lease GMP clean-room space from the Azzur Group, LLC. The agreement has expanded our manufacturing capabilities to enable in-house manufacturing of liquid and solid formulations for mid-stage clinical trials of our orally administered and intratumorally administered Synthetic Biotic medicines.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Approach to Selection of Therapeutic Area</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believe that our Synthetic Biotic platform has potential to address both metabolic and immune-mediated diseases and we are evaluating these medicines at different sites of action via different routes of administration, either orally or via injection. Our decision to focus initially on metabolic disease is based on the potential of the Synthetic Biotic platform to uniquely address conditions in which there is: (1) unmet medical need with (2) well understood biology that is (3) based on an imbalance of a metabolite that can be consumed by our strains and (4) where that metabolite is available within or originates from the gut lumen. Additional considerations include the availability of animal models, relevant biomarkers and feasible clinical development paths. Our initial clinical and pre-clinical programs have been focused on certain rare inherited or acquired metabolic diseases that share these characteristics. When delivered orally, our Synthetic Biotic medicines are designed to act from the gut to compensate for the dysfunctional metabolic pathway with the intended consequence of reducing systemic levels of the toxic metabolites. We believe that clinical success in these programs will enable us to demonstrate the potential of our oral Synthetic Biotic medicines to address metabolic dysfunction, while bringing meaningful change to lives of patients suffering from these debilitating conditions. Our lead therapeutic programs for metabolic disease are SYNB1618 being developed for the treatment of PKU and SYNB8802 being developed for the treatment of Enteric Hyperoxaluria.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 w:name="page11"/>
    <w:bookmarkEnd w:id="10"/>
    <w:p>
      <w:pPr>
        <w:ind w:right="120" w:firstLine="510"/>
        <w:spacing w:after="0" w:line="275" w:lineRule="auto"/>
        <w:rPr>
          <w:sz w:val="20"/>
          <w:szCs w:val="20"/>
          <w:color w:val="auto"/>
        </w:rPr>
      </w:pPr>
      <w:r>
        <w:rPr>
          <w:rFonts w:ascii="Arial" w:cs="Arial" w:eastAsia="Arial" w:hAnsi="Arial"/>
          <w:sz w:val="17"/>
          <w:szCs w:val="17"/>
          <w:color w:val="auto"/>
        </w:rPr>
        <w:t>We are leveraging our proprietary technology platform to develop Synthetic Biotic medicines to treat additional diseases, including metabolic diseases, inflammation and cancer. We have a clinical stage program in oncology that capitalizes on the natural immunostimulatory characteristic of our bacterial chassis, and we have used a rational approach to engineer the bacterium to produce specific effectors to stimulate the innate and adaptive arms of the immune system. We have generated other strains that have been engineered to produce effectors designed to alter the tumor microenvironment potentially enabling us to select combinations of relevant mechanisms and treatments to address specific tumor types.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Programs: Overview of Metabolic Diseases</w:t>
      </w:r>
    </w:p>
    <w:p>
      <w:pPr>
        <w:spacing w:after="0" w:line="121"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There are a number of metabolic diseases characterized by a dysfunctional metabolic pathway that causes a toxic accumulation of a metabolite which results in deleterious health consequences. In a subset of these diseases, the toxic metabolite originates in the gut or is available in the gut. Our Synthetic Biotic medicines can be engineered to consume such metabolites with the intended consequence of reducing systemic levels for therapeutic benefit. Although in some cases diet modification can be beneficial, high unmet medical need remains as there are few current therapeutic treatments for these diseases.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Rare Metabolic Diseases</w:t>
      </w:r>
    </w:p>
    <w:p>
      <w:pPr>
        <w:spacing w:after="0" w:line="121" w:lineRule="exact"/>
        <w:rPr>
          <w:sz w:val="20"/>
          <w:szCs w:val="20"/>
          <w:color w:val="auto"/>
        </w:rPr>
      </w:pPr>
    </w:p>
    <w:p>
      <w:pPr>
        <w:jc w:val="both"/>
        <w:ind w:right="120" w:firstLine="510"/>
        <w:spacing w:after="0" w:line="290" w:lineRule="auto"/>
        <w:rPr>
          <w:sz w:val="20"/>
          <w:szCs w:val="20"/>
          <w:color w:val="auto"/>
        </w:rPr>
      </w:pPr>
      <w:r>
        <w:rPr>
          <w:rFonts w:ascii="Arial" w:cs="Arial" w:eastAsia="Arial" w:hAnsi="Arial"/>
          <w:sz w:val="17"/>
          <w:szCs w:val="17"/>
          <w:color w:val="auto"/>
        </w:rPr>
        <w:t>Patients with rare metabolic diseases lack certain enzymes that are responsible for metabolizing commonly occurring byproducts of digestion. The absence of these enzymes is caused by either a genetic mutation characterized by a dysfunctional metabolic pathway including PKU or organ dysfunction, such as enteric hyperoxaluria. In patients with such diseases, byproducts can accumulate to toxic levels in the gut and systemically throughout the body to cause serious health consequences, including irreversible neurological dysfunction.</w:t>
      </w:r>
    </w:p>
    <w:p>
      <w:pPr>
        <w:spacing w:after="0" w:line="1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While there are hundreds of conditions that fall into this class, individual disorders are considered orphan diseases, with each disease affecting fewer than 200,000 patients in the United States and fewer than five per 10,000 people in the European Union. This includes amino acid metabolism disorders such as PKU.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SYNB1618 for PKU</w:t>
      </w:r>
    </w:p>
    <w:p>
      <w:pPr>
        <w:spacing w:after="0" w:line="121"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PKU is an inherited metabolic disease caused by a genetic defect in the gene phenylalanine hydroxylase (PAH) leading to Phe accumulation in the blood and brain, where it is neurotoxic and can lead to neurological deficits and even death. Current disease management of PKU involves dietary protein restriction with the consumption of phenylalanine-free protein supplements. There are currently two approved medications for treatment of PKU:</w:t>
      </w:r>
    </w:p>
    <w:p>
      <w:pPr>
        <w:spacing w:after="0" w:line="41" w:lineRule="exact"/>
        <w:rPr>
          <w:sz w:val="20"/>
          <w:szCs w:val="20"/>
          <w:color w:val="auto"/>
        </w:rPr>
      </w:pPr>
    </w:p>
    <w:p>
      <w:pPr>
        <w:ind w:left="1000" w:right="2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Kuvan</w:t>
      </w:r>
      <w:r>
        <w:rPr>
          <w:rFonts w:ascii="Arial" w:cs="Arial" w:eastAsia="Arial" w:hAnsi="Arial"/>
          <w:sz w:val="15"/>
          <w:szCs w:val="15"/>
          <w:color w:val="auto"/>
        </w:rPr>
        <w:t>®</w:t>
      </w:r>
      <w:r>
        <w:rPr>
          <w:rFonts w:ascii="Arial" w:cs="Arial" w:eastAsia="Arial" w:hAnsi="Arial"/>
          <w:sz w:val="18"/>
          <w:szCs w:val="18"/>
          <w:color w:val="auto"/>
        </w:rPr>
        <w:t xml:space="preserve"> (sapropterin dihydrochloride), an oral medication that is indicated for a subgroup of patients who have some residual PAH activity and does not eliminate the need for ongoing dietary management.</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Palynziq</w:t>
      </w:r>
      <w:r>
        <w:rPr>
          <w:rFonts w:ascii="Arial" w:cs="Arial" w:eastAsia="Arial" w:hAnsi="Arial"/>
          <w:sz w:val="15"/>
          <w:szCs w:val="15"/>
          <w:color w:val="auto"/>
        </w:rPr>
        <w:t>TM</w:t>
      </w:r>
      <w:r>
        <w:rPr>
          <w:rFonts w:ascii="Arial" w:cs="Arial" w:eastAsia="Arial" w:hAnsi="Arial"/>
          <w:sz w:val="18"/>
          <w:szCs w:val="18"/>
          <w:color w:val="auto"/>
        </w:rPr>
        <w:t xml:space="preserve"> (pegvaliase-pqpz), an injectable, pegylated, bacterial enzyme (phenylalanine ammonia-lyase or PAL) that metabolizes Phe and that is indicated for treatment of adult patients.</w:t>
      </w:r>
    </w:p>
    <w:p>
      <w:pPr>
        <w:spacing w:after="0" w:line="170" w:lineRule="exact"/>
        <w:rPr>
          <w:sz w:val="20"/>
          <w:szCs w:val="20"/>
          <w:color w:val="auto"/>
        </w:rPr>
      </w:pPr>
    </w:p>
    <w:p>
      <w:pPr>
        <w:ind w:right="540" w:firstLine="510"/>
        <w:spacing w:after="0" w:line="308" w:lineRule="auto"/>
        <w:rPr>
          <w:sz w:val="20"/>
          <w:szCs w:val="20"/>
          <w:color w:val="auto"/>
        </w:rPr>
      </w:pPr>
      <w:r>
        <w:rPr>
          <w:rFonts w:ascii="Arial" w:cs="Arial" w:eastAsia="Arial" w:hAnsi="Arial"/>
          <w:sz w:val="17"/>
          <w:szCs w:val="17"/>
          <w:color w:val="auto"/>
        </w:rPr>
        <w:t>Despite recommendations supporting life-long control of Phe levels, compliance is challenging due to the highly restrictive nature of the diet, putting patients at risk for cognitive and psychiatric disease and supporting the need for novel treatment approaches.</w:t>
      </w:r>
    </w:p>
    <w:p>
      <w:pPr>
        <w:spacing w:after="0" w:line="14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Our Synthetic Biotic platform is well-suited to complement the missing enzyme function in PKU patients by providing alternative metabolic pathways to consume Phe. SYNB1618 is designed to remove excess Phe from the blood by transforming it into non-toxic metabolites. The FDA granted SYNB1618 orphan drug designation for PKU in October 2017 and Fast Track designation in April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PKU</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Phe is an essential amino acid that enters the body primarily through dietary protein and can be toxic if not sufficiently broken down and eliminated. The metabolism of Phe by the liver is dependent on adequate function of the liver enzyme PAH and the cofactor tetrahydrobiopterin (BH4) necessary for its activity. When the PAH gene is mutated and/or the production of BH4 is blocked, Phe cannot be sufficiently broken down and accumulates to toxic levels (i.e., hyperphenylalaninemia), which can cause irreversible brain damage. PKU is an inherited metabolic disease that presents as a severe form of hyperphenylalaninemia.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ind w:right="40" w:firstLine="510"/>
        <w:spacing w:after="0" w:line="273" w:lineRule="auto"/>
        <w:rPr>
          <w:sz w:val="20"/>
          <w:szCs w:val="20"/>
          <w:color w:val="auto"/>
        </w:rPr>
      </w:pPr>
      <w:r>
        <w:rPr>
          <w:rFonts w:ascii="Arial" w:cs="Arial" w:eastAsia="Arial" w:hAnsi="Arial"/>
          <w:sz w:val="17"/>
          <w:szCs w:val="17"/>
          <w:color w:val="auto"/>
        </w:rPr>
        <w:t>The disease course of PKU typically involves worsening neurological function that begins in infancy or early childhood. The clinical manifestations vary depending on severity of the enzyme mutation, the time of diagnosis and treatment initiation, and compliance. Symptoms may be extensive, such as severe cognitive impairment, or they may reflect more moderate neurocognitive or physical issues, such as below average intelligence, behavioral or mood disorders, memory loss, difficulty concentrating, decreased motor function, eczema, body odor, and tremors or seizures. A woman with PKU who becomes pregnant could develop maternal PKU if her diet is not strictly controlled, and there is a risk that the baby will be born with one or more birth defects such as cognitive impairment, microcephaly or congenital heart disease.</w:t>
      </w:r>
    </w:p>
    <w:p>
      <w:pPr>
        <w:spacing w:after="0" w:line="178"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Based on the success of newborn screening efforts that began in developed countries in the 1960s, it is believed that nearly all PKU patients under the age of 40 have been diagnosed at birth. The National PKU Alliance estimates that in the United States there are currently 16,500 people living with PKU and it is estimated that there are 50,000 patients worldwide.</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Currently, management of PKU requires a heavily modified diet that restricts protein intake, combined with essential amino acid and vitamin supplementation. Special medical foods, including phenylalanine-free protein formula, provide patients with dietary protein and fulfill other nutrient needs. However, it is challenging for most PKU patients to adhere to the restricted diet to the level that provides the necessary control of Phe levels even with the efforts of supportive family and social networks. Patients often have trouble adhering to the diet, with particular challenges arising during times of increasing independence during adolescence. Furthermore, access to low protein foods can be challenging, as they are costlier and less nutritious than their higher protein, non-modified counterparts.</w:t>
      </w:r>
    </w:p>
    <w:p>
      <w:pPr>
        <w:spacing w:after="0" w:line="192"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Kuvan</w:t>
      </w:r>
      <w:r>
        <w:rPr>
          <w:rFonts w:ascii="Arial" w:cs="Arial" w:eastAsia="Arial" w:hAnsi="Arial"/>
          <w:sz w:val="14"/>
          <w:szCs w:val="14"/>
          <w:color w:val="auto"/>
        </w:rPr>
        <w:t>®</w:t>
      </w:r>
      <w:r>
        <w:rPr>
          <w:rFonts w:ascii="Arial" w:cs="Arial" w:eastAsia="Arial" w:hAnsi="Arial"/>
          <w:sz w:val="17"/>
          <w:szCs w:val="17"/>
          <w:color w:val="auto"/>
        </w:rPr>
        <w:t xml:space="preserve"> (sapropterin dihydrochloride) was the first drug approved for the treatment of PKU in 2007. It is indicated for the reduction of blood phenylalanine in patients with hyperphenylalaninemia with residual PAH activity as it is a synthetic form of the BH4 cofactor. Kuvan is to be used along with a Phe-restricted diet. Approximately 25-50% of PKU patients are responsive to oral (tablet or powder) administration of Kuvan. However, Kuvan does not eliminate the need for ongoing dietary management in all patients. Large neutral amino acids have also demonstrated activity in blocking absorption of excess phenylalanine by the intestines and brain but are currently only administered in adolescents and adults.</w:t>
      </w:r>
    </w:p>
    <w:p>
      <w:pPr>
        <w:spacing w:after="0" w:line="1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Paylnziq</w:t>
      </w:r>
      <w:r>
        <w:rPr>
          <w:rFonts w:ascii="Arial" w:cs="Arial" w:eastAsia="Arial" w:hAnsi="Arial"/>
          <w:sz w:val="15"/>
          <w:szCs w:val="15"/>
          <w:color w:val="auto"/>
        </w:rPr>
        <w:t>TM</w:t>
      </w:r>
      <w:r>
        <w:rPr>
          <w:rFonts w:ascii="Arial" w:cs="Arial" w:eastAsia="Arial" w:hAnsi="Arial"/>
          <w:sz w:val="18"/>
          <w:szCs w:val="18"/>
          <w:color w:val="auto"/>
        </w:rPr>
        <w:t xml:space="preserve"> (pegvaliase-pqpz) Injection, a pegylated form of recombinant phenylalanine ammonia lyase (PAL), an enzyme that metabolizes phenylalanine but does not require cofactor activity, was approved by the FDA in 2018 for adult patients with PKU and uncontrolled blood phenylalanine. While daily Palynziq injections have been proven to lower phenylalanine levels, many patients experience injection site reactions and/or develop antibodies to the product. A Black Box warning of a risk of anaphylaxis is included on the Palynziq label and Palynziq is currently only indicated for adult patients. Other therapeutics in early development include various gene therapy approaches, modified cell therapies and a modified orally delivered enzyme replacement therapy.</w:t>
      </w:r>
    </w:p>
    <w:p>
      <w:pPr>
        <w:spacing w:after="0" w:line="19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Despite recent improvements in PKU therapy, patients continue to suffer from poor outcomes. Even patients who are diagnosed and treated early have increased risk of neurocognitive abnormalities and psychiatric complications and are burdened by the life-long struggle to comply with strict dietary modifications. Available drug therapies demonstrate limited effectiveness, are accompanied by immunologic and other toxicities, and may still require patients to maintain a heavily restricted diet. We believe a truly transformative therapy would be orally dosed and provide sustained, safe concentrations of phenylalanine while enabling a normal or only moderately restricted diet. We believe that a Synthetic Biotic medicine could be an effective oral therapeutic that acts from the gut to consume excess Phe with the consequent effect of reducing levels in the blood without the need for severe Phe restriction or risk of systemic toxicities.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SYNB1618 Design</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 xml:space="preserve">SYNB1618 is a strain of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that we have engineered to express synthetic pathways for transporting and metabolizing Phe in patients with PKU following oral administration. SYNB1618 was designed to compensate for the missing enzyme function in patients with PKU with complementary pathways to reduce phenylalanine levels in the gut and, as a consequence, in the systemic circulation.</w:t>
      </w:r>
    </w:p>
    <w:p>
      <w:pPr>
        <w:spacing w:after="0" w:line="184"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 xml:space="preserve">In designing SYNB1618, we integrated genes, including a form of the PAL enzyme that converts Phe to the non-toxic byproduct </w:t>
      </w:r>
      <w:r>
        <w:rPr>
          <w:rFonts w:ascii="Arial" w:cs="Arial" w:eastAsia="Arial" w:hAnsi="Arial"/>
          <w:sz w:val="16"/>
          <w:szCs w:val="16"/>
          <w:i w:val="1"/>
          <w:iCs w:val="1"/>
          <w:color w:val="auto"/>
        </w:rPr>
        <w:t>trans</w:t>
      </w:r>
      <w:r>
        <w:rPr>
          <w:rFonts w:ascii="Arial" w:cs="Arial" w:eastAsia="Arial" w:hAnsi="Arial"/>
          <w:sz w:val="16"/>
          <w:szCs w:val="16"/>
          <w:color w:val="auto"/>
        </w:rPr>
        <w:t xml:space="preserve"> cinnamic acid (TCA), which is then converted in the liver to hippuric acid (HA) and excreted in the urine. TCA and HA function as useful biomarkers of SYNB1618 activity </w:t>
      </w:r>
      <w:r>
        <w:rPr>
          <w:rFonts w:ascii="Arial" w:cs="Arial" w:eastAsia="Arial" w:hAnsi="Arial"/>
          <w:sz w:val="16"/>
          <w:szCs w:val="16"/>
          <w:i w:val="1"/>
          <w:iCs w:val="1"/>
          <w:color w:val="auto"/>
        </w:rPr>
        <w:t>in vivo</w:t>
      </w:r>
      <w:r>
        <w:rPr>
          <w:rFonts w:ascii="Arial" w:cs="Arial" w:eastAsia="Arial" w:hAnsi="Arial"/>
          <w:sz w:val="16"/>
          <w:szCs w:val="16"/>
          <w:color w:val="auto"/>
        </w:rPr>
        <w:t>. SYNB1618 has also been engineered to express a second Phe-consuming pathway, L-amino acid deaminase (LAAD) that results in the production of another non-toxic product, phenylpyruvate (PP). A detailed description of the engineering of SYNB1618 and data from preclinical studies in an animal model of disease and healthy non-human primates was published in September 2018 (Nat. Biotechnol. 36, 857–864 (2018)).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SYNB1618 Preclinical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Efficacy Studies</w:t>
      </w:r>
    </w:p>
    <w:p>
      <w:pPr>
        <w:spacing w:after="0" w:line="11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i w:val="1"/>
          <w:iCs w:val="1"/>
          <w:color w:val="auto"/>
        </w:rPr>
        <w:t xml:space="preserve">In vivo </w:t>
      </w:r>
      <w:r>
        <w:rPr>
          <w:rFonts w:ascii="Arial" w:cs="Arial" w:eastAsia="Arial" w:hAnsi="Arial"/>
          <w:sz w:val="16"/>
          <w:szCs w:val="16"/>
          <w:color w:val="auto"/>
        </w:rPr>
        <w:t>studies in a mouse model of PKU</w:t>
      </w:r>
      <w:r>
        <w:rPr>
          <w:rFonts w:ascii="Arial" w:cs="Arial" w:eastAsia="Arial" w:hAnsi="Arial"/>
          <w:sz w:val="16"/>
          <w:szCs w:val="16"/>
          <w:i w:val="1"/>
          <w:iCs w:val="1"/>
          <w:color w:val="auto"/>
        </w:rPr>
        <w:t xml:space="preserve"> (enu2-/-) </w:t>
      </w:r>
      <w:r>
        <w:rPr>
          <w:rFonts w:ascii="Arial" w:cs="Arial" w:eastAsia="Arial" w:hAnsi="Arial"/>
          <w:sz w:val="16"/>
          <w:szCs w:val="16"/>
          <w:color w:val="auto"/>
        </w:rPr>
        <w:t>demonstrated that urinary HA concentrations increased in a dose-dependent fashion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SYNB1618-treated mice compared to mice treated with an unengineered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control that did not have the phenylalanine degradation pathway. We also observed that subcutaneous injection of mice on a Phe-restricted diet with phenylalanine resulted in a rapid increase in blood phenylalanine concentrations. The increase associated with this phenylalanine challenge was significantly blunted upon oral administration of SYNB1618 compared to administration of the non-engineered control strain. Similar data were generated with SYNB1618 in healthy non-human primates. With increasing oral doses of SYNB1618, we observed increasing levels of plasma TCA and urinary HA demonstrating that SYNB1618 is functional in the primate gut.Taken together, these data demonstrate that SYNB1618 has activity in the GI tract and can decrease blood Phe levels by degradation of recirculating phenylalanine, as well as dietary Phe. A detailed description of the engineering of SYNB1618 and data from preclinical studies in an animal model of disease and healthy non-human primates was published in September 2018 (Nat. Biotechnol. 36, 857–864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SYNB1618 Clinical Development Plan</w:t>
      </w:r>
    </w:p>
    <w:p>
      <w:pPr>
        <w:spacing w:after="0" w:line="11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In April 2018, we initiated a Phase 1/2a, randomized, double-blinded, placebo-controlled study to evaluate the safety, tolerability, and gastrointestinal clearance of an early liquid formulation of SYNB1618. We treated healthy adult volunteers with single- or multiple-ascending doses of SYNB1618 and, having identified an MTD, a small cohort of PKU patients were treated with SYNB1618 as a single dose and as multiple doses.</w:t>
      </w:r>
    </w:p>
    <w:p>
      <w:pPr>
        <w:spacing w:after="0" w:line="149"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Primary endpoints of the study were safety, tolerability and identification of a suitable dose to evaluate in patients with PKU. In addition, exploratory endpoints were designed to evaluate the pharmacodynamic effects of SYNB1618, including production of previously identified biomarkers related to SYNB1618 activity, TCA in plasma and HA in urine, and to provide mechanistic and clinical insights in both healthy volunteers and patients with PKU.</w:t>
      </w:r>
    </w:p>
    <w:p>
      <w:pPr>
        <w:spacing w:after="0" w:line="187"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Fifty-six healthy volunteers were dosed orally with either SYNB1618 or placebo (ratio three to one), including 24 in six cohorts in the SAD portion of the study and 32 subjects in three cohorts of the MAD portion of the trial. In September 2017, we announced top-line data demonstrating that in healthy volunteers SYNB1618 was safe and well tolerated at doses up to 2x10</w:t>
      </w:r>
      <w:r>
        <w:rPr>
          <w:rFonts w:ascii="Arial" w:cs="Arial" w:eastAsia="Arial" w:hAnsi="Arial"/>
          <w:sz w:val="13"/>
          <w:szCs w:val="13"/>
          <w:color w:val="auto"/>
        </w:rPr>
        <w:t>11</w:t>
      </w:r>
      <w:r>
        <w:rPr>
          <w:rFonts w:ascii="Arial" w:cs="Arial" w:eastAsia="Arial" w:hAnsi="Arial"/>
          <w:sz w:val="16"/>
          <w:szCs w:val="16"/>
          <w:color w:val="auto"/>
        </w:rPr>
        <w:t xml:space="preserve"> CFU three times a day for seven days. Higher doses were associated with mild to moderate gastrointestinal symptoms, mainly nausea and vomiting. The data also demonstrated proof-of-mechanism for SYNB1618.</w:t>
      </w:r>
    </w:p>
    <w:p>
      <w:pPr>
        <w:spacing w:after="0" w:line="15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During the treatment part of the study, subjects were housed in a clinical unit and provided a defined diet. The activity of SYNB1618 was evaluated in fasted subjects in both the SAD and MAD cohorts after administration of a standardized breakfast drink containing a defined amount of protein. At one dose level in the SAD portion of the study, solid food containing an equivalent amount of protein was substituted for the liquid meal. In addition, a labeled Phe tracer (D5-Phe) was orally administered. Blood and urine were collected over a subsequent six-hour period and several metabolites were measured including Phe and SYNB1618-specific biomarkers of Phe metabolism, TCA in blood and HA in urine. This was conducted in the SAD cohorts on the day of dosing and in the MAD cohorts on Day -1 (baseline) and Day 7 (the last day of dosing).</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statistically significant dose-dependent increase in both plasma TCA and urinary HA was observed in SYNB1618-treated subjects but not in those treated with placebo. Production of metabolites from Phe administered as a free amino acid was similar to Phe administered as whole protein. In addition, production of metabolites was similar whether the protein was administered as a liquid or as a solid meal. In healthy volunteers, who all have normal Phe metabolism, there was no impact on blood Phe levels. All healthy volunteers enrolled in the study cleared SYNB1618 from their GI tracts within the expected timeframe.</w:t>
      </w:r>
    </w:p>
    <w:p>
      <w:pPr>
        <w:spacing w:after="0" w:line="188"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In July 2019, we announced positive top-line clinical data from the patient cohorts of the Phase 1/2a study of the liquid formulation in which 14 subjects were treated with either SYNB1618 or placebo (3:1) with four treated with a single dose (7 x 10</w:t>
      </w:r>
      <w:r>
        <w:rPr>
          <w:rFonts w:ascii="Arial" w:cs="Arial" w:eastAsia="Arial" w:hAnsi="Arial"/>
          <w:sz w:val="15"/>
          <w:szCs w:val="15"/>
          <w:color w:val="auto"/>
        </w:rPr>
        <w:t>10</w:t>
      </w:r>
      <w:r>
        <w:rPr>
          <w:rFonts w:ascii="Arial" w:cs="Arial" w:eastAsia="Arial" w:hAnsi="Arial"/>
          <w:sz w:val="18"/>
          <w:szCs w:val="18"/>
          <w:color w:val="auto"/>
        </w:rPr>
        <w:t>) and 10 with multiple doses. The primary objectives were to evaluate safety and tolerability of the early liquid formulation in patients. Exploratory outcomes were related to the assessment of the pharmacodynamic effects of SYNB1618, including measurement of previously identified biomarkers, TCA and HA, related to SYNB1618’s engineered ability to consume Phe. A statistically significant increase in these biomarkers of SYNB1618 activity was observed in SYNB1618-treated subjects but not in those treated with placebo.</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Based on the data from the Phase 1/2a study, which demonstrated that SYNB1618 was able to consume equivalent amounts of Phe in the GI-tract in both PKU patients and healthy volunteers, we studied a solid formulation of SYNB1618 in a bridging study in healthy volunteers. This study was designed to evaluate safety and tolerability and Phe-consuming activity, as determined by TCA and HA production, compared to the early liquid formulation. In December 2019, we announced that the solid formulation of SYNB1618 was better tolerated than the liquid and identified a maximum tolerated dose of 2 x 10</w:t>
      </w:r>
      <w:r>
        <w:rPr>
          <w:rFonts w:ascii="Arial" w:cs="Arial" w:eastAsia="Arial" w:hAnsi="Arial"/>
          <w:sz w:val="13"/>
          <w:szCs w:val="13"/>
          <w:color w:val="auto"/>
        </w:rPr>
        <w:t>12</w:t>
      </w:r>
      <w:r>
        <w:rPr>
          <w:rFonts w:ascii="Arial" w:cs="Arial" w:eastAsia="Arial" w:hAnsi="Arial"/>
          <w:sz w:val="16"/>
          <w:szCs w:val="16"/>
          <w:color w:val="auto"/>
        </w:rPr>
        <w:t xml:space="preserve"> live cells (5.3 x 10</w:t>
      </w:r>
      <w:r>
        <w:rPr>
          <w:rFonts w:ascii="Arial" w:cs="Arial" w:eastAsia="Arial" w:hAnsi="Arial"/>
          <w:sz w:val="13"/>
          <w:szCs w:val="13"/>
          <w:color w:val="auto"/>
        </w:rPr>
        <w:t>11</w:t>
      </w:r>
      <w:r>
        <w:rPr>
          <w:rFonts w:ascii="Arial" w:cs="Arial" w:eastAsia="Arial" w:hAnsi="Arial"/>
          <w:sz w:val="16"/>
          <w:szCs w:val="16"/>
          <w:color w:val="auto"/>
        </w:rPr>
        <w:t xml:space="preserve"> colony forming units, or CFUs). The study further demonstrated that a dose ramp improved SYNB1618 tolerability, that the lyophilized strain maintained Phe-consuming activity, and that pH buffering was required for maximum activity of the strain.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SYNB1618 Upcoming Clinical Milestones</w:t>
      </w:r>
    </w:p>
    <w:p>
      <w:pPr>
        <w:spacing w:after="0" w:line="23" w:lineRule="exact"/>
        <w:rPr>
          <w:sz w:val="20"/>
          <w:szCs w:val="20"/>
          <w:color w:val="auto"/>
        </w:rPr>
      </w:pPr>
    </w:p>
    <w:p>
      <w:pPr>
        <w:ind w:right="20" w:firstLine="510"/>
        <w:spacing w:after="0" w:line="323" w:lineRule="auto"/>
        <w:rPr>
          <w:sz w:val="20"/>
          <w:szCs w:val="20"/>
          <w:color w:val="auto"/>
        </w:rPr>
      </w:pPr>
      <w:r>
        <w:rPr>
          <w:rFonts w:ascii="Arial" w:cs="Arial" w:eastAsia="Arial" w:hAnsi="Arial"/>
          <w:sz w:val="16"/>
          <w:szCs w:val="16"/>
          <w:color w:val="auto"/>
        </w:rPr>
        <w:t>In the third quarter of 2020, we initiated a Phase 2 clinical trial with SYNB1618. The Phase 2 trial, referred to as the SynPheny-1 Study, is designed to evaluate safety and tolerability of a solid formulation of SYNB1618 as well as its potential to lower blood Phe levels in adult PKU patients.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Synthetic Biotic Program for Enteric Hyperoxaluria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Enteric Hyperoxaluria</w:t>
      </w:r>
    </w:p>
    <w:p>
      <w:pPr>
        <w:spacing w:after="0" w:line="11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Hyperoxaluria is a disease which results from excessive levels of oxalate in the body. Oxalate can be found naturally in the body or in foods with high oxalate levels such as leafy greens, potatoes, almonds, coffee and beans. Humans do not have an inherent physiological need for oxalate and it is normally excreted through the kidney or reabsorbed through the intestine. Excessive levels of oxalate, when present in the urine, bind with calcium in the kidney and lead to nephrolithiasis (kidney stone formation), nephrocalcinosis, and chronic kidney complications and renal disease.</w:t>
      </w:r>
    </w:p>
    <w:p>
      <w:pPr>
        <w:spacing w:after="0" w:line="2" w:lineRule="exact"/>
        <w:rPr>
          <w:sz w:val="20"/>
          <w:szCs w:val="20"/>
          <w:color w:val="auto"/>
        </w:rPr>
      </w:pPr>
    </w:p>
    <w:p>
      <w:pPr>
        <w:ind w:firstLine="510"/>
        <w:spacing w:after="0" w:line="295" w:lineRule="auto"/>
        <w:rPr>
          <w:sz w:val="20"/>
          <w:szCs w:val="20"/>
          <w:color w:val="auto"/>
        </w:rPr>
      </w:pPr>
      <w:r>
        <w:rPr>
          <w:rFonts w:ascii="Arial" w:cs="Arial" w:eastAsia="Arial" w:hAnsi="Arial"/>
          <w:sz w:val="16"/>
          <w:szCs w:val="16"/>
          <w:color w:val="auto"/>
        </w:rPr>
        <w:t>There are two types of hyperoxaluria. Primary hyperoxaluria is a genetic condition wherein the body produces excessive levels of oxalate. Approved treatments for primary hyperoxaluria which address the genetic causes of primary hyperoxaluria are not beneficial to patients with enteric hyperoxaluria. Enteric hyperoxaluria results from a gastrointestinal problem, which causes malabsorption of oxalate from the diet. Conditions that commonly result in enteric hyperoxaluria include inflammatory bowel disease, certain kinds of bariatric surgery, short bowel syndrome, cystic fibrosis and celiac disease.</w:t>
      </w:r>
    </w:p>
    <w:p>
      <w:pPr>
        <w:spacing w:after="0" w:line="5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Patients with hyperoxaluria normally present to the healthcare system with kidney stones. There is a direct link between elevated urinary oxalate and increased probability of kidney stone events or other renal adverse outcomes in patients with enteric hyperoxaluria. Even modest reductions in urinary oxalate can reduced the odds of developing a kidney stone. A recent epidemiological study conducted in 297 patients with enteric hyperoxaluria demonstrated that a 20% reduction in urinary oxalate resulted in as much as a 25% reduction in risk of having a kidney stone in the subsequent year (D’Costa, Nephrol Dial Transplant 2020).</w:t>
      </w:r>
    </w:p>
    <w:p>
      <w:pPr>
        <w:spacing w:after="0" w:line="8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Kidney stones, of which 80% have been found to contain oxalate crystals, are extremely painful and have an estimated economic burden of over ~$5 billion on the U.S. healthcare system. Patients with kidney stones are treated with opioids to control the pain and the stones are either passed naturally or treated with shockwave lithotripsy to break apart the stone or removal by surgery. There is a 60-80% recurrence rate after a patient has had one kidney stone. Recurrent kidney stones have been shown to lead to kidney damage, end stage renal disease, and the need for a kidney transplant.</w:t>
      </w:r>
    </w:p>
    <w:p>
      <w:pPr>
        <w:spacing w:after="0" w:line="1" w:lineRule="exact"/>
        <w:rPr>
          <w:sz w:val="20"/>
          <w:szCs w:val="20"/>
          <w:color w:val="auto"/>
        </w:rPr>
      </w:pPr>
    </w:p>
    <w:p>
      <w:pPr>
        <w:jc w:val="both"/>
        <w:ind w:right="180" w:firstLine="510"/>
        <w:spacing w:after="0" w:line="295" w:lineRule="auto"/>
        <w:rPr>
          <w:sz w:val="20"/>
          <w:szCs w:val="20"/>
          <w:color w:val="auto"/>
        </w:rPr>
      </w:pPr>
      <w:r>
        <w:rPr>
          <w:rFonts w:ascii="Arial" w:cs="Arial" w:eastAsia="Arial" w:hAnsi="Arial"/>
          <w:sz w:val="16"/>
          <w:szCs w:val="16"/>
          <w:color w:val="auto"/>
        </w:rPr>
        <w:t>There are an estimated 200,000 to 250,000 patients with enteric hyperoxaluria in the United States, and more than 80,000 patients who experience recurrent kidney stones due to hyperoxaluria. Currently there are no approved pharmacological therapies for the reduction of oxalate levels in the urine in patients with Enteric Hyperoxaluria. Existing treatment options are generally non-specific and include high fluid intake to increase urine output to more than two to three liters per day, a diet low in salt and oxalate, oral citrate and/or calcium and/or magnesium supplementation.</w:t>
      </w:r>
    </w:p>
    <w:p>
      <w:pPr>
        <w:spacing w:after="0" w:line="53"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We believe there exists a clear need for therapies that lower dangerously high levels of urinary oxalate in enteric hyperoxaluria patients. We believe that a targeted chronic oral therapy that results in lower urinary oxalate levels would provide a substantial benefit for this underserved patient population.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SYNB8802 Preclinical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Efficacy Studies</w:t>
      </w:r>
    </w:p>
    <w:p>
      <w:pPr>
        <w:spacing w:after="0" w:line="11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studies in both mouse and non-human primate studies demonstrated that SYNB8802 decreased urinary oxalate levels in an acute model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hyperoxaluria induced by dietary intervention </w:t>
      </w:r>
      <w:r>
        <w:rPr>
          <w:rFonts w:ascii="Arial" w:cs="Arial" w:eastAsia="Arial" w:hAnsi="Arial"/>
          <w:sz w:val="17"/>
          <w:szCs w:val="17"/>
          <w:i w:val="1"/>
          <w:iCs w:val="1"/>
          <w:color w:val="auto"/>
        </w:rPr>
        <w:t>in vivo</w:t>
      </w:r>
      <w:r>
        <w:rPr>
          <w:rFonts w:ascii="Arial" w:cs="Arial" w:eastAsia="Arial" w:hAnsi="Arial"/>
          <w:sz w:val="17"/>
          <w:szCs w:val="17"/>
          <w:color w:val="auto"/>
        </w:rPr>
        <w:t>. In mice, we observed reductions in C-13 labeled oxalate using both frozen liquid and lyophilized formulations of SYNB8802. In non-human primates whose oxalate was raised via dietary intervention, we observed statistically significant reductions of urinary oxalate levels, as well as statistically significant reductions in C-13 labeled oxalate, normalized by creatine levels.</w:t>
      </w:r>
    </w:p>
    <w:p>
      <w:pPr>
        <w:spacing w:after="0" w:line="63"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A detailed description of the engineering of SYNB8802 and data from preclinical studies in an animal model of disease and healthy non-human primates was presented at the American Society of Nephrology Kidney Week 2020 conference (Renaud et al, poster number PO0650).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SYNB8802 Upcoming Clinical Milestones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May 2020, we announced the nomination of a clinical candidate for Enteric Hyperoxaluria, SYNB8802. We initiated a Phase 1 clinical trial of SYNB8802 in the fourth quarter of 2020.</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SYNB8802 will be assessed for safety and tolerability, strain kinetics, changes in plasma and urine biomarkers of strain activity, and the potential to reduce urinary oxalate in the Phase 1 clinical study. The study has two parts: Part A is a multiple ascending dose study in healthy volunteers in whom we will induce temporary hyperoxaluria via diet; Part B is a placebo controlled, cross-over design study in patients with Enteric Hyperoxaluria following Roux-n-Y gastric bypass surgery.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Synthetic Biotic Medicines for Other Metabolic Disorders with High Unmet Need</w:t>
      </w:r>
    </w:p>
    <w:p>
      <w:pPr>
        <w:spacing w:after="0" w:line="12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The strain design and engineering, translational research, clinical and regulatory planning and scalable manufacturing of our PKU program has informed development of future clinical candidates, including the Enteric Hyperoxaluria program. Additional preclinical programs have been selected based on our expertise discovering and developing Synthetic Biotic medicines that consume a toxic metabolite known to be associated with the relevant clinical endpoint and to be accessible in the GI tract.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Synthetic Biotic Medicines for Immuno-Oncology</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believe boosting the body’s immune response against tumor cells is one of the most promising advances in the treatment of cancer. The so-called “hot tumors,” those with robust immune cell infiltration, specifically by T cells, have responded well to immunotherapies such as PD-1 and CTLA-4 checkpoint inhibitors. Checkpoint inhibitors work by blocking pathways that inhibit T cells thus enabling them to recognize and destroy the tumor. Checkpoint inhibitors have significantly extended the lives of patients with several cancer types and, in some cases, have resulted in complete clinical responses. However, a large proportion of tumors are “cold” (i.e., they lack T cells), and respond poorly to current immunotherapy.</w:t>
      </w:r>
    </w:p>
    <w:p>
      <w:pPr>
        <w:spacing w:after="0" w:line="176"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Our goal is to leverage our Synthetic Biotic platform to design living medicines that can engage multiple immunomodulatory pathways to enhance tumor inflammation and promote robust T cell responses enabling broad tumor response and remission. We believe that such medicines have the potential to expand the patient population that could benefit from immunotherapy. Our initial approach is designed to deliver robust therapeutic combinations directly to the tumors, without significant systemic exposure. Synthetic Biotic medicines are also being developed to be administered by an intra-tumor injection or, in the case of GI cancers, by oral administration and can be engineered to perform three types of functions: metabolic consumption of an immune-suppressive metabolite, production of an immuno-activating metabolite, secretion or bacterial surface display of proteins (cytokines, chemokines, receptor ligands and single chain antibody domains, known as scFv).</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 w:name="page16"/>
    <w:bookmarkEnd w:id="15"/>
    <w:p>
      <w:pPr>
        <w:ind w:right="20" w:firstLine="510"/>
        <w:spacing w:after="0" w:line="288" w:lineRule="auto"/>
        <w:rPr>
          <w:sz w:val="20"/>
          <w:szCs w:val="20"/>
          <w:color w:val="auto"/>
        </w:rPr>
      </w:pPr>
      <w:r>
        <w:rPr>
          <w:rFonts w:ascii="Arial" w:cs="Arial" w:eastAsia="Arial" w:hAnsi="Arial"/>
          <w:sz w:val="16"/>
          <w:szCs w:val="16"/>
          <w:color w:val="auto"/>
        </w:rPr>
        <w:t xml:space="preserve">We believe our Synthetic Biotic platform can be deployed in a rational, mechanistic way, and can deliver multiple validated mechanisms to elicit specific immune responses in the tumor microenvironment. Lack of effective presentation of tumor-specific antigens to T cells is recognized as a significant limitation to the initiation of immune responses in tumors. Our lead clinical program in immuno-oncology (SYNB1891) is an approach to activate the immune system and enhance T cell priming, capitalizing on the innate stimulatory effect of the </w:t>
      </w:r>
      <w:r>
        <w:rPr>
          <w:rFonts w:ascii="Arial" w:cs="Arial" w:eastAsia="Arial" w:hAnsi="Arial"/>
          <w:sz w:val="16"/>
          <w:szCs w:val="16"/>
          <w:i w:val="1"/>
          <w:iCs w:val="1"/>
          <w:color w:val="auto"/>
        </w:rPr>
        <w:t>E.coli</w:t>
      </w:r>
      <w:r>
        <w:rPr>
          <w:rFonts w:ascii="Arial" w:cs="Arial" w:eastAsia="Arial" w:hAnsi="Arial"/>
          <w:sz w:val="16"/>
          <w:szCs w:val="16"/>
          <w:color w:val="auto"/>
        </w:rPr>
        <w:t xml:space="preserve"> Nissle chassis and supplementing this with the directed delivery of an additional immune-stimulatory factor. SYNB1891 is an engineered </w:t>
      </w:r>
      <w:r>
        <w:rPr>
          <w:rFonts w:ascii="Arial" w:cs="Arial" w:eastAsia="Arial" w:hAnsi="Arial"/>
          <w:sz w:val="16"/>
          <w:szCs w:val="16"/>
          <w:i w:val="1"/>
          <w:iCs w:val="1"/>
          <w:color w:val="auto"/>
        </w:rPr>
        <w:t>E.coli</w:t>
      </w:r>
      <w:r>
        <w:rPr>
          <w:rFonts w:ascii="Arial" w:cs="Arial" w:eastAsia="Arial" w:hAnsi="Arial"/>
          <w:sz w:val="16"/>
          <w:szCs w:val="16"/>
          <w:color w:val="auto"/>
        </w:rPr>
        <w:t xml:space="preserve"> Nissle strain designed to produce, but not secrete, a STING agonist. The STING pathway plays a critical role in the control of tumor growth by initiating an antitumor immune response and driving tumor regression. SYNB1891 can be delivered directly into the tumor, where it is engulfed by antigen presenting cells (APCs), enabling its localized site of action in the tumor microenvironment. The approach of using intratumoral injection elicits STING activation in the tumor, but not systemically, potentially decreasing the risk of adverse events that may arise from the production of systemic interferon. Moreover, as the STING agonist it produces is not secreted but is released directly into the APCs, immune cells such as T cells that might be negatively impacted by exposure are spared.</w:t>
      </w:r>
    </w:p>
    <w:p>
      <w:pPr>
        <w:spacing w:after="0" w:line="168"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SYNB1891 is being evaluated in a Phase 1 open-label, multicenter, dose escalation trial in patients with refractory solid tumors and lymphoma. The study’s primary objectives are to evaluate safety and tolerability of escalating doses of intratumorally administered SYNB1891 as a monotherapy. Once a maximum tolerated dose is established, patients will receive escalating dose levels of SYNB1891 in combination with the PD-L1-blocking checkpoint inhibitor, atezolizumab, (Tecentriq</w:t>
      </w:r>
      <w:r>
        <w:rPr>
          <w:rFonts w:ascii="Arial" w:cs="Arial" w:eastAsia="Arial" w:hAnsi="Arial"/>
          <w:sz w:val="14"/>
          <w:szCs w:val="14"/>
          <w:color w:val="auto"/>
        </w:rPr>
        <w:t>®</w:t>
      </w:r>
      <w:r>
        <w:rPr>
          <w:rFonts w:ascii="Arial" w:cs="Arial" w:eastAsia="Arial" w:hAnsi="Arial"/>
          <w:sz w:val="17"/>
          <w:szCs w:val="17"/>
          <w:color w:val="auto"/>
        </w:rPr>
        <w:t>) to establish a recommended Phase 2 dose for the combination regimen.</w:t>
      </w:r>
    </w:p>
    <w:p>
      <w:pPr>
        <w:spacing w:after="0" w:line="171" w:lineRule="exact"/>
        <w:rPr>
          <w:sz w:val="20"/>
          <w:szCs w:val="20"/>
          <w:color w:val="auto"/>
        </w:rPr>
      </w:pPr>
    </w:p>
    <w:p>
      <w:pPr>
        <w:jc w:val="both"/>
        <w:ind w:right="500" w:firstLine="510"/>
        <w:spacing w:after="0" w:line="342" w:lineRule="auto"/>
        <w:rPr>
          <w:sz w:val="20"/>
          <w:szCs w:val="20"/>
          <w:color w:val="auto"/>
        </w:rPr>
      </w:pPr>
      <w:r>
        <w:rPr>
          <w:rFonts w:ascii="Arial" w:cs="Arial" w:eastAsia="Arial" w:hAnsi="Arial"/>
          <w:sz w:val="16"/>
          <w:szCs w:val="16"/>
          <w:color w:val="auto"/>
        </w:rPr>
        <w:t>We released interim data from the ongoing monotherapy arm of this trial in December of 2020 which demonstrated target engagement and the production of biomarkers consistent with STING activation. In December of 2020 we also initiated the combination arm of the Phase 1 clinical trial.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Synthetic Biotic Medicines for Inflammatory Bowel Disease (IBD)</w:t>
      </w:r>
    </w:p>
    <w:p>
      <w:pPr>
        <w:spacing w:after="0" w:line="229"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Current approaches to treat IBD are focused on therapeutics that modulate the immune system and suppress inflammation. These therapies include steroids, such as prednisone, and tumor necrosis factor inhibitors, such as Humira® (adalimumab). However, these approaches are associated with systemic immunosuppression, which includes greater susceptibility to infectious diseases and cancer. According to the CDC, in 2015 an estimated 3.0 million adults in the United States are reported as being diagnosed with IBD.</w:t>
      </w:r>
    </w:p>
    <w:p>
      <w:pPr>
        <w:spacing w:after="0" w:line="164"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allows for the effective programming of E. coli Nissle to execute these functions, including the metabolic production of factors such short chain fatty acids to enhance barrier function, and secreting proteins, such as immunomodulatory cytokines.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Among immune conditions, IBD is particularly attractive for our Synthetic Biotic platform, as it allows us to leverage knowledge and expertise gleaned from our oral metabolic programs to develop living medicines that can act locally at the site of disease in the gut. Because our approach is based on local delivery to the site of inflammation and not on systemic administration, we anticipate that our Synthetic Biotic medicines may offer an attractive safety profile in this setting. In 2015, we entered into a multi-year global collaboration with AbbVie focused on the discovery and development of Synthetic Biotic medicines for the treatment of IBD. This agreement was terminated in 2020 and all rights for the development of Synthetic Biotics in IBD were returned to Synlogic.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To accelerate the development and commercialization of Synthetic Biotic medicines to patients, we have formed, and intend to seek other opportunities to form, strategic alliances with collaborators that can expand our pipeline of therapeutic development and product candidates. We also work, and intend to seek additional opportunities to work, with multiple academic, research and translational medicine organizations and entities to deepen our understanding and development of living medicines with the potential to treat disease and disorders.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Ginkgo Bioworks</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June 2019 we entered into an agreement with Ginkgo. The agreement provided an $80.0 million equity investment at a premium in Synlogic by Ginkgo and entry into a long-term strategic platform collaboration to expand and accelerate the development of Synlogic’s pipeline of Synthetic Biotic medicines. We are using Ginkgo’s cell programming platform to build and test thousands of microbial strains to accelerate progression of early preclinical leads to drug candidates optimized for further clinical development.</w:t>
      </w:r>
    </w:p>
    <w:p>
      <w:pPr>
        <w:spacing w:after="0" w:line="18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As part of the agreement, Ginkgo purchased 6,340,771 shares of our common stock and accompanying Pre-Funded Warrants (the “Pre-Funded Warrants”) to purchase up to 2,548,117 shares of our common stock, at a combined price of $9.00 per share and Pre-Funded Warrant. Gross proceeds were approximately $80 million. Under the agreement, we made a prepayment to Ginkgo of $30.0 million for its foundry services that are being provided to us over an initial term of five years which can be extended. Upon the expiration of such initial term and, if applicable, such additional period, any portion of our prepayment that has not been used to purchase services from Ginkgo will be retained by Ginkgo. We have exclusive rights to any Synthetic Biotic medicines that we develop as part of the collaboration and to intellectual property covering such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w:t>
      </w:r>
    </w:p>
    <w:p>
      <w:pPr>
        <w:spacing w:after="0" w:line="225"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In July 2015, we entered into a license agreement with our subsidiary Synlogic IBDCo, Inc. (IBDCo) and an Agreement and Plan of Merger with AbbVie (together, the AbbVie Agreements) to collaborate on the discovery and development of Synthetic Biotic medicines for the treatment of IBD. The AbbVie Agreements provided AbbVie with an exclusive option to acquire IBDCo, which would then have had an exclusive worldwide license to develop and commercialize up to three specified Synthetic Biotic medicines for the treatment of IBD. In May 2020, we announced the termination of this collaboration with AbbVie.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Future Collaborations</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believe strategic partnerships can be important drivers for accelerating our goal of developing Synthetic Biotic medicines, and we will continue to seek strategic alliances with collaborators who can help fund, develop and commercialize our novel therapeutic development and product candidates, particularly in large metabolic indications and immuno-oncology. As the potential application of our Synthetic Biotics platform is extremely broad, we also plan to continue to identify academic, research and translational medicine organizations and entities that can contribute expertise and resources to our programs, to allow us to more rapidly expand our impact to broader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Technology Licenses</w:t>
      </w:r>
    </w:p>
    <w:p>
      <w:pPr>
        <w:spacing w:after="0" w:line="22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certain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synthetic biology. We additionally rely on data exclusivity, market exclusivity, and patent term extensions when available, and plan to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are well positioned in terms of intellectual property because we:</w:t>
      </w:r>
    </w:p>
    <w:p>
      <w:pPr>
        <w:spacing w:after="0" w:line="117" w:lineRule="exact"/>
        <w:rPr>
          <w:sz w:val="20"/>
          <w:szCs w:val="20"/>
          <w:color w:val="auto"/>
        </w:rPr>
      </w:pPr>
    </w:p>
    <w:p>
      <w:pPr>
        <w:ind w:left="1000" w:right="36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 and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7" w:name="page18"/>
    <w:bookmarkEnd w:id="17"/>
    <w:p>
      <w:pPr>
        <w:ind w:left="1000" w:right="2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believe our intellectual property portfolio provides broad coverage of our Synthetic Biotic platform and applicable disease-related technologies, which are directed to diseases and conditions associated with hyperphenylalanemia, other rare metabolic diseases and metabolic disorders, autoimmune and other inflammatory disorders and oncology. As of March 18, 2021, we had 161 Synlogic-owned patents and patent applications in U.S. and foreign jurisdictions, of which 17 have been issued or allowed.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Synlogic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Disease-related applications</w:t>
      </w:r>
    </w:p>
    <w:p>
      <w:pPr>
        <w:spacing w:after="0" w:line="117"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The disease-related applications in our intellectual property portfolio relate to certain pathological conditions including, but not limited to hyperammonemia, hyperphenylalaninemia, certain inherited metabolic diseases and conditions, metabolic disorders, diseases and conditions associated with an inflammatory state, diseases associated with gut inflammation, compromised gut mucosal barrier (leaky gut), and various autoimmune disorders as well as use in immuno-oncology and provide coverage for engineered bacteria having genetic circuitry designed to specifically address those conditions and the associated disease states. The intellectual property portfolio provides coverage for compositions directed to engineered bacterial strains, methods of making the bacterial strains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IP has expiration dates ranging from December 2035 to January 2038, depending on the indication and excluding any patent term adjustments or extensions.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 Applications</w:t>
      </w:r>
    </w:p>
    <w:p>
      <w:pPr>
        <w:spacing w:after="0" w:line="117" w:lineRule="exact"/>
        <w:rPr>
          <w:sz w:val="20"/>
          <w:szCs w:val="20"/>
          <w:color w:val="auto"/>
        </w:rPr>
      </w:pPr>
    </w:p>
    <w:p>
      <w:pPr>
        <w:ind w:right="320" w:firstLine="749"/>
        <w:spacing w:after="0" w:line="257" w:lineRule="auto"/>
        <w:rPr>
          <w:sz w:val="20"/>
          <w:szCs w:val="20"/>
          <w:color w:val="auto"/>
        </w:rPr>
      </w:pPr>
      <w:r>
        <w:rPr>
          <w:rFonts w:ascii="Arial" w:cs="Arial" w:eastAsia="Arial" w:hAnsi="Arial"/>
          <w:sz w:val="18"/>
          <w:szCs w:val="18"/>
          <w:color w:val="auto"/>
        </w:rPr>
        <w:t>In addition to the disease-related technology, our intellectual property portfolio also includes applications directed to platform technologies developed internally by us. Exemplary platform technologies include bacterial chassis-related and genetic circuitry-related technological developments, including, for example, improvements in inducible gene regulation, control of bacterial cell growth, including auto-regulation thereof, and systems for importing metabolites, as well as production of therapeutic effectors. These platform technologies, and our intellectual property coverage thereof, are broadly applicable to our therapeutic Synthetic Biotic medicines.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Considerations</w:t>
      </w:r>
    </w:p>
    <w:p>
      <w:pPr>
        <w:spacing w:after="0" w:line="225"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(USPTO)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registered trademark portfolio currently contains 21 registered trademarks, 1 allowance and 5 pending applications.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117"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 keeping, promotion, advertising, distribution, marketing and export and import of products such as those we are developing. A new drug must be approved by the FDA through the New Drug Application (NDA) process and a new biologic must be approved by the FDA through the Biologics License Application (BLA), process before such products may be legally marketed in the United States.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(FDCA) and in the case of biologics, also under the Public Health Service Act (PHSA) and implementing regulations. Our product candidates will be regulated by the FDA as biologics. The process of obtaining regulatory approvals and the subsequent compliance with applicable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license revocation,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 may be marketed in the United States generally involves the following:</w:t>
      </w:r>
    </w:p>
    <w:p>
      <w:pPr>
        <w:spacing w:after="0" w:line="73" w:lineRule="exact"/>
        <w:rPr>
          <w:sz w:val="20"/>
          <w:szCs w:val="20"/>
          <w:color w:val="auto"/>
        </w:rPr>
      </w:pPr>
    </w:p>
    <w:p>
      <w:pPr>
        <w:ind w:left="1000" w:right="2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required preclinical laboratory tests, animal studies and formulation studies performed in accordance with Good Laboratory Practice (GLP) and other applicable regulations;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shipment of investigational product for human clinical trials may begin;</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trial site before each clinical trial may be initiated;</w:t>
      </w:r>
    </w:p>
    <w:p>
      <w:pPr>
        <w:spacing w:after="0" w:line="62"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performed in accordance with applicable IND regulations, Good Clinical Practice (GCP), and other clinical-trial related regulations to evaluate the safety and efficacy of the investigational product for each proposed indication;</w:t>
      </w:r>
    </w:p>
    <w:p>
      <w:pPr>
        <w:spacing w:after="0" w:line="75"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and approval of a companion diagnostic device, if the FDA or the sponsor believes that its use is essential for the safe and effective use of a corresponding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including payment of application user fees;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19" w:name="page20"/>
    <w:bookmarkEnd w:id="19"/>
    <w:p>
      <w:pPr>
        <w:ind w:left="100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biologic is produced to assess compliance with GMP to assure that the facilities, methods and controls are adequate to preserve the product’s identity, strength, quality and purity;</w:t>
      </w:r>
    </w:p>
    <w:p>
      <w:pPr>
        <w:spacing w:after="0" w:line="15" w:lineRule="exact"/>
        <w:rPr>
          <w:rFonts w:ascii="Arial" w:cs="Arial" w:eastAsia="Arial" w:hAnsi="Arial"/>
          <w:sz w:val="16"/>
          <w:szCs w:val="16"/>
          <w:color w:val="auto"/>
        </w:rPr>
      </w:pPr>
    </w:p>
    <w:p>
      <w:pPr>
        <w:ind w:left="1000" w:right="1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FDA audit of the clinical trial sites to assure compliance with GCP and the integrity of the clinical data submitted in support of the BLA; and</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BLA, including satisfactory completion of an FDA advisory committee review of the product candidate, where appropriate or if applicable, prior to any commercial marketing or sale of the product in the United States.</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Once a pharmaceutical candidate is identified for development, it enters the preclinical testing stage. Preclinical tests include laboratory evaluations of product chemistry and formulation, animal toxicity and pharmacology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87"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An IND sponsor must submit the results of the preclinical tests, together with manufacturing information and analytical data, to the FDA as part of the IND. In June 2016, the FDA issued an updated guidance for the industry entitled “Early Clinical Trials with Live Biotherapeutic Products: Chemistry, Manufacturing and Control Information,” which included recommendations from the FDA regarding the chemistry, manufacturing and control information that should be included in an IND for early clinical trials with live biotherapeutic products. This Guidance reflects the FDA’s thinking on a topic at the time that it was issued and although it is not binding on the FDA or a sponsor, it provided us with additional information about what should be included in our IND. The sponsor will also include in the IND a protocol detailing, among other things, the objectives of the clinical trial, the parameters to be used in monitoring safety, and the effectiveness criteria to be evaluated, if a first phase study lends itself to an efficacy evaluation. Some long-term preclinical testing, such as animal tests of reproductive adverse events and carcinogenicity, may continue after an IND for an investigational drug candidate is submitted to the FDA and human clinical trials have been initiated.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6"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All clinical trials must be conducted under the supervision of one or more qualified investigators, and in accordance with GCP requirements. They must be conducted under protocols detailing the objectives of the trial, dosing procedures, subject selection and exclusion criteria and the safety and effectiveness criteria to be evaluated. Each protocol must be submitted to the FDA as part of the IND, and timely safety reports must be submitted to the FDA and the investigators for serious and unexpected adverse events. An institutional review board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rules and regulations. Study subjects must sign the IRB-approved informed consent form participating in a clinical trial.</w:t>
      </w:r>
    </w:p>
    <w:p>
      <w:pPr>
        <w:spacing w:after="0" w:line="16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an IRB representing each institution that is participating in the clinical trial must review and approve the plan for any clinical trial before it commences at that institution, and the IRB must conduct a continuing review and reapprove the trial at least annually. The IRB must review and approve, among other things, the trial protocol and informed consent information to be provided to clinical trial subjects. An IRB must operate in compliance with FDA regulations.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00" w:hanging="493"/>
        <w:spacing w:after="0" w:line="31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and tested for safety, dosage tolerance, absorption, metabolism, distribution and excretion. In the case of some products for severe or life-threatening diseases, such as cancer, especially when the product may be too inherently toxic to ethically administer to healthy volunteers, the initial human testing is usually conducted in patients.</w:t>
      </w:r>
    </w:p>
    <w:p>
      <w:pPr>
        <w:spacing w:after="0" w:line="40" w:lineRule="exact"/>
        <w:rPr>
          <w:rFonts w:ascii="Arial" w:cs="Arial" w:eastAsia="Arial" w:hAnsi="Arial"/>
          <w:sz w:val="16"/>
          <w:szCs w:val="16"/>
          <w:color w:val="auto"/>
        </w:rPr>
      </w:pPr>
    </w:p>
    <w:p>
      <w:pPr>
        <w:ind w:left="1000" w:right="40" w:hanging="493"/>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Phase 2: This phase involves clinical trials in a limited patient population to identify possible adverse effects and safety risks, to preliminarily evaluate the efficacy of the product for specific targeted diseases and to determine dosage tolerance and optimal dosage.</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Phase 3: Larger clinical trials are undertaken to further evaluate dosage, clinical efficacy and safety in an expanded patient population, often</w:t>
      </w:r>
    </w:p>
    <w:p>
      <w:pPr>
        <w:spacing w:after="0" w:line="46" w:lineRule="exact"/>
        <w:rPr>
          <w:rFonts w:ascii="Arial" w:cs="Arial" w:eastAsia="Arial" w:hAnsi="Arial"/>
          <w:sz w:val="16"/>
          <w:szCs w:val="16"/>
          <w:color w:val="auto"/>
        </w:rPr>
      </w:pPr>
    </w:p>
    <w:p>
      <w:pPr>
        <w:ind w:left="1000" w:right="60"/>
        <w:spacing w:after="0" w:line="277" w:lineRule="auto"/>
        <w:rPr>
          <w:rFonts w:ascii="Arial" w:cs="Arial" w:eastAsia="Arial" w:hAnsi="Arial"/>
          <w:sz w:val="16"/>
          <w:szCs w:val="16"/>
          <w:color w:val="auto"/>
        </w:rPr>
      </w:pPr>
      <w:r>
        <w:rPr>
          <w:rFonts w:ascii="Arial" w:cs="Arial" w:eastAsia="Arial" w:hAnsi="Arial"/>
          <w:sz w:val="17"/>
          <w:szCs w:val="17"/>
          <w:color w:val="auto"/>
        </w:rPr>
        <w:t>at geographically dispersed clinical study sites. These clinical trials are intended to establish the overall risk: 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0" w:name="page21"/>
    <w:bookmarkEnd w:id="20"/>
    <w:p>
      <w:pPr>
        <w:jc w:val="both"/>
        <w:ind w:right="300" w:firstLine="510"/>
        <w:spacing w:after="0" w:line="263" w:lineRule="auto"/>
        <w:rPr>
          <w:sz w:val="20"/>
          <w:szCs w:val="20"/>
          <w:color w:val="auto"/>
        </w:rPr>
      </w:pPr>
      <w:r>
        <w:rPr>
          <w:rFonts w:ascii="Arial" w:cs="Arial" w:eastAsia="Arial" w:hAnsi="Arial"/>
          <w:sz w:val="18"/>
          <w:szCs w:val="18"/>
          <w:color w:val="auto"/>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GMP or IRB requirements or if the drug has been associated with unexpected serious harm to patients. Additionally,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Phase 1, Phase 2, and Phase 3 testing may not be completed successfully within any specified period, if at all.</w:t>
      </w:r>
    </w:p>
    <w:p>
      <w:pPr>
        <w:spacing w:after="0" w:line="19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During the development of a new biologic, sponsors have the opportunity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with the FDA and to present their plans for the pivotal Phase 3 clinical trial that they believe will support approval of the new biologic. If this type of discussion occurs, a sponsor may be able to request a Special Protocol Assessment (SPA), the purpose of which is to reach agreement with the FDA on the design of the Phase 3 clinical trial protocol design and analysis that will form the primary basis of an efficacy claim.</w:t>
      </w:r>
    </w:p>
    <w:p>
      <w:pPr>
        <w:spacing w:after="0" w:line="17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Concurrent with clinical trials, companies usually complete the additional animal studies that may be required for approval and must also develop additional information about the chemistry and physical characteristics of the biologic and finalize a process for manufacturing the product in commercial quantities in accordance with GMP requirements. The manufacturing process must be capable of consistently producing acceptable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 xml:space="preserve">While the IND is active and before approval, progress reports must be submitted at least annually to the FDA, and written IND safety reports must be submitted to the FDA and investigators for serious and unexpected suspected adverse reactions, findings from other studies suggesting a significant risk to humans exposed to the same or similar drugs, findings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suggesting a significant risk to humans, and any clinically important increased incidence of a serious suspected adverse reaction compared to that listed in the protocol or investigator brochure. The annual report is customarily submitted in the form of a Drug Safety Update Report (DSUR) which is accepted as being equivalent to an IND Annual Report and also meets requirements of the EU (European Union) and ICH (International Conference on Harmonization).</w:t>
      </w:r>
    </w:p>
    <w:p>
      <w:pPr>
        <w:spacing w:after="0" w:line="17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There are also requirements governing the reporting of ongoing clinical trials and completed trial results to public registries. Sponsors of most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submit the results of their clinical trials after completion, within a specified time frame. Disclosure of the results of these trials can be delayed until the new product or new indication being studied has been approved. However, there are evolving rules and increasing requirements for publication of all trial related information, and data and other information from trials involving drugs that never garner approval will require disclosure. Failure to post results of clinical trials in a timely fashion is subject to daily fines and other potential penalties.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Assuming successful completion of the required clinical testing, the results of the nonclinical studies and clinical trials, along with detailed information relating to the product’s chemistry, manufacturing, and controls, stability, quality control and product release procedures, proposed labeling, and other relevant information are submitted to the FDA as part of a BLA, requesting approval to market the product for one or more indications. The submission of a BLA is subject to the payment of a significant user fee (for example, for FY2020 this application fee exceeds $2.9 million); although a waiver of such fee may be obtained under certain limited circumstances, including where the biologic has been designated as an orphan drug. The sponsor of an approved BLA is also subject to an annual program fee, currently more than $300,000 per program. These fees are typically increased annually, but exemptions and waivers may be available under certain circumstances (such as a waiver for the first human drug application submitted by a qualifying small business and exemptions for orphan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180" w:firstLine="510"/>
        <w:spacing w:after="0" w:line="273" w:lineRule="auto"/>
        <w:rPr>
          <w:sz w:val="20"/>
          <w:szCs w:val="20"/>
          <w:color w:val="auto"/>
        </w:rPr>
      </w:pPr>
      <w:r>
        <w:rPr>
          <w:rFonts w:ascii="Arial" w:cs="Arial" w:eastAsia="Arial" w:hAnsi="Arial"/>
          <w:sz w:val="17"/>
          <w:szCs w:val="17"/>
          <w:color w:val="auto"/>
        </w:rPr>
        <w:t>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and a sponsor’s process to respond to such inquiries. This FDA review typically takes twelve months from the date the BLA is submitted to the FDA (for a standard review) and eight months from the date the BLA is submitted (for a “priority review”) because the FDA has approximately two months, or 60 days, after BLA submission to make a “filing” decision.</w:t>
      </w:r>
    </w:p>
    <w:p>
      <w:pPr>
        <w:spacing w:after="0" w:line="17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FDA reviews all BLAs submitted to ensure that they are sufficiently complete for substantive review before it accepts them for filing. The FDA may request additional information rather than accept a BLA for filing. In this event, the BLA must be resubmitted with the additional information. The resubmitted application also is subject to review before the FDA accepts it for filing. Once the submission is accepted for filing, the FDA begins an in-depth substantive review.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1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Before approving a BLA, the FDA will typically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 FDA also may inspect the sponsor and one or more clinical trial sites to assure compliance with GCP requirements and the integrity of the clinical data submitted to the FDA.</w:t>
      </w:r>
    </w:p>
    <w:p>
      <w:pPr>
        <w:spacing w:after="0" w:line="18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FDA may refer any BLA including applications for novel biologic candidates which present difficult questions of safety or efficacy, to an advisory committee for review, evaluation and recommendation as to whether the application should be approved and under what conditions. The FDA is not bound by the recommendation of an advisory committee, but it considers such recommendations when making final decisions on approval. The approval process is lengthy and often difficult, and the FDA may refuse to approve a BLA if the applicable regulatory criteria are not satisfied or may require additional clinical or other data and information. Even if such data and information are submitted, the FDA may ultimately decide that the BLA does not satisfy the criteria for approval. Data obtained from clinical trials are not always conclusive and the FDA may interpret data differently than we interpret the same data. . After the FDA evaluates a BLA,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such as an additional pivotal Phase 3 trial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The FDA reviews a BLA to determine, among other things, whether the product is safe, pure and potent and the facility in which it is manufactured, processed, packed or held meets standards designed to assure the product’s continued safety, purity and potency.</w:t>
      </w:r>
    </w:p>
    <w:p>
      <w:pPr>
        <w:spacing w:after="0" w:line="1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BLAs receive either standard or priority review. A drug representing a significant improvement in treatment, prevention or diagnosis of disease may receive priority review. Priority review for an original BLA should occur within six months from the date that the BLA is filed. In addition, products studied for their safety and effectiveness in treating serious or life threatening illnesses and that provide meaningful therapeutic benefit over existing treatments may receive accelerated approval and may be conditionally approved on the basis of adequate and well controlled clinical trials establishing that the drug product has an effect on a surrogate endpoint that is reasonably likely to predict clinical benefit or on the basis of an effect on a clinical endpoint other than survival or irreversible morbidity. As a condition of approval, the FDA may require that a sponsor of a drug receiving accelerated approval perform adequate and well controlled Phase 4 clinical trials. Priority review and accelerated approval do not change the standards for approval, but may expedite the approval process.</w:t>
      </w:r>
    </w:p>
    <w:p>
      <w:pPr>
        <w:spacing w:after="0" w:line="19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If a product receives regulatory approval, the approval is limited to the conditions of use (e.g., patient population, indication) described in the BLA, which could restrict the commercial value of the product. Further, depending on the specific risk(s) to be addressed, the FDA may require that contraindications, warnings or precautions be included in the product labeling, require a sponsor to conduct Phase 4 testing which involves clinical trials designed to further assess a drug’s safety and effectiveness after BLA approval and may require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ind w:right="60"/>
        <w:spacing w:after="0" w:line="277" w:lineRule="auto"/>
        <w:rPr>
          <w:sz w:val="20"/>
          <w:szCs w:val="20"/>
          <w:color w:val="auto"/>
        </w:rPr>
      </w:pPr>
      <w:r>
        <w:rPr>
          <w:rFonts w:ascii="Arial" w:cs="Arial" w:eastAsia="Arial" w:hAnsi="Arial"/>
          <w:sz w:val="18"/>
          <w:szCs w:val="18"/>
          <w:color w:val="auto"/>
        </w:rPr>
        <w:t>promotion, distribution, prescription or dispensing of products. Marketing approval may be withdrawn for non-compliance with regulatory requirements or if problems occur following initial marketing.</w:t>
      </w:r>
    </w:p>
    <w:p>
      <w:pPr>
        <w:spacing w:after="0" w:line="17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Pediatric Research Equity Act (PREA), requires a sponsor to conduct pediatric clinical trials for most newly approved drugs and biologics, for a new active ingredient, new indication, new dosage form, new dosing regimen or new route of administration. Under PREA, original BLAs and supplements thereto,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safety or effectiveness data needs to be collected before the pediatric clinical trials begin. Orphan indications are exempt from PREA. The FDA must send a non-compliance letter to any sponsor that fails to submit the required assessment, keep a deferral current or fails to submit a request for approval of a pediatric formulation.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Depending upon the timing, duration and specifics of FDA approval of our drugs, some of our U.S. patents may be eligible for limited patent term extension under the Drug Price Competition and Patent Term Restoration Act of 1984 (referred to as the Hatch Waxman Amendments). The Hatch 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BLA, plus the time between the submission date of a BLA and the approval of that application. Only one patent applicable to an approved drug is eligible for the extension, and the extension must be applied for, prior to expiration of the patent. The USPTO, in consultation with the FDA, reviews and approves the application for any patent term extension or restoration. In the future, we intend to apply for restorations of patent term for some of its currently-owned or licensed patents to add patent life beyond their current expiration date, depending on the expected length of clinical trials and other factors involved in the filing of the relevant BLA.</w:t>
      </w:r>
    </w:p>
    <w:p>
      <w:pPr>
        <w:spacing w:after="0" w:line="185"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 sponsor submits clinical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the same biologic. The issuance of a written request does not require the sponsor to undertake the described clinical trials. To date, we have not received or requested any FDA written requests.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Price Competition and Innovation Act of 2009</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of 2010 (collectively, ACA), which included the BPCIA, amended the PHSA to create an abbreviated approval pathway for biological products that are biosimilar to or interchangeable with an FDA-licensed reference biological product. A federal district court ruling in Texas struck down the Affordable Care Act in its entirety based on constitutionality last year, and in December 2019 the Fifth Circuit Court of Appeals upheld lower court’s finding that the individual mandate I the law is unconstitutional. However, the Fifth Circuit also reversed and remanded the case to the district court to determine if other reforms enacted as part of the Affordable Care Act but not specifically related to the individual mandate or health insurance, including the BPCIA, could be severed from the rest of the Affordable Care Act so as not to be declared invalid. It is unclear how this decision, subsequent appeals including potentially to the U.S. Supreme Court, and other efforts to repeal and replace the Affordable Care Act will affect the implementation of that law and our business. To date, the FDA has approved a number of biosimilars, and numerous biosimilars have been approved in Europe. The FDA has also issued several guidance documents outlining its approach to reviewing and approving biosimilars and interchangeable biosimilars. A biosimilar product is defined as one that is highly similar to a reference product notwithstanding minor differences in clinically-inactive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40"/>
        <w:spacing w:after="0" w:line="277" w:lineRule="auto"/>
        <w:rPr>
          <w:sz w:val="20"/>
          <w:szCs w:val="20"/>
          <w:color w:val="auto"/>
        </w:rPr>
      </w:pPr>
      <w:r>
        <w:rPr>
          <w:rFonts w:ascii="Arial" w:cs="Arial" w:eastAsia="Arial" w:hAnsi="Arial"/>
          <w:sz w:val="18"/>
          <w:szCs w:val="18"/>
          <w:color w:val="auto"/>
        </w:rPr>
        <w:t>product without such alternation or switch. Upon licensure by the FDA, an interchangeable biosimilar may be substituted for the reference product without the intervention of the health care provider who prescribed the reference product.</w:t>
      </w:r>
    </w:p>
    <w:p>
      <w:pPr>
        <w:spacing w:after="0" w:line="170"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The biosimilar applicant must demonstrate that the product is biosimilar based on data from (1) analytical studies showing that the biosimilar product is highly similar to the reference product; (2) animal studies (including toxicity); and (3) one or more clinical trials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17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If pediatric studies are performed and accepted by the FDA as responsive to a Written Request,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6"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defined as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 BLA. After the FDA grants orphan drug designation, the identity of the therapeutic agent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16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for which it has such designation, the product is entitled to seven years of orphan product exclusivity, except in very limited circumstances. The FDA will not recognize orphan drug exclusive approval if a sponsor fails to demonstrate upon approval that the drug is clinically superior to a previously approved drug, regardless of whether or not the approved drug was designated an orphan drug or had orphan drug exclusivity. Thus orphan drug exclusivity could also block the approval of one of our products for seven years if a competitor obtains approval of the same drug, as defined by the FDA, and we are not able to show the clinical superiority of our drug or if our product candidate is determined to be contained within the competitor’s product for the same indication or disease.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October 2017, the FDA granted SYNB1618 orphan drug designation for the treatment of PKU.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and Priority Review Designations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4" w:name="page25"/>
    <w:bookmarkEnd w:id="24"/>
    <w:p>
      <w:pPr>
        <w:ind w:right="220"/>
        <w:spacing w:after="0" w:line="255" w:lineRule="auto"/>
        <w:rPr>
          <w:sz w:val="20"/>
          <w:szCs w:val="20"/>
          <w:color w:val="auto"/>
        </w:rPr>
      </w:pPr>
      <w:r>
        <w:rPr>
          <w:rFonts w:ascii="Arial" w:cs="Arial" w:eastAsia="Arial" w:hAnsi="Arial"/>
          <w:sz w:val="18"/>
          <w:szCs w:val="18"/>
          <w:color w:val="auto"/>
        </w:rPr>
        <w:t>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in the clinical trial process.</w:t>
      </w:r>
    </w:p>
    <w:p>
      <w:pPr>
        <w:spacing w:after="0" w:line="19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with the enactment of FDASIA in 2012, Congress created a new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19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Finally, the FDA may designate a product for priority review if it is a drug or biologic that treats a serious condition and, if approved, would provide a significant improvement in safety or effectiveness. The FDA determines at the time that the 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an NDA for a new molecular entity from the date of filing.</w:t>
      </w:r>
    </w:p>
    <w:p>
      <w:pPr>
        <w:spacing w:after="0" w:line="178"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and priority review do not change the standards for approval and may not ultimately expedite the development or approval process.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April 2018, the FDA granted Fast-Track designation for the use of SYNB1618 for the treatment of PKU.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18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80" w:firstLine="510"/>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drug. All promotional materials for product candidates being considered and approved under the accelerated approval program are subject to prior review by the FDA.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biologics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FDA regulations require that products be manufactured in specific approved facilities and in accordance with cGMPs. The cGMP regulations include requirements relating to organization of personnel, buildings and facilities, equipment, control of components and finished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satisfy the FDA or comparable foreign regulatory authorities before any product is approved and our commercial products can be manufactured.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 and regulatory sanctions as described below.</w:t>
      </w:r>
    </w:p>
    <w:p>
      <w:pPr>
        <w:spacing w:after="0" w:line="182"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Once an approval is granted, the FDA may withdraw the approval if compliance with regulatory standards is not maintained or if problems occur or are discovered after the product reaches the market. Later discovery of previously unknown problems with a product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63" w:lineRule="exact"/>
        <w:rPr>
          <w:sz w:val="20"/>
          <w:szCs w:val="20"/>
          <w:color w:val="auto"/>
        </w:rPr>
      </w:pPr>
    </w:p>
    <w:p>
      <w:pPr>
        <w:jc w:val="center"/>
        <w:ind w:left="5540" w:right="580" w:hanging="5033"/>
        <w:spacing w:after="0" w:line="527" w:lineRule="auto"/>
        <w:tabs>
          <w:tab w:leader="none" w:pos="10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warning letters or other enforcement-related letters or clinical holds on post-approval clinical trials;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approve pending NDAs/BLAs or supplements to approved NDAs/BLAs, or suspension or revocation of product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170" w:lineRule="exact"/>
        <w:rPr>
          <w:sz w:val="20"/>
          <w:szCs w:val="20"/>
          <w:color w:val="auto"/>
        </w:rPr>
      </w:pPr>
    </w:p>
    <w:p>
      <w:pPr>
        <w:ind w:right="20" w:firstLine="510"/>
        <w:spacing w:after="0" w:line="218" w:lineRule="exact"/>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10</w:t>
      </w:r>
      <w:r>
        <w:rPr>
          <w:rFonts w:ascii="MS PGothic" w:cs="MS PGothic" w:eastAsia="MS PGothic" w:hAnsi="MS PGothic"/>
          <w:sz w:val="18"/>
          <w:szCs w:val="18"/>
          <w:color w:val="auto"/>
        </w:rPr>
        <w:t>‑</w:t>
      </w:r>
      <w:r>
        <w:rPr>
          <w:rFonts w:ascii="Arial" w:cs="Arial" w:eastAsia="Arial" w:hAnsi="Arial"/>
          <w:sz w:val="18"/>
          <w:szCs w:val="18"/>
          <w:color w:val="auto"/>
        </w:rPr>
        <w:t>year period that is expected to culminate in November 2023.</w:t>
      </w:r>
    </w:p>
    <w:p>
      <w:pPr>
        <w:spacing w:after="0" w:line="20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From time to time, new legislation is drafted, introduced and passed in Congress that could significantly change the statutory provisions governing the approval, manufacturing and marketing of products regulated by the FDA. It is impossible to predict whether further legislative changes will be enacted, or FDA regulations, guidance or interpretations will be changed or what the impact of such changes, if any, may be.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the performance of clinical trials outside the U.S. and commercial sales and distribution of our products outside of the United States. Whether or not we obtain FDA approval for a product candidate, we must obtain approval by the comparable regulatory authorities of foreign countries or economic areas, such as the European Union, before we may commence clinical trials or market products in those countries or areas. It is not yet clear how the United Kingdom’s withdrawal from the European Union, now taking place on January 31, 2020, will affect the approval of medicinal products in the UK.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European Union drug development, review and approval</w:t>
      </w:r>
    </w:p>
    <w:p>
      <w:pPr>
        <w:spacing w:after="0" w:line="117"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In the European Union,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16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IMPD (the Common Technical Document) with supporting information prescribed by Directive 2001/20/EC, Directive 2005/28/EC, where relevant the implementing national provisions of the individual EU Member States and further detailed in applicable guidance documents. All suspected unexpected serious adverse reactions to the investigated drug that occur during the clinical trial have to be reported to the competent national authority and the Ethics Committee of the Member State where they occurred.</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April 2014, the new Clinical Trials Regulation, (EU) No 536/2014 (Clinical Trials Regulation) was adopted and it is anticipated to come into application in late 2020 or early 2021.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right="40"/>
        <w:spacing w:after="0" w:line="263" w:lineRule="auto"/>
        <w:rPr>
          <w:sz w:val="20"/>
          <w:szCs w:val="20"/>
          <w:color w:val="auto"/>
        </w:rPr>
      </w:pPr>
      <w:r>
        <w:rPr>
          <w:rFonts w:ascii="Arial" w:cs="Arial" w:eastAsia="Arial" w:hAnsi="Arial"/>
          <w:sz w:val="18"/>
          <w:szCs w:val="18"/>
          <w:color w:val="auto"/>
        </w:rPr>
        <w:t>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new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9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To obtain a marketing authorization of a drug in the European Union, we may submit marketing authorization applications, or MAA, either under the so-called centralized or national authorization procedures.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Centralized procedure</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centralized procedure provides for the grant of a single marketing authorization following a favorable opinion by the European Medicines Agency, or EMA, that is valid in all EU member states, as well as Iceland, Liechtenstein and Norway. The centralized procedure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National authorization procedures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170"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2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84"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Conditional approval</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risk-benefit balance of the product candidate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Pediatric studies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Prior to obtaining a marketing authorization in the European Union, applicants have to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set forth in Regulation (EC) No 1901/2006, which is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178"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European Union regulatory exclusivity</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the European Union, new products authorized for marketing (i.e.,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European Union during a period of eight years from the date on which the reference product was first authorized in the European Union.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European Union orphan designation and exclusivity</w:t>
      </w:r>
    </w:p>
    <w:p>
      <w:pPr>
        <w:spacing w:after="0" w:line="11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72"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5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u w:val="single" w:color="auto"/>
          <w:color w:val="auto"/>
        </w:rPr>
        <w:t>PRIME designation</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EMA grants access to the Priority Medicines, or PRIME, program to investigational medicines for which it determines there to be preliminary data available showing the potential to address an unmet medical need and bring a major therapeutic advantage to patients. As part of the program, EMA provides early and enhanced dialogue and support to optimize the development of eligible medicines and speed up their evaluation, aiming to bring promising treatments to patients sooner.</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Periods of authorization and renewals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Rest of the world regulation</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spacing w:after="0" w:line="18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Sales of pharmaceutical products depend in significant part on the availability of third-party coverage and reimbursement. Third-party payors include government healthcare programs such as Medicare, managed care providers, private health insurers and other organizations. We anticipate third-party payors will provide reimbursement for our products. However, these third-party payors are increasingly challenging the price and examining the cost effectiveness of medical products and services. In addition, significant uncertainty exists as to the reimbursement status of newly-approved healthcare products.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We may need to conduct expensive pharmacoeconomic studies in order to demonstrate the medical necessity and cost effectiveness of our products.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Our product candidates may not be considered cost effective. It is time consuming and expensive for us to seek reimbursement from third-party payors. Reimbursement may not be available or sufficient to allow us to sell our products on a competitive and profitable basis.</w:t>
      </w:r>
    </w:p>
    <w:p>
      <w:pPr>
        <w:spacing w:after="0" w:line="17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Medicare is a federal healthcare program administered by the federal government that covers individuals age 65 and over as well as individuals with certain disabilities. Drugs may be covered under one or more sections of Medicare depending on the nature of the drug and the conditions associated with and site of administration. For example, under Part D, Medicare beneficiaries may enroll in prescription drug plans offered by private entities which provide coverage for outpatient prescription drugs. Part D plans include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right="140" w:firstLine="510"/>
        <w:spacing w:after="0" w:line="257" w:lineRule="auto"/>
        <w:rPr>
          <w:sz w:val="20"/>
          <w:szCs w:val="20"/>
          <w:color w:val="auto"/>
        </w:rPr>
      </w:pPr>
      <w:r>
        <w:rPr>
          <w:rFonts w:ascii="Arial" w:cs="Arial" w:eastAsia="Arial" w:hAnsi="Arial"/>
          <w:sz w:val="18"/>
          <w:szCs w:val="18"/>
          <w:color w:val="auto"/>
        </w:rPr>
        <w:t>Medicare Part B covers most injectable drugs given in an in-patient setting and some drugs administered by a licensed medical provider in hospital outpatient departments and doctors’ offices. Medicare Part B is administered by Medicare Administrative Contractors, which generally have the responsibility of making coverage decisions. Subject to certain payment adjustments and limits, Medicare generally pays for a Part B-covered drug based on a percentage of manufacturer-reported average sales price, which is regularly updated. We believe that our product candidates that are intended to be administered intratumorally will be subject to the Medicare Part B rules.</w:t>
      </w:r>
    </w:p>
    <w:p>
      <w:pPr>
        <w:spacing w:after="0" w:line="21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expect that there will continue to be a number of federal and state proposals to implement governmental pricing controls and limit the growth of healthcare costs, including the cost of prescription drugs. For example, the ACA enacted in March 2010, was expected to have a significant impact on the health care industry. 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our profitability placing the medicinal product on the market. Other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European Union and other countries do not follow price structures of the United States and generally prices tend to be significantly lower.</w:t>
      </w:r>
    </w:p>
    <w:p>
      <w:pPr>
        <w:spacing w:after="0" w:line="182" w:lineRule="exact"/>
        <w:rPr>
          <w:sz w:val="20"/>
          <w:szCs w:val="20"/>
          <w:color w:val="auto"/>
        </w:rPr>
      </w:pPr>
    </w:p>
    <w:p>
      <w:pPr>
        <w:ind w:right="220" w:firstLine="510"/>
        <w:spacing w:after="0" w:line="273" w:lineRule="auto"/>
        <w:rPr>
          <w:sz w:val="20"/>
          <w:szCs w:val="20"/>
          <w:color w:val="auto"/>
        </w:rPr>
      </w:pPr>
      <w:r>
        <w:rPr>
          <w:rFonts w:ascii="Arial" w:cs="Arial" w:eastAsia="Arial" w:hAnsi="Arial"/>
          <w:sz w:val="17"/>
          <w:szCs w:val="17"/>
          <w:color w:val="auto"/>
        </w:rPr>
        <w:t>The downward pressure on health care costs in general, particularly prescription drugs, has become intense. As a result, increasingly high barriers are being erected to the entry of new products.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(arbitrage between low-priced and high-priced member states) can further reduce prices. Any country that has price controls or reimbursement limitations for drug products may not allow favorable reimbursement and pricing arrangements.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 Care Laws and Regulations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These laws include:</w:t>
      </w:r>
    </w:p>
    <w:p>
      <w:pPr>
        <w:spacing w:after="0" w:line="79" w:lineRule="exact"/>
        <w:rPr>
          <w:sz w:val="20"/>
          <w:szCs w:val="20"/>
          <w:color w:val="auto"/>
        </w:rPr>
      </w:pPr>
    </w:p>
    <w:p>
      <w:pPr>
        <w:ind w:left="1000" w:right="80" w:hanging="493"/>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78"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5" w:lineRule="exact"/>
        <w:rPr>
          <w:rFonts w:ascii="Arial" w:cs="Arial" w:eastAsia="Arial" w:hAnsi="Arial"/>
          <w:sz w:val="18"/>
          <w:szCs w:val="18"/>
          <w:color w:val="auto"/>
        </w:rPr>
      </w:pPr>
    </w:p>
    <w:p>
      <w:pPr>
        <w:ind w:left="1000" w:right="540" w:hanging="493"/>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 care benefit program or making false statements relating to health care matters;</w:t>
      </w:r>
    </w:p>
    <w:p>
      <w:pPr>
        <w:spacing w:after="0" w:line="38" w:lineRule="exact"/>
        <w:rPr>
          <w:rFonts w:ascii="Arial" w:cs="Arial" w:eastAsia="Arial" w:hAnsi="Arial"/>
          <w:sz w:val="17"/>
          <w:szCs w:val="17"/>
          <w:color w:val="auto"/>
        </w:rPr>
      </w:pPr>
    </w:p>
    <w:p>
      <w:pPr>
        <w:ind w:left="1000" w:right="32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transparency requirements under the Physician Payments Sunshine Act require manufacturers of FDA-approved drugs, devices, biologics and medical supplies covered by Medicare or Medicaid to report, on an annual basis,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1000" w:right="80"/>
        <w:spacing w:after="0" w:line="308" w:lineRule="auto"/>
        <w:rPr>
          <w:sz w:val="20"/>
          <w:szCs w:val="20"/>
          <w:color w:val="auto"/>
        </w:rPr>
      </w:pPr>
      <w:r>
        <w:rPr>
          <w:rFonts w:ascii="Arial" w:cs="Arial" w:eastAsia="Arial" w:hAnsi="Arial"/>
          <w:sz w:val="17"/>
          <w:szCs w:val="17"/>
          <w:color w:val="auto"/>
        </w:rPr>
        <w:t>the Department of Health and Human Services information related to payments and other transfers of value to physicians, teaching hospitals, and certain advanced non-physician health care practitioners and physician ownership and investment interests; and</w:t>
      </w:r>
    </w:p>
    <w:p>
      <w:pPr>
        <w:spacing w:after="0" w:line="38" w:lineRule="exact"/>
        <w:rPr>
          <w:sz w:val="20"/>
          <w:szCs w:val="20"/>
          <w:color w:val="auto"/>
        </w:rPr>
      </w:pPr>
    </w:p>
    <w:p>
      <w:pPr>
        <w:ind w:left="1000" w:right="58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8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in the US and Potential Changes to Health Care Laws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devices and to spur innovation, but its ultimate implementation is uncertain. In addition, in August 2017, the FDA Reauthorization Act was signed into law, which reauthorized the FDA’s user fee programs and included additional drug and device provisions that build on the Cures Act.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92" w:lineRule="exact"/>
        <w:rPr>
          <w:sz w:val="20"/>
          <w:szCs w:val="20"/>
          <w:color w:val="auto"/>
        </w:rPr>
      </w:pPr>
    </w:p>
    <w:p>
      <w:pPr>
        <w:ind w:right="180" w:firstLine="510"/>
        <w:spacing w:after="0" w:line="289" w:lineRule="auto"/>
        <w:rPr>
          <w:sz w:val="20"/>
          <w:szCs w:val="20"/>
          <w:color w:val="auto"/>
        </w:rPr>
      </w:pPr>
      <w:r>
        <w:rPr>
          <w:rFonts w:ascii="Arial" w:cs="Arial" w:eastAsia="Arial" w:hAnsi="Arial"/>
          <w:sz w:val="16"/>
          <w:szCs w:val="16"/>
          <w:color w:val="auto"/>
        </w:rPr>
        <w:t>As previously mentioned, primary trend in the US health 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the US Centers for Medicare and Medicaid Services, or CMS, to test innovative payment and service delivery models to lower Medicare and Medicaid spending.</w:t>
      </w:r>
    </w:p>
    <w:p>
      <w:pPr>
        <w:spacing w:after="0" w:line="16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Affordable Care Act, and we expect there will be additional challenges and amendments to the Affordable Care Act in the future. The current Presidential administration and members of the US Congress have indicated that they may continue to seek to modify, repeal or otherwise invalidate all, or certain provisions of, the Affordable Care Act. For example, the Tax Cuts and Jobs Acts was enacted in 2017, which, among other things, removed penalties for not complying with the individual mandate to carry health insurance. As noted above, a 2018 federal district court ruling struck down the Affordable Care Act in its entirety although the Fifth Circuit Court of Appeals recently limited it to the individual mandate and remanded the case to the district court to determine if other reforms not specifically related to the individual mandate or health insurance could be severed from the rest of the Affordable Care Act. It is unclear how this decision, subsequent appeals including potentially to the U.S. Supreme Court, and other efforts to repeal and replace the Affordable Care Act will affect the implementation of that law and our business.</w:t>
      </w:r>
    </w:p>
    <w:p>
      <w:pPr>
        <w:spacing w:after="0" w:line="196"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that affect health care expenditures. There has been heightened governmental scrutiny in recent years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and biologic products. Notably, on December 20, 2019, President Trump signed the Further Consolidated Appropriations Act for 2020 into law (P.L. 116-94) that includes a piece of bipartisan legislation called the Creating and Restoring Equal Access to Equivalent Samples Act of 2019 or the “CREATES Act.” The CREATES Act aims to address the concern articulated by both the FDA and others in the industry that some brand manufacturers have improperly restricted the distribution of their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140"/>
        <w:spacing w:after="0" w:line="272" w:lineRule="auto"/>
        <w:rPr>
          <w:sz w:val="20"/>
          <w:szCs w:val="20"/>
          <w:color w:val="auto"/>
        </w:rPr>
      </w:pPr>
      <w:r>
        <w:rPr>
          <w:rFonts w:ascii="Arial" w:cs="Arial" w:eastAsia="Arial" w:hAnsi="Arial"/>
          <w:sz w:val="17"/>
          <w:szCs w:val="17"/>
          <w:color w:val="auto"/>
        </w:rPr>
        <w:t>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w:t>
      </w:r>
    </w:p>
    <w:p>
      <w:pPr>
        <w:spacing w:after="0" w:line="177"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These operations may involve the use of hazardous and flammable materials, including chemicals and biological materials. Our operations may also produce hazardous waste products. We contract with third parties for the disposal of these materials and wastes. Our products are defined as Genetically Modified Organisms (GMO) or Genetically Modified Micro-organisms (GMM) and, dependent on their classification and containment, may be subject to regulation.</w:t>
      </w:r>
    </w:p>
    <w:p>
      <w:pPr>
        <w:spacing w:after="0" w:line="176"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The United States does not have any federal legislation that is specific to genetically modified organisms. GMOs are regulated pursuant to health, safety, and environmental legislation governing conventional products. The U.S. approach to regulating GMOs is premised on the assumption that regulation should focus on the nature of the products, rather than the process in which they were produced.</w:t>
      </w:r>
    </w:p>
    <w:p>
      <w:pPr>
        <w:spacing w:after="0" w:line="16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clinical development and marketing of GMM within the European Union, and elsewhere, falls under different regulations and practices in each country, which may involve approval by environmental or other regulatory bodies, as well as health authorities, and may establish the requirement for a risk assessment for the testing or authorization of the product.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color w:val="auto"/>
        </w:rPr>
        <w:t>We have made and continue to make significant investments in our manufacturing organization, including process development and cGMP production infrastructure to establish manufacturing processes designed to support production of clinical trial material. The manufacturing processes are designed to enable us to reproducibly manufacture high quality living medicines at clinical scale and, later, at commercial scale to enable approval of our product candidates. We have built a fully integrated development and manufacturing organization with an internal process development group, quality group and manufacturing capabilities with the lease of cGMP cleanroom space in Waltham, Massachusetts. This facility enables us to produce clinical trial material for early to mid-stage studies of our rare metabolic disease and IO programs. We continue to build the organization to support scale-up and development towards commercialization. We currently expect to continue to work with contract manufacturing organizations (CMOs) for production of late-stage clinical trial material.</w:t>
      </w:r>
    </w:p>
    <w:p>
      <w:pPr>
        <w:spacing w:after="0" w:line="19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Clinical trial material for our Phase 1 studies of SYNB1020 for hyperammonemia and SYNB1618 for PKU were manufactured by a CMO. These first clinical trials used a liquid formulation as the drug presentation. Since then we have made additional investment in our formulation development that now enables production of both liquid and solid dose formulations for our clinical programs. The solid oral formulation capability allows us to produce a more user-friendly presentation for later stage clinical development and future commercial use. We are continuing to invest and investigate the utility of additional presentations for solid formulations of our Synthetic Biotic medicines including capsules.</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To enable the production of high levels of cells, or biomass, we can engineer our Synthetic Biotic medicines with switches. These switches are comprised of transcription factor and promoter pairs that allow for controlled expression of the therapeutic effectors produced by our Synthetic Biotic medicines. To ensure the metabolic capacity of the cells is allotted to the production of a high level of biomass during manufacturing, the effector circuits in the Synthetic Biotic programs are not expressed during this growth phase. At the end of the manufacturing process, the circuits are then induced, or activated. This two-step approach was designed to enable a high level of biomass production as well as to deliver the required activity necessary at the time of administration. We continue to devote resources to process development and the generation of improved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40" w:firstLine="510"/>
        <w:spacing w:after="0" w:line="286" w:lineRule="auto"/>
        <w:rPr>
          <w:sz w:val="20"/>
          <w:szCs w:val="20"/>
          <w:color w:val="auto"/>
        </w:rPr>
      </w:pPr>
      <w:r>
        <w:rPr>
          <w:rFonts w:ascii="Arial" w:cs="Arial" w:eastAsia="Arial" w:hAnsi="Arial"/>
          <w:sz w:val="17"/>
          <w:szCs w:val="17"/>
          <w:color w:val="auto"/>
        </w:rPr>
        <w:t>As we progress in clinical development, we will need to increase our scale and eventually to commercial-scale manufacturing. We are in the process of assessing CMOs who meet our criteria to supply our late-stage clinical development and commercial supply. We will compare the merits of working with one or more CMOs who meet our criteria with the possibility of building GMP manufacturing capacity and capabilities internally.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The biotechnology industry is extremely competitive in the race to develop new products. While we believe we have significant competitive advantages with our industry-leading expertise in synthetic biology and metabolic engineering of non-pathogenic bacteria, our clinical development expertise, and strong intellectual property position, we currently face and will continue to face competition for our development programs from companies that use synthetic biology or cell therapy development platforms and from companies focused on more conventional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These competitors also compete with us in recruiting and retaining qualified scientific and management personnel, in establishing clinical trial sites and patient registration for clinical trials, and in accessing technologies to enable our programs.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16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Competitors include other synthetic biology companies developing other synthetic biology methods, cellular and microbiome-based companies, DNA and RNA-based companies, as well as companies developing small molecules or other biologics. In the case of indications that we are targeting with our own Synthetic Biotic medicines, competitors include, but are not limited to:</w:t>
      </w:r>
    </w:p>
    <w:p>
      <w:pPr>
        <w:spacing w:after="0" w:line="76"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PKU</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BioMarin, Inc. has two approved products and a development stage product;</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PTC Therapeutics, Inc., Nestle Health Sciences S.A. (Codexis, Inc.), and Homology Medicines, Inc. have products in clinical trials;</w:t>
      </w:r>
    </w:p>
    <w:p>
      <w:pPr>
        <w:spacing w:after="0" w:line="167" w:lineRule="exact"/>
        <w:rPr>
          <w:rFonts w:ascii="Arial" w:cs="Arial" w:eastAsia="Arial" w:hAnsi="Arial"/>
          <w:sz w:val="16"/>
          <w:szCs w:val="16"/>
          <w:color w:val="auto"/>
        </w:rPr>
      </w:pPr>
    </w:p>
    <w:p>
      <w:pPr>
        <w:ind w:left="1520" w:right="560" w:hanging="500"/>
        <w:spacing w:after="0" w:line="342" w:lineRule="auto"/>
        <w:tabs>
          <w:tab w:leader="none" w:pos="15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Agios Pharmaceuticals, Inc., Generation Bio Co., American Gene Technologies International Inc., Sangamo Therapeutics, Inc., Sanofi, S.A., Trucode Gene Repair, Inc., SOM Biotech SL and others are developing product candidates</w:t>
      </w:r>
    </w:p>
    <w:p>
      <w:pPr>
        <w:spacing w:after="0" w:line="231" w:lineRule="exact"/>
        <w:rPr>
          <w:rFonts w:ascii="Arial" w:cs="Arial" w:eastAsia="Arial" w:hAnsi="Arial"/>
          <w:sz w:val="16"/>
          <w:szCs w:val="16"/>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Enteric Hyperoxaluria</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Allena Pharmaceuticals, Inc. has a recombinant enzyme in clinical trials;</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Novome Biotechnologies, Inc., Federation Bio, Inc., Oxidien Pharmaceuticals, LLC and others are developing product candidates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Immuno-oncology</w:t>
      </w:r>
    </w:p>
    <w:p>
      <w:pPr>
        <w:spacing w:after="0" w:line="117" w:lineRule="exact"/>
        <w:rPr>
          <w:rFonts w:ascii="Arial" w:cs="Arial" w:eastAsia="Arial" w:hAnsi="Arial"/>
          <w:sz w:val="18"/>
          <w:szCs w:val="18"/>
          <w:color w:val="auto"/>
        </w:rPr>
      </w:pPr>
    </w:p>
    <w:p>
      <w:pPr>
        <w:ind w:left="1520" w:hanging="500"/>
        <w:spacing w:after="0" w:line="272" w:lineRule="auto"/>
        <w:tabs>
          <w:tab w:leader="none" w:pos="15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field of immuno-oncology is highly competitive with many companies developing and commercializing a wide range of types of pharmaceutical products and combinations. Companies with STING agonists in clinical development include Merck &amp; Co. Inc., Spring Bank Pharmaceuticals, Inc., GlaxoSmithKline plc., Bristol Myers Squibb Company, and Silicon Therapeutics. Examples of companies developing other modalities which target STING or similar mechanisms include companies such as Roche (Genentech) and Pfizer Inc. / Merck KgaA. Multiple companies develop and market antibodies called checkpoint inhibitors including Pfizer Inc., Roche (Genentech), Merck, Bristol-Myers Squibb Company, Eli Lilly &amp; Co., and others. Other companies are developing and or marketing oncolytic viruses, cancer vaccines, cytotoxic agents, and other approaches to treat cancer.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Executives, Founders and Scientific Advisors</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Our team of executives has proven track records of successfully translating scientific visions into successful commercial therapeutic products, solving complex issues in developing novel therapeutics and progressing new and novel products through regulatory approval. Our scientific founders, Timothy Lu, M.D., Ph.D., and James Collins, Ph.D., are experts in the emerging field of synthetic biology. In addition to our management team and founders, we have established advisory relationships with researchers and clinicians dedicated to the development of Synthetic Biotic therapeutic products for patients with significant unmet medical needs and whose expertise spans synthetic biology, metabolic engineering, metabolism, immuno-modulation and immuno-oncology arenas.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60"/>
        <w:spacing w:after="0" w:line="257" w:lineRule="auto"/>
        <w:rPr>
          <w:sz w:val="20"/>
          <w:szCs w:val="20"/>
          <w:color w:val="auto"/>
        </w:rPr>
      </w:pPr>
      <w:r>
        <w:rPr>
          <w:rFonts w:ascii="Arial" w:cs="Arial" w:eastAsia="Arial" w:hAnsi="Arial"/>
          <w:sz w:val="18"/>
          <w:szCs w:val="18"/>
          <w:color w:val="auto"/>
        </w:rPr>
        <w:t>scientific advisors include Dr. Lu and Dr. Collins; Paul Miller, Ph.D., Christopher Voigt, Ph.D., Cammie Lesser, M.D., Ph.D. and Kristala Prather, Ph.D., experts in synthetic biology and bacterial metabolism. We expect to expand our advisory boards as we grow. All of our founders and advisors are equity holders in us and receive compensation as scientific advisors. Although they are regularly available for scientific consultation, our arrangements with these individuals do not entitle us to any of their existing or future intellectual property derived from their independent research or research with other third 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40" w:firstLine="510"/>
        <w:spacing w:after="0" w:line="342" w:lineRule="auto"/>
        <w:rPr>
          <w:sz w:val="20"/>
          <w:szCs w:val="20"/>
          <w:color w:val="auto"/>
        </w:rPr>
      </w:pPr>
      <w:r>
        <w:rPr>
          <w:rFonts w:ascii="Arial" w:cs="Arial" w:eastAsia="Arial" w:hAnsi="Arial"/>
          <w:sz w:val="16"/>
          <w:szCs w:val="16"/>
          <w:color w:val="auto"/>
        </w:rPr>
        <w:t>As of March 18, 2021, we had 72 full-time employees. Of our full-time employees, 60 were primarily engaged in research and development activities. None of our employees are subject to a collective bargaining agreement. We believe that we have good relations with our employees.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History</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were originally incorporated in the State of Delaware in December 2007 under the name “Mirna Therapeutics, Inc.” We carry on our business directly and through our subsidiaries.</w:t>
      </w:r>
    </w:p>
    <w:p>
      <w:pPr>
        <w:spacing w:after="0" w:line="17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w:t>
      </w:r>
    </w:p>
    <w:p>
      <w:pPr>
        <w:spacing w:after="0" w:line="164"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19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reverse stock split of its common stock (the “Reverse Stock Split”), and on August 28, 2017, immediately after completion of the Merger, Mirna changed its name to “Synlogic, Inc.” (NASDAQ: SYBX).</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Under the terms of the Merger Agreement, Mirna issued shares of its common stock to Private Synlogic’s stockholders, using an exchange ratio, after taking into account the Reverse Stock Split, for each share of Private Synlogic common stock and preferred stock outstanding immediately prior to the Merger (Exchange Ratio). In addition, Mirna assumed all of the stock options outstanding under the Synlogic 2017 Stock Incentive Plan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w:t>
      </w:r>
    </w:p>
    <w:p>
      <w:pPr>
        <w:spacing w:after="0" w:line="16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Our Internet address is www.synlogictx.com. Our annual reports on Form 10-K, quarterly reports on Form 10-Q, current reports on Form 8-K, and all amendments to those reports, are available to you free of charge through our website as soon as reasonably practicable after such materials have been electronically filed with, or furnished to, the Securities and Exchange Commission (SEC).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Annual Report on Form 10-K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2" w:lineRule="exact"/>
        <w:rPr>
          <w:sz w:val="20"/>
          <w:szCs w:val="20"/>
          <w:color w:val="auto"/>
        </w:rPr>
      </w:pPr>
    </w:p>
    <w:p>
      <w:pPr>
        <w:ind w:left="740" w:right="120" w:hanging="368"/>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21" w:lineRule="exact"/>
        <w:rPr>
          <w:rFonts w:ascii="Arial" w:cs="Arial" w:eastAsia="Arial" w:hAnsi="Arial"/>
          <w:sz w:val="18"/>
          <w:szCs w:val="18"/>
          <w:color w:val="auto"/>
        </w:rPr>
      </w:pPr>
    </w:p>
    <w:p>
      <w:pPr>
        <w:ind w:left="740" w:right="240" w:hanging="368"/>
        <w:spacing w:after="0" w:line="258"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33" w:lineRule="exact"/>
        <w:rPr>
          <w:rFonts w:ascii="Arial" w:cs="Arial" w:eastAsia="Arial" w:hAnsi="Arial"/>
          <w:sz w:val="17"/>
          <w:szCs w:val="17"/>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short operating history may make it difficult for stockholders to evaluate the success of our business to date and to assess our future viability.</w:t>
      </w:r>
    </w:p>
    <w:p>
      <w:pPr>
        <w:spacing w:after="0" w:line="59" w:lineRule="exact"/>
        <w:rPr>
          <w:rFonts w:ascii="Arial" w:cs="Arial" w:eastAsia="Arial" w:hAnsi="Arial"/>
          <w:sz w:val="16"/>
          <w:szCs w:val="16"/>
          <w:color w:val="auto"/>
        </w:rPr>
      </w:pPr>
    </w:p>
    <w:p>
      <w:pPr>
        <w:ind w:left="740" w:right="20" w:hanging="368"/>
        <w:spacing w:after="0" w:line="258"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1" w:lineRule="exact"/>
        <w:rPr>
          <w:rFonts w:ascii="Arial" w:cs="Arial" w:eastAsia="Arial" w:hAnsi="Arial"/>
          <w:sz w:val="18"/>
          <w:szCs w:val="18"/>
          <w:color w:val="auto"/>
        </w:rPr>
      </w:pPr>
    </w:p>
    <w:p>
      <w:pPr>
        <w:ind w:left="740" w:right="220" w:hanging="368"/>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ind w:left="740" w:right="20" w:hanging="368"/>
        <w:spacing w:after="0" w:line="265"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ind w:left="740" w:right="180" w:hanging="368"/>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ind w:left="740" w:right="240" w:hanging="368"/>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ind w:left="740" w:hanging="368"/>
        <w:spacing w:after="0" w:line="265"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ind w:left="740" w:right="600" w:hanging="368"/>
        <w:spacing w:after="0" w:line="250" w:lineRule="auto"/>
        <w:tabs>
          <w:tab w:leader="none" w:pos="740"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A pandemic, epidemic, or outbreak of an infectious disease, such as COVID-19 may materially and adversely affect our business and our financial results.</w:t>
      </w: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21" w:lineRule="exact"/>
        <w:rPr>
          <w:rFonts w:ascii="Arial" w:cs="Arial" w:eastAsia="Arial" w:hAnsi="Arial"/>
          <w:sz w:val="18"/>
          <w:szCs w:val="18"/>
          <w:color w:val="auto"/>
        </w:rPr>
      </w:pPr>
    </w:p>
    <w:p>
      <w:pPr>
        <w:ind w:left="740" w:right="140" w:hanging="368"/>
        <w:spacing w:after="0" w:line="274"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ind w:left="740" w:hanging="368"/>
        <w:spacing w:after="0" w:line="253"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6" w:name="page37"/>
    <w:bookmarkEnd w:id="36"/>
    <w:p>
      <w:pPr>
        <w:ind w:left="740" w:right="80" w:hanging="368"/>
        <w:spacing w:after="0" w:line="258"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1" w:lineRule="exact"/>
        <w:rPr>
          <w:rFonts w:ascii="Arial" w:cs="Arial" w:eastAsia="Arial" w:hAnsi="Arial"/>
          <w:sz w:val="18"/>
          <w:szCs w:val="18"/>
          <w:color w:val="auto"/>
        </w:rPr>
      </w:pPr>
    </w:p>
    <w:p>
      <w:pPr>
        <w:ind w:left="740" w:right="40" w:hanging="368"/>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ind w:left="740" w:right="20" w:hanging="368"/>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w:t>
      </w:r>
    </w:p>
    <w:p>
      <w:pPr>
        <w:ind w:left="740" w:right="220" w:hanging="368"/>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successful in obtaining or maintaining necessary rights to Synthetic Biotic medicines, product candidates and processes for our development pipeline through acquisitions and in-licenses.</w:t>
      </w: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9" w:lineRule="exact"/>
        <w:rPr>
          <w:rFonts w:ascii="Arial" w:cs="Arial" w:eastAsia="Arial" w:hAnsi="Arial"/>
          <w:sz w:val="18"/>
          <w:szCs w:val="18"/>
          <w:color w:val="auto"/>
        </w:rPr>
      </w:pPr>
    </w:p>
    <w:p>
      <w:pPr>
        <w:ind w:left="740" w:right="500" w:hanging="368"/>
        <w:spacing w:after="0" w:line="258"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9" w:lineRule="exact"/>
        <w:rPr>
          <w:rFonts w:ascii="Arial" w:cs="Arial" w:eastAsia="Arial" w:hAnsi="Arial"/>
          <w:sz w:val="18"/>
          <w:szCs w:val="18"/>
          <w:color w:val="auto"/>
        </w:rPr>
      </w:pPr>
    </w:p>
    <w:p>
      <w:pPr>
        <w:ind w:left="740" w:right="100" w:hanging="368"/>
        <w:spacing w:after="0" w:line="258"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22" w:lineRule="exact"/>
        <w:rPr>
          <w:rFonts w:ascii="Arial" w:cs="Arial" w:eastAsia="Arial" w:hAnsi="Arial"/>
          <w:sz w:val="18"/>
          <w:szCs w:val="18"/>
          <w:color w:val="auto"/>
        </w:rPr>
      </w:pPr>
    </w:p>
    <w:p>
      <w:pPr>
        <w:ind w:left="740" w:right="320" w:hanging="368"/>
        <w:spacing w:after="0" w:line="25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1" w:lineRule="exact"/>
        <w:rPr>
          <w:rFonts w:ascii="Arial" w:cs="Arial" w:eastAsia="Arial" w:hAnsi="Arial"/>
          <w:sz w:val="18"/>
          <w:szCs w:val="18"/>
          <w:color w:val="auto"/>
        </w:rPr>
      </w:pPr>
    </w:p>
    <w:p>
      <w:pPr>
        <w:ind w:left="740" w:right="360" w:hanging="368"/>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ind w:left="740" w:right="40" w:hanging="368"/>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ind w:left="740" w:right="20" w:hanging="368"/>
        <w:spacing w:after="0" w:line="281"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face substantial competition and our competitors may discover, develop or commercialize products faster or more successfully than us.</w:t>
      </w:r>
    </w:p>
    <w:p>
      <w:pPr>
        <w:spacing w:after="0" w:line="20" w:lineRule="exact"/>
        <w:rPr>
          <w:rFonts w:ascii="Arial" w:cs="Arial" w:eastAsia="Arial" w:hAnsi="Arial"/>
          <w:sz w:val="17"/>
          <w:szCs w:val="17"/>
          <w:color w:val="auto"/>
        </w:rPr>
      </w:pPr>
    </w:p>
    <w:p>
      <w:pPr>
        <w:ind w:left="740" w:right="580" w:hanging="368"/>
        <w:spacing w:after="0" w:line="273"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ind w:left="740" w:right="120" w:hanging="368"/>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ind w:left="740" w:right="480" w:hanging="368"/>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9" w:lineRule="exact"/>
        <w:rPr>
          <w:rFonts w:ascii="Arial" w:cs="Arial" w:eastAsia="Arial" w:hAnsi="Arial"/>
          <w:sz w:val="18"/>
          <w:szCs w:val="18"/>
          <w:color w:val="auto"/>
        </w:rPr>
      </w:pPr>
    </w:p>
    <w:p>
      <w:pPr>
        <w:ind w:left="740" w:right="200" w:hanging="368"/>
        <w:spacing w:after="0" w:line="258"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ind w:left="740" w:right="400" w:hanging="368"/>
        <w:spacing w:after="0" w:line="26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$59.2 million and $51.4 million for the fiscal years ended December 31, 2020 and 2019, respectively. As of December 31, 2020, we had an accumulated deficit of approximately $230.3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ready for commercialization.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40" w:firstLine="510"/>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5" w:lineRule="exact"/>
        <w:rPr>
          <w:sz w:val="20"/>
          <w:szCs w:val="20"/>
          <w:color w:val="auto"/>
        </w:rPr>
      </w:pPr>
    </w:p>
    <w:p>
      <w:pPr>
        <w:ind w:right="460" w:firstLine="510"/>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Annual Report on Form 10-K and others:</w:t>
      </w:r>
    </w:p>
    <w:p>
      <w:pPr>
        <w:spacing w:after="0" w:line="7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left="1000" w:right="1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5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Annual Report on Form 10-K and others such as:</w:t>
      </w:r>
    </w:p>
    <w:p>
      <w:pPr>
        <w:spacing w:after="0" w:line="41" w:lineRule="exact"/>
        <w:rPr>
          <w:sz w:val="20"/>
          <w:szCs w:val="20"/>
          <w:color w:val="auto"/>
        </w:rPr>
      </w:pPr>
    </w:p>
    <w:p>
      <w:pPr>
        <w:ind w:left="1000" w:right="5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52"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announced that we dosed the first patient in our Phase 1b/2a clinical trial of SYNB1020 for treatment of hyperammonemia in patients with cirrhosis. Based on the data obtained in this clinical trial, the SYNB1020 program was discontinued in August 2019.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In May 2020, we announced the nomination of a clinical candidate for Enteric Hyperoxaluria, SYNB8802. We initiated a Phase 1 clinical trial of SYNB8802 in the fourth quarter of 2020. All of our other therapeutic programs are still in the preclinical development stage. We will need to transition from a company with a research focus to a company capable of supporting clinical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39" w:name="page40"/>
    <w:bookmarkEnd w:id="39"/>
    <w:p>
      <w:pPr>
        <w:ind w:right="40"/>
        <w:spacing w:after="0" w:line="270" w:lineRule="auto"/>
        <w:rPr>
          <w:sz w:val="20"/>
          <w:szCs w:val="20"/>
          <w:color w:val="auto"/>
        </w:rPr>
      </w:pPr>
      <w:r>
        <w:rPr>
          <w:rFonts w:ascii="Arial" w:cs="Arial" w:eastAsia="Arial" w:hAnsi="Arial"/>
          <w:sz w:val="17"/>
          <w:szCs w:val="17"/>
          <w:color w:val="auto"/>
        </w:rPr>
        <w:t>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00" w:right="1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inability to generate satisfactory preclinical or other nonclinical data, including,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or diagnostics to support the initiation or continuation of clinical trials;</w:t>
      </w:r>
    </w:p>
    <w:p>
      <w:pPr>
        <w:spacing w:after="0" w:line="62"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44"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44"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ind w:right="22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1"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1" w:name="page42"/>
    <w:bookmarkEnd w:id="41"/>
    <w:p>
      <w:pPr>
        <w:ind w:left="1000" w:right="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3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On August 20, 2019, we announced that we were discontinuing our first therapeutic program to enter clinical trials,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 As a result, we have become more dependent on the success of our SYNB1618, SYNB1891 and SYNB8802 programs and new early development programs.</w:t>
      </w:r>
    </w:p>
    <w:p>
      <w:pPr>
        <w:spacing w:after="0" w:line="16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42" w:name="page43"/>
    <w:bookmarkEnd w:id="42"/>
    <w:p>
      <w:pPr>
        <w:ind w:firstLine="510"/>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ind w:right="20"/>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5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right="3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such as COVID-19, may materially and adversely affect our business and our financial results.</w:t>
      </w:r>
    </w:p>
    <w:p>
      <w:pPr>
        <w:spacing w:after="0" w:line="62"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212529"/>
        </w:rPr>
        <w:t>The coronavirus outbreak has affected segments of the global economy and may materially affect our operations, including potentially significant interruption of our clinical trial activities. COVID-19 originated in Wuhan, China, in December 2019 the virus has since spread to multiple countries, including the United States, where we are currently conducting our clinical trials.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w:t>
      </w:r>
    </w:p>
    <w:p>
      <w:pPr>
        <w:spacing w:after="0" w:line="16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12529"/>
        </w:rPr>
        <w:t>The continued spread globally could also have a material adverse effect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12529"/>
        </w:rPr>
        <w:t>We are closely monitoring the potential impact of the coronavirus outbreak, and the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Over the coming weeks and months, we will continue to carefully monitor the situation with respect to each of our clinical trials and follow guidance from local and federal health authorities.</w:t>
      </w:r>
    </w:p>
    <w:p>
      <w:pPr>
        <w:spacing w:after="0" w:line="176" w:lineRule="exact"/>
        <w:rPr>
          <w:sz w:val="20"/>
          <w:szCs w:val="20"/>
          <w:color w:val="auto"/>
        </w:rPr>
      </w:pPr>
    </w:p>
    <w:p>
      <w:pPr>
        <w:ind w:right="220" w:firstLine="510"/>
        <w:spacing w:after="0" w:line="274" w:lineRule="auto"/>
        <w:rPr>
          <w:sz w:val="20"/>
          <w:szCs w:val="20"/>
          <w:color w:val="auto"/>
        </w:rPr>
      </w:pPr>
      <w:r>
        <w:rPr>
          <w:rFonts w:ascii="Arial" w:cs="Arial" w:eastAsia="Arial" w:hAnsi="Arial"/>
          <w:sz w:val="17"/>
          <w:szCs w:val="17"/>
          <w:color w:val="212529"/>
        </w:rPr>
        <w:t xml:space="preserve">COVID-19 may also affect employees of third-party contract research organizations and </w:t>
      </w:r>
      <w:r>
        <w:rPr>
          <w:rFonts w:ascii="Arial" w:cs="Arial" w:eastAsia="Arial" w:hAnsi="Arial"/>
          <w:sz w:val="17"/>
          <w:szCs w:val="17"/>
          <w:color w:val="000000"/>
        </w:rPr>
        <w:t>contract manufacturing organizations</w:t>
      </w:r>
      <w:r>
        <w:rPr>
          <w:rFonts w:ascii="Arial" w:cs="Arial" w:eastAsia="Arial" w:hAnsi="Arial"/>
          <w:sz w:val="17"/>
          <w:szCs w:val="17"/>
          <w:color w:val="212529"/>
        </w:rPr>
        <w:t xml:space="preserve"> located in affected geographies that we rely upon to carry out our clinical trials. In addition, we have taken precautionary measures, and may take additional</w:t>
      </w:r>
    </w:p>
    <w:p>
      <w:pPr>
        <w:ind w:right="20"/>
        <w:spacing w:after="0" w:line="255" w:lineRule="auto"/>
        <w:rPr>
          <w:sz w:val="20"/>
          <w:szCs w:val="20"/>
          <w:color w:val="auto"/>
        </w:rPr>
      </w:pPr>
      <w:r>
        <w:rPr>
          <w:rFonts w:ascii="Arial" w:cs="Arial" w:eastAsia="Arial" w:hAnsi="Arial"/>
          <w:sz w:val="18"/>
          <w:szCs w:val="18"/>
          <w:color w:val="212529"/>
        </w:rPr>
        <w:t>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40" w:firstLine="510"/>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5" w:name="page46"/>
    <w:bookmarkEnd w:id="45"/>
    <w:p>
      <w:pPr>
        <w:ind w:right="4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jc w:val="both"/>
        <w:ind w:right="4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3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22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47" w:name="page48"/>
    <w:bookmarkEnd w:id="47"/>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00" w:right="56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00" w:hanging="493"/>
        <w:spacing w:after="0" w:line="279"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00" w:right="20" w:hanging="493"/>
        <w:spacing w:after="0" w:line="272"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8" w:name="page49"/>
    <w:bookmarkEnd w:id="48"/>
    <w:p>
      <w:pPr>
        <w:spacing w:after="0" w:line="270" w:lineRule="auto"/>
        <w:rPr>
          <w:sz w:val="20"/>
          <w:szCs w:val="20"/>
          <w:color w:val="auto"/>
        </w:rPr>
      </w:pPr>
      <w:r>
        <w:rPr>
          <w:rFonts w:ascii="Arial" w:cs="Arial" w:eastAsia="Arial" w:hAnsi="Arial"/>
          <w:sz w:val="17"/>
          <w:szCs w:val="17"/>
          <w:color w:val="auto"/>
        </w:rPr>
        <w:t>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81" w:lineRule="exact"/>
        <w:rPr>
          <w:sz w:val="20"/>
          <w:szCs w:val="20"/>
          <w:color w:val="auto"/>
        </w:rPr>
      </w:pPr>
    </w:p>
    <w:p>
      <w:pPr>
        <w:ind w:right="34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various states, such as California and Massachusetts, have implemented similar privacy laws and regulations, such as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of Medical Information Act, that impose restrictive requirements regulating the use and disclosure of health information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personally identifiable information. In addition to fines and penalties imposed upon violators, some of these state laws also afford private rights of action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believe their personal information has been misused. California’s patient privacy laws, for example, provide for penalties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and permit injured parties to sue for damages. The interplay of federal and state laws may be subject to varying interpretations by courts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agencies, creating complex compliance issues for us and our clients and potentially exposing us to additional expense, adverse publicity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Further, as regulatory focus on privacy issues continues to increase and laws and regulations concerning the protection of personal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expand and become more complex, these potential risks to our business could intensify.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84"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7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took effect in May 2018 and governs the collection and use of personal data in the European Union. The GDPR, which 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60"/>
        <w:spacing w:after="0" w:line="257" w:lineRule="auto"/>
        <w:rPr>
          <w:sz w:val="20"/>
          <w:szCs w:val="20"/>
          <w:color w:val="auto"/>
        </w:rPr>
      </w:pPr>
      <w:r>
        <w:rPr>
          <w:rFonts w:ascii="Arial" w:cs="Arial" w:eastAsia="Arial" w:hAnsi="Arial"/>
          <w:sz w:val="18"/>
          <w:szCs w:val="18"/>
          <w:color w:val="auto"/>
        </w:rPr>
        <w:t>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the United States, California recently adopted the California Consumer Privacy Act of 2018, or CCPA, which came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200"/>
        <w:spacing w:after="0" w:line="277" w:lineRule="auto"/>
        <w:rPr>
          <w:sz w:val="20"/>
          <w:szCs w:val="20"/>
          <w:color w:val="auto"/>
        </w:rPr>
      </w:pPr>
      <w:r>
        <w:rPr>
          <w:rFonts w:ascii="Arial" w:cs="Arial" w:eastAsia="Arial" w:hAnsi="Arial"/>
          <w:sz w:val="18"/>
          <w:szCs w:val="18"/>
          <w:color w:val="auto"/>
        </w:rPr>
        <w:t>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70"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60"/>
        <w:spacing w:after="0" w:line="308" w:lineRule="auto"/>
        <w:rPr>
          <w:sz w:val="20"/>
          <w:szCs w:val="20"/>
          <w:color w:val="auto"/>
        </w:rPr>
      </w:pPr>
      <w:r>
        <w:rPr>
          <w:rFonts w:ascii="Arial" w:cs="Arial" w:eastAsia="Arial" w:hAnsi="Arial"/>
          <w:sz w:val="17"/>
          <w:szCs w:val="17"/>
          <w:color w:val="auto"/>
        </w:rPr>
        <w:t>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46"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200" w:firstLine="510"/>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200"/>
        <w:spacing w:after="0" w:line="277" w:lineRule="auto"/>
        <w:rPr>
          <w:sz w:val="20"/>
          <w:szCs w:val="20"/>
          <w:color w:val="auto"/>
        </w:rPr>
      </w:pPr>
      <w:r>
        <w:rPr>
          <w:rFonts w:ascii="Arial" w:cs="Arial" w:eastAsia="Arial" w:hAnsi="Arial"/>
          <w:sz w:val="18"/>
          <w:szCs w:val="18"/>
          <w:color w:val="auto"/>
        </w:rPr>
        <w:t>applications cover our product candidates or technologies, we may not be free to manufacture or market our product candidates as planned, absent such a license, which may not be available to us on commercially reasonable terms, or at all.</w:t>
      </w:r>
    </w:p>
    <w:p>
      <w:pPr>
        <w:spacing w:after="0" w:line="170"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60"/>
        <w:spacing w:after="0" w:line="255" w:lineRule="auto"/>
        <w:rPr>
          <w:sz w:val="20"/>
          <w:szCs w:val="20"/>
          <w:color w:val="auto"/>
        </w:rPr>
      </w:pPr>
      <w:r>
        <w:rPr>
          <w:rFonts w:ascii="Arial" w:cs="Arial" w:eastAsia="Arial" w:hAnsi="Arial"/>
          <w:sz w:val="18"/>
          <w:szCs w:val="18"/>
          <w:color w:val="auto"/>
        </w:rPr>
        <w:t>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4"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6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8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right="100" w:firstLine="510"/>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72"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6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jc w:val="both"/>
        <w:ind w:right="560" w:firstLine="510"/>
        <w:spacing w:after="0" w:line="259" w:lineRule="auto"/>
        <w:rPr>
          <w:sz w:val="20"/>
          <w:szCs w:val="20"/>
          <w:color w:val="auto"/>
        </w:rPr>
      </w:pPr>
      <w:r>
        <w:rPr>
          <w:rFonts w:ascii="Arial" w:cs="Arial" w:eastAsia="Arial" w:hAnsi="Arial"/>
          <w:sz w:val="18"/>
          <w:szCs w:val="18"/>
          <w:color w:val="auto"/>
        </w:rPr>
        <w:t>We are currently party to agreements with AbbVie and Ginkgo.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44"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10"/>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right="560" w:firstLine="510"/>
        <w:spacing w:after="0" w:line="257" w:lineRule="auto"/>
        <w:rPr>
          <w:sz w:val="20"/>
          <w:szCs w:val="20"/>
          <w:color w:val="auto"/>
        </w:rPr>
      </w:pPr>
      <w:r>
        <w:rPr>
          <w:rFonts w:ascii="Arial" w:cs="Arial" w:eastAsia="Arial" w:hAnsi="Arial"/>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Sangamo Therapeutics, Inc., Sanofi S.A., Generation Bio Co., Agios Pharmaceuticals, Inc., Trucode Gene Repair, Inc., SOM Biotech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spacing w:after="0" w:line="269" w:lineRule="auto"/>
        <w:rPr>
          <w:sz w:val="20"/>
          <w:szCs w:val="20"/>
          <w:color w:val="auto"/>
        </w:rPr>
      </w:pPr>
      <w:r>
        <w:rPr>
          <w:rFonts w:ascii="Arial" w:cs="Arial" w:eastAsia="Arial" w:hAnsi="Arial"/>
          <w:sz w:val="17"/>
          <w:szCs w:val="17"/>
          <w:color w:val="auto"/>
        </w:rPr>
        <w:t>SL and other discovery stage companies have developed or are developing product candidates for the treatment of PKU. Allena Pharmaceuticals, Inc, Novome Biotechnologies, Inc., Federation Bio, Inc., Oxidien Pharmaceuticals L.L.C. and others are developing product candidates for enteric hyperoxaluria. Merck &amp; Co. Inc., Spring Bank Pharmaceuticals, Inc., GlaxoSmithKline plc., Bristol Myers Squibb Company, and Silicon Therapeutics have STING agonists in clinical development. companies developing other modalities which target STING or similar mechanisms include companies such as Roche (Genentech) and Pfizer Inc. / Merck KgaA. Multiple companies develop and market antibodies called checkpoint inhibitors including Pfizer Inc., Roche (Genentech), Merck, Bristol-Myers Squibb Company, Eli Lilly &amp; Co, and others.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8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44"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5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180"/>
        <w:spacing w:after="0" w:line="308" w:lineRule="auto"/>
        <w:rPr>
          <w:sz w:val="20"/>
          <w:szCs w:val="20"/>
          <w:color w:val="auto"/>
        </w:rPr>
      </w:pPr>
      <w:r>
        <w:rPr>
          <w:rFonts w:ascii="Arial" w:cs="Arial" w:eastAsia="Arial" w:hAnsi="Arial"/>
          <w:sz w:val="17"/>
          <w:szCs w:val="17"/>
          <w:color w:val="auto"/>
        </w:rPr>
        <w:t>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00" w:right="5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4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5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ind w:right="280" w:firstLine="510"/>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84"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Based on the beneficial ownership of our common stock as of March 18, 2021, our executive officers and directors, together with holders of 5% or more of our common stock outstanding and their respective affiliates, beneficially own approximately 39.2%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March 18, 2021 there were a total of 39,657,841 shares of our common stock outstanding.</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67"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6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44"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3" w:name="page64"/>
    <w:bookmarkEnd w:id="63"/>
    <w:p>
      <w:pPr>
        <w:spacing w:after="0" w:line="271" w:lineRule="auto"/>
        <w:rPr>
          <w:sz w:val="20"/>
          <w:szCs w:val="20"/>
          <w:color w:val="auto"/>
        </w:rPr>
      </w:pPr>
      <w:r>
        <w:rPr>
          <w:rFonts w:ascii="Arial" w:cs="Arial" w:eastAsia="Arial" w:hAnsi="Arial"/>
          <w:sz w:val="17"/>
          <w:szCs w:val="17"/>
          <w:color w:val="auto"/>
        </w:rPr>
        <w:t>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78"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corporate headquarters and operations are located in Cambridge, Massachusetts. We currently lease laboratory and office space at 301 Binney Street in Cambridge. Our 301 Binney Street lease expires in 2028. We believe that our facilities are suitable and adequate for our needs for the foreseeable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65" w:name="page66"/>
    <w:bookmarkEnd w:id="65"/>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720"/>
        <w:spacing w:after="0" w:line="38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common stock has been traded on The Nasdaq Capital Market under the symbol “SYBX” since August 28, 2017, prior to which it was traded under the symbol “MIRN”.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18, 2021, there were approximately 111 stockholders of record of our common stock.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have never declared or paid any dividends to our stockholders since our inception and we do not plan to declare or pay cash dividends in the foreseeable future. We currently anticipate that we will retain any future earnings for the operation and expansion of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 The term "Private Synlogic" refers to Synlogic, Inc. prior to the consummation of the Merger described herein. The term "Mirna" refers to Mirna Therapeutics, Inc. prior to the consummation of the Merger described herein. Unless otherwise indicated, references to the terms "Synlogic," “the Company," "we," "our" and "us" refer to Private Synlogic prior to the consummation of the Merger described herein and Synlogic, Inc. (formerly known as Mirna Therapeutics, Inc.) upon the consummation of the Merger described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7" w:lineRule="exact"/>
        <w:rPr>
          <w:sz w:val="20"/>
          <w:szCs w:val="20"/>
          <w:color w:val="auto"/>
        </w:rPr>
      </w:pPr>
    </w:p>
    <w:p>
      <w:pPr>
        <w:ind w:right="80" w:firstLine="510"/>
        <w:spacing w:after="0" w:line="252" w:lineRule="auto"/>
        <w:rPr>
          <w:sz w:val="20"/>
          <w:szCs w:val="20"/>
          <w:color w:val="auto"/>
        </w:rPr>
      </w:pPr>
      <w:r>
        <w:rPr>
          <w:rFonts w:ascii="Arial" w:cs="Arial" w:eastAsia="Arial" w:hAnsi="Arial"/>
          <w:sz w:val="18"/>
          <w:szCs w:val="18"/>
          <w:color w:val="auto"/>
        </w:rPr>
        <w:t>Synlogic is a clinical-stage biopharmaceutical company focused on the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Synlogic’s proprietary pipeline includes Synthetic Biotic medicines for the treatment of metabolic disorders including Phenylketonuria (PKU) and Enteric Hyperoxaluria. We are building a portfolio of partner-able assets in immunology and oncology.</w:t>
      </w:r>
    </w:p>
    <w:p>
      <w:pPr>
        <w:spacing w:after="0" w:line="3"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a clinical trial with our lead program SYNB1618, we have demonstrated consumption of phenylalanine (Phe), an amino acid that accumulates in a rare metabolic disorder known as PKU and are expanding our pipeline based on learnings from this program. We have also demonstrated that our pre-clinical candidate SYNB8802 can consume dietary oxalate and reduce hyperoxaluria in animal models. We are designing SYNB8802 to be tested in patients with Enteric Hyperoxaluria, a disease which leads to dangerously high levels of urinary oxalate and for which patients have few treatment options today.</w:t>
      </w:r>
    </w:p>
    <w:p>
      <w:pPr>
        <w:spacing w:after="0" w:line="18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believe we have the core competencies in synthetic biology and manufacturing, as well as translational medicine, regulatory experience and clinical development to successfully discover and develop our Synthetic Biotic medicines. In June 2019, we announced an expanded collaboration with Ginkgo Bioworks, Inc. (Ginkgo) to complement our in-house expertise in strain design and development. Ginkgo uses software and automation to program and optimize microbial strains at a large scale. Ginkgo’s technology provides us with a synthetic biology-based cell programming platform for testing thousands of microbial strains to accelerate progression of early preclinical leads to drug candidates optimized for clinical development.</w:t>
      </w:r>
    </w:p>
    <w:p>
      <w:pPr>
        <w:spacing w:after="0" w:line="16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While we believe that our Synthetic Biotic platform has potential to address a broad range of diseases, our initial pipeline focus is on metabolic diseases. We will consider leveraging partnerships to advance programs for other diseases including oncology and inflammatory disorders. Our most advanced programs target metabolic diseases that could potentially be treated by oral delivery of Synthetic Biotic medicines. These includes conditions caused by a genetic mutation characterized by a dysfunctional metabolic pathway including PKU, as well as acquired metabolic diseases caused by organ dysfunction, such as Enteric Hyperoxaluria. When delivered orally, Synthetic Biotic medicines are designed to function in the gut to consume a disease-causing toxic metabolite with the intended consequence of reducing its systemic or urinary levels. We believe that success in our metabolic disease programs will enable us to demonstrate the potential of our Synthetic Biotic medicines while bringing meaningful change to the lives of patients suffering from these debilitating conditions.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December 2019, an outbreak of a novel strain of coronavirus was identified in Wuhan, China. This virus continues to spread globally, has been declared a pandemic by the World Health Organization and has spread to over 100 countries, including the United States. The impact of this pandemic has been and will likely continue to be extensive in many aspects of society, which has resulted in and will likely continue to result in significant disruptions to businesses and capital markets around the world.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Our ability to enroll our clinical trials will be dependent on many factors, including the progression of the pandemic and its impact on patients and the investigators at our clinical trial sites. We are actively working with sites and investigators to mitigate these risks. Over the coming weeks and months, we will continue to carefully monitor the situation with respect to each of our clinical trials and follow guidance from local and federal health authorities.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Phenylketonuria</w:t>
      </w:r>
    </w:p>
    <w:p>
      <w:pPr>
        <w:spacing w:after="0" w:line="12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most advanced product candidate is SYNB1618, an oral therapy intended for the treatment of PKU, a rare metabolic disease in which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U.S. Food and Drug Administration (FDA). We initiated a Phase 1/2a clinical trial of an early liquid formulation of SYNB1618 in April 2018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w:t>
      </w:r>
    </w:p>
    <w:p>
      <w:pPr>
        <w:spacing w:after="0" w:line="17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SYNB1618 is a member of a family of SYNB strains which consume Phe. We have additional Phe consuming strains for PKU in preclinical development. We have evaluated a lyophilized formulation of SYNB1618 in a bridging study in healthy volunteers. The study of this more patient- and commercialization-appropriate presentation of SYNB1618 demonstrated improved tolerability over the early liquid formulation. The next step for SYNB1618 is to conduct a Phase 2 clinical trial. The Phase 2 trial, referred to as the SynPheny-1 Study, is designed to evaluate safety and tolerability of a solid formulation of SYNB1618 as well as its potential to lower blood Phe levels in adult PKU patients.</w:t>
      </w:r>
    </w:p>
    <w:p>
      <w:pPr>
        <w:spacing w:after="0" w:line="17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continue to evaluate our clinical program progress as a result of the ongoing COVID-19 pandemic. The SynPheny-1 Study is designed to be flexible, with subjects physically coming to the clinic or participating from the patient's home utilizing home healthcare services. We initiated this study in the third quarter of 2020.</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Enteric Hyperoxaluria</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Enteric Hyperoxaluria is an acquired metabolic disorder with no approved treatment options. It is caused by increased absorption of dietary oxalate, which is present in many common foods including leafy greens, nuts, and chocolate.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w:t>
      </w:r>
    </w:p>
    <w:p>
      <w:pPr>
        <w:spacing w:after="0" w:line="79"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 disorder can lead to high levels of urinary oxalate, which causes progressive kidney damage, kidney stone formation, and nephrocalcinosis. In May 2020, we announced the nomination of a clinical candidate for Enteric Hyperoxaluria, SYNB8802. We initiated a Phase 1 clinical trial of SYNB8802 in the fourth quarter of 2020.</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SYNB8802 will be assessed for safety and tolerability, strain kinetics, changes in plasma and urine biomarkers of strain activity, and the potential to reduce urinary oxalate in the Phase 1 clinical study. The study has two parts: Part A is a multiple ascending dose study in healthy volunteers in whom we will induce temporary hyperoxaluria via diet; Part B is a placebo controlled, cross-over design study in patients with Enteric Hyperoxaluria following Roux-n-Y gastric bypass surgery.</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have also developed a portfolio of Synthetic Biotic medicines to treat certain cancers which are designed to modify the tumor microenvironment, activate the immune system and result in tumor reduction. These Synthetic Biotic medicines could be used in combination with other cancer therapies such as checkpoint inhibitors. Our first Synthetic Biotic clinical immuno-oncology (“IO”) candidate is SYNB1891, an intratumorally administered Synthetic Biotic medicine engineered to act as a dual innate and adaptive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68" w:name="page69"/>
    <w:bookmarkEnd w:id="68"/>
    <w:p>
      <w:pPr>
        <w:ind w:right="100"/>
        <w:spacing w:after="0" w:line="277" w:lineRule="auto"/>
        <w:rPr>
          <w:sz w:val="20"/>
          <w:szCs w:val="20"/>
          <w:color w:val="auto"/>
        </w:rPr>
      </w:pPr>
      <w:r>
        <w:rPr>
          <w:rFonts w:ascii="Arial" w:cs="Arial" w:eastAsia="Arial" w:hAnsi="Arial"/>
          <w:sz w:val="18"/>
          <w:szCs w:val="18"/>
          <w:color w:val="auto"/>
        </w:rPr>
        <w:t xml:space="preserve">immune activator. SYNB1891 has been designed to activate the immune response in tumors via the </w:t>
      </w:r>
      <w:r>
        <w:rPr>
          <w:rFonts w:ascii="Arial" w:cs="Arial" w:eastAsia="Arial" w:hAnsi="Arial"/>
          <w:sz w:val="18"/>
          <w:szCs w:val="18"/>
          <w:i w:val="1"/>
          <w:iCs w:val="1"/>
          <w:color w:val="auto"/>
        </w:rPr>
        <w:t>E.coli</w:t>
      </w:r>
      <w:r>
        <w:rPr>
          <w:rFonts w:ascii="Arial" w:cs="Arial" w:eastAsia="Arial" w:hAnsi="Arial"/>
          <w:sz w:val="18"/>
          <w:szCs w:val="18"/>
          <w:color w:val="auto"/>
        </w:rPr>
        <w:t xml:space="preserve"> Nissle chassis and production of cyclic di-AMP, an activator of the Stimulator of Interferon Genes, also referred to as the STING pathway.</w:t>
      </w:r>
    </w:p>
    <w:p>
      <w:pPr>
        <w:spacing w:after="0" w:line="17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January 2020, we treated the first subject in a Phase 1 clinical trial of SYNB1891 in patients with advanced solid tumors and lymphoma. The clinical trial is designed to identify a maximum tolerated dose (MTD) of SYNB1891 delivered as a monotherapy. Once an MTD is identified, we will evaluate treatment of patients with a combination of SYNB1891 and the checkpoint inhibitor atezolizumab (Tecentriq), provided through a supply agreement with Roche. Despite the COVID-19 pandemic, the Phase 1 clinical trial has remained open and currently enrolled patients are continuing on trial. New patient enrollment in the study is also continuing. We released interim data from the ongoing monotherapy arm of this trial in December of 2020 which demonstrated target engagement and the production of biomarkers consistent with STING activation. In December of 2020 we also initiated the combination arm of the Phase 1 clinical trial.</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Programs</w:t>
      </w:r>
    </w:p>
    <w:p>
      <w:pPr>
        <w:spacing w:after="0" w:line="12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Maple Syrup Urine Disease (MSUD) is an inherited, rare metabolic disease characterized by a deficiency of enzymes required to break down certain amino acids. We have been conducting studies to advance a pre-clinical candidate for MSUD. Prototype strains did not meet pre-specified criteria for candidate declaration. Therefore, we discontinued efforts in MSUD in the third quarter of 2020 to prioritize other metabolic disorders.</w:t>
      </w:r>
    </w:p>
    <w:p>
      <w:pPr>
        <w:spacing w:after="0" w:line="16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August 2019, we announced that we were discontinuing the development of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w:t>
      </w:r>
    </w:p>
    <w:p>
      <w:pPr>
        <w:spacing w:after="0" w:line="171"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are also leveraging our proprietary technology platform to develop Synthetic Biotic medicines to treat a broader range of human diseases. To achieve this goal, we collaborate with key disease experts who have developed robust models of relevant diseases and to inform our translational medicine strategy. These collaborators bring complementary expertise in preclinical development, clinical development and commercialization. Inflammatory bowel disease (IBD) is an attractive target for our technology as Synthetic Biotic medicines can be designed to locally deliver combinations of complementary therapeutics to potentially address the unmet medical need for maintenance of disease remissions. In May 2020, we announced the termination of our collaboration with AbbVie S.à.r.l. (“AbbVie”) to develop Synthetic Biotic medicines for the treatment of types of inflammatory bowel diseases,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 We may enter into additional strategic partnerships in the future to maximize the value of our programs and our Synthetic Biotic platform.</w:t>
      </w:r>
    </w:p>
    <w:p>
      <w:pPr>
        <w:spacing w:after="0" w:line="39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currently operate in one reportable business segment—the discovery and development of Synthetic Biotic medicines. To date, we have dedicated substantially all of our activities to the research and development of our product candidates. As of March 2021, we have received approximately $340.1 million in proceeds as we financed our operations primarily through the sale of preferred stock, common stock, preferred units, warrants, payments received under the AbbVie collaboration agreement, interest earned on investments, and cash received in the Merger.</w:t>
      </w:r>
    </w:p>
    <w:p>
      <w:pPr>
        <w:spacing w:after="0" w:line="17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have not generated any revenue to date from product sales and have incurred significant operating losses since our inception. We have incurred net losses of approximately $59.2 million and $51.4 million for the years ended December 31, 2020 and 2019, respectively. As of December 31, 2020 and 2019, we had an accumulated deficit of approximately $230.3 million and $171.1 million, respectively, and we expect to incur losses for the foreseeable future as we develop our product candidates. We expect our expenses and capital requirements will increase substantially in connection with our ongoing activities, as we:</w:t>
      </w:r>
    </w:p>
    <w:p>
      <w:pPr>
        <w:spacing w:after="0" w:line="80"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Revenue to date was generated from our collaboration agreement with AbbVie. In May 2020, we announced the termination of our collaboration with AbbVie. Upon termination of the collaboration with AbbVie, we regained all rights to develop the IBD Synthetic Biotic medicines previously developed with AbbVie as well as new IBD Synthetic Biotic medicines for all effectors targeting IBD. Due to the termination of this Agreement, we do not expect further revenue from AbbVie. See Note 10, “</w:t>
      </w:r>
      <w:r>
        <w:rPr>
          <w:rFonts w:ascii="Arial" w:cs="Arial" w:eastAsia="Arial" w:hAnsi="Arial"/>
          <w:sz w:val="17"/>
          <w:szCs w:val="17"/>
          <w:i w:val="1"/>
          <w:iCs w:val="1"/>
          <w:color w:val="auto"/>
        </w:rPr>
        <w:t>Collaboration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AbbVie Collaboration</w:t>
      </w:r>
      <w:r>
        <w:rPr>
          <w:rFonts w:ascii="Arial" w:cs="Arial" w:eastAsia="Arial" w:hAnsi="Arial"/>
          <w:sz w:val="17"/>
          <w:szCs w:val="17"/>
          <w:color w:val="auto"/>
        </w:rPr>
        <w:t>” in the notes to the consolidated financial statements appearing elsewhere in this Annual Report on Form 10-K for a full discussion of this arrangement.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70" w:name="page71"/>
    <w:bookmarkEnd w:id="70"/>
    <w:p>
      <w:pPr>
        <w:ind w:right="540" w:firstLine="510"/>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Annual Report on Form 10-K.</w:t>
      </w:r>
    </w:p>
    <w:p>
      <w:pPr>
        <w:spacing w:after="0" w:line="12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SYNB1618, SYNB1891 and SYNB8802 programs to increase as the programs progress through clinical trials and new programs progress toward IND and into development.</w:t>
      </w:r>
    </w:p>
    <w:p>
      <w:pPr>
        <w:spacing w:after="0" w:line="178"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3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SYNB1020</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SYNB1618</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SYNB1891</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SYNB8802</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External pre-development candidate expenses and unallocated</w:t>
            </w: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FF0FC"/>
          </w:tcPr>
          <w:p>
            <w:pPr>
              <w:spacing w:after="0"/>
              <w:rPr>
                <w:sz w:val="20"/>
                <w:szCs w:val="20"/>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25,040</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47,474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Interest and investment income consist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and research and development expenses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160" w:firstLine="510"/>
        <w:spacing w:after="0" w:line="259" w:lineRule="auto"/>
        <w:rPr>
          <w:sz w:val="20"/>
          <w:szCs w:val="20"/>
          <w:color w:val="auto"/>
        </w:rPr>
      </w:pPr>
      <w:r>
        <w:rPr>
          <w:rFonts w:ascii="Arial" w:cs="Arial" w:eastAsia="Arial" w:hAnsi="Arial"/>
          <w:sz w:val="18"/>
          <w:szCs w:val="18"/>
          <w:color w:val="auto"/>
        </w:rPr>
        <w:t>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“Summary of Significant Accounting Policies”, to our consolidated financial statements appearing elsewhere in this Annual Report on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 xml:space="preserve">We evaluate collaboration agreements with respect to FASB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considering the nature and contractual terms of the arrangement and the nature of our business operations to determine the classification of the transactions. When we are an active participant in the activity and exposed to significant risks and rewards dependent on the commercial success of the collaboration, we will record our transactions on a gross basis in the consolidated financial statements and describe the rights and obligations under the collaborative arrangement in the notes to the consolidated financial statements.</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analysis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66"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may enter into collaboration agreements for research and development services, under which we may license certain rights to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spacing w:after="0" w:line="17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each of our agreements for which the collaboration partner is also a customer,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contract term and pattern of satisfaction of the performance obligations under step (v) above. We use significant judgment to determine whether milestones or other variable consideration, except for royalties, should be included in the transaction price as described further below. The transaction price is allocated to the goods and services we expect to provide. We use estimates to determine the timing of satisfaction of performance obligations, which may include the use of full time equivalent time as a measure of satisfaction of performance obligations.</w:t>
      </w:r>
    </w:p>
    <w:p>
      <w:pPr>
        <w:spacing w:after="0" w:line="168"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our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of Intellectual Property</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auto"/>
        </w:rPr>
        <w:t>Research and Development Services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Options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an alternative approach when the goods or services are both (i) similar to the original goods and services in the contract and (ii) provided in accordance with the terms of the original contract. Under this alternative, we allocate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Milestone Payments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At the inception of each arrangement that includes milestone payments, we evaluate whether a significant reversal of cumulative revenue provided in conjunction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Milestone payments that are not within our control or the licensee, such as regulatory approvals, are not considered probable of being achieved until those approvals are received. For other milestones, we evaluate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we reevaluate the probability of achievement of all milestones subject to constraint and, if necessary, adjusts our estimate of the overall transaction price. Any such adjustments are recorded on a cumulative catch-up basis, which would affect revenues and earnings in the period of adjustment.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a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We recognize as an asset the incremental costs of obtaining a contract with a customer if the costs are expected to be recovered. As a practical expedient, we recognize the incremental costs of obtaining a contract as an expense when incurred if the amortization period of the asset that we otherwise would have recognized is one year or less. To date, we have not incurred any incremental costs of obtaining a contract with a customer.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0" w:firstLine="510"/>
        <w:spacing w:after="0" w:line="218" w:lineRule="exact"/>
        <w:rPr>
          <w:sz w:val="20"/>
          <w:szCs w:val="20"/>
          <w:color w:val="auto"/>
        </w:rPr>
      </w:pPr>
      <w:r>
        <w:rPr>
          <w:rFonts w:ascii="Arial" w:cs="Arial" w:eastAsia="Arial" w:hAnsi="Arial"/>
          <w:sz w:val="16"/>
          <w:szCs w:val="16"/>
          <w:color w:val="auto"/>
        </w:rPr>
        <w:t>All research and development expenses are expensed as incurred. Research and development expenses comprise costs incurred in performing research and development activities, including compensation, benefits and other employee costs; equity</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laboratory and clinical supplies and other direct expenses; facilities expenses; overhead expenses; fees for contractual services, including preclinical studies, clinical trials, clinical manufacturing and raw materials; and other external expenses. Nonrefundable advance payments for research and development activities are capitalized and expensed over the related service period or as goods are received and services are performed. When third-party service providers’ billing terms do not coincide with our period-end, we are required to make estimates of our obligations to those third parties, including clinical trial costs, contractual service costs and costs for supply of our drug candidates, incurred in a given accounting period and record accruals at the end of the period. We base our estimates on the completion status of the research and development programs and the associated estimate of unbilled costs.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8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41,905</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c>
          <w:tcPr>
            <w:tcW w:w="8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56,633</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(54,409)</w:t>
            </w:r>
          </w:p>
        </w:tc>
        <w:tc>
          <w:tcPr>
            <w:tcW w:w="8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3,062</w:t>
            </w:r>
          </w:p>
        </w:tc>
        <w:tc>
          <w:tcPr>
            <w:tcW w:w="80" w:type="dxa"/>
            <w:vAlign w:val="bottom"/>
          </w:tcPr>
          <w:p>
            <w:pPr>
              <w:spacing w:after="0"/>
              <w:rPr>
                <w:sz w:val="19"/>
                <w:szCs w:val="19"/>
                <w:color w:val="auto"/>
              </w:rPr>
            </w:pPr>
          </w:p>
        </w:tc>
      </w:tr>
      <w:tr>
        <w:trPr>
          <w:trHeight w:val="229"/>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29"/>
        </w:trPr>
        <w:tc>
          <w:tcPr>
            <w:tcW w:w="43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8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(59,173)</w:t>
            </w: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(51,373)</w:t>
            </w:r>
          </w:p>
        </w:tc>
      </w:tr>
      <w:tr>
        <w:trPr>
          <w:trHeight w:val="20"/>
        </w:trPr>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right="5300"/>
        <w:spacing w:after="0" w:line="407"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b w:val="1"/>
          <w:bCs w:val="1"/>
          <w:i w:val="1"/>
          <w:iCs w:val="1"/>
          <w:color w:val="auto"/>
        </w:rPr>
        <w:t>Revenue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w w:val="83"/>
              </w:rPr>
              <w:t>2019</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99"/>
              </w:rPr>
              <w:t>545</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(1,679)</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Revenue was $0.5 million for the year ended December 31, 2020 compared to $2.2 million for the year ended December 31, 2019. Revenue for the years ended December 31, 2020 and 2019 was related to the recognition of deferred revenue from services performed and payments received under the AbbVie collaboration. In May 2020, we announced the termination of our collaboration with AbbVie.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91"/>
              </w:rPr>
              <w:t>Years Ended</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ind w:right="115"/>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w w:val="83"/>
              </w:rPr>
              <w:t>2019</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center"/>
              <w:ind w:right="135"/>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47,474</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41,905</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5,569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61,011</w:t>
            </w:r>
          </w:p>
        </w:tc>
        <w:tc>
          <w:tcPr>
            <w:tcW w:w="200" w:type="dxa"/>
            <w:vAlign w:val="bottom"/>
            <w:vMerge w:val="continue"/>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56,633</w:t>
            </w:r>
          </w:p>
        </w:tc>
        <w:tc>
          <w:tcPr>
            <w:tcW w:w="18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Research and development expense was $47.5 million for the year ended December 31, 2020 compared to $41.9 million for the year ended December 31, 2019. The increase of $5.6 million was primarily due to an increase of $8.9 million of non-clinical costs, $1.5 million in clinical development costs associated with our SYNB8802 program, and $0.8 million in clinical development costs associated with our SYNB1891 program. These increases were partially offset by decreases of $1.0 million in compensation, benefits and other employee-related expenses, $2.0 million in clinical development costs associated with our SYNB1020 program, $1.4 million in clinical development costs associated with our SYNB1618 program, $0.6 million in manufacturing costs associated with our SYNB1618 and SYNB1891 programs, $0.4 million of professional services, and $0.2 million of research and development support costs.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General and administrative expense was $13.5 million for the year ended December 31, 2020 compared to $14.7 million for the year ended December 31, 2019. The decrease of $1.2 million was due primarily to a decrease of $1.1 million in compensation, benefits and other employee-related expenses associated with decreased headcount, as well as a decrease of $0.6 million in professional services. The decreases were partially offset by an increase of $0.3 million in support costs and a $0.2 million increase in corporate fees.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4"/>
                <w:szCs w:val="14"/>
                <w:b w:val="1"/>
                <w:bCs w:val="1"/>
                <w:color w:val="auto"/>
                <w:w w:val="91"/>
              </w:rPr>
              <w:t>Years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right="134"/>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center"/>
              <w:ind w:right="15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2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(1,760)</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48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Other income (expense) for the year ended December 31, 2020 was $1.3 million compared to $3.1 million for the corresponding period in 2019. The decrease in other income (expense) of $1.8 million was related to a decrease in interest and investment income resulting from lower cash, cash equivalents and marketable securities balances and lower interest income generated by our investment account.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incurred losses since our inception on March 14, 2014 and, as of December 31, 2020, we had an accumulated deficit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$230.3 million. We have financed our operations to date primarily through the sale of preferred stock, common stock, preferred units, warrants, payments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received under our prior AbbVie collaboration agreement, interest earned on investments, and cash received in the Merger.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we received net proceeds of $13.5 million from the sale of 5,866,258 shares of our common stock in the ATM offering program.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2019, we issued to Ginkgo 6,340,771 shares of common stock and accompanying Pre-Funded Warrants (the “Pre-Funded Warrants”) to purchase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of 2,548,117 shares of common stock, at a combined purchase price per share and Pre-Funded Warrant of $9.00. The Pre-Funded Warrants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exercise price of $9.00 per share, with $8.99 of such exercise price paid at the closing of the offering. The net proceeds to us were approximately $79.9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At December 31, 2020, we had approximately $100.4 million in cash, cash equivalents, and short-term marketable securities. Our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equivalents include amounts held in money market funds, stated at cost plus unrealized gain and loss, which approximates fair market value.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include amounts held in corporate debt securities, commercial paper and U.S. government agency securities and treasuries.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 cash in excess of immediate requirements in accordance with our investment policy, which limits the amounts we may invest in any one type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investment and requires all investments held by us to maintain minimum ratings from Nationally Recognized Statistical Rating Organizations so as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primarily achieve liquidity and capital preservation.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5" w:name="page76"/>
    <w:bookmarkEnd w:id="75"/>
    <w:p>
      <w:pPr>
        <w:ind w:firstLine="510"/>
        <w:spacing w:after="0" w:line="311" w:lineRule="auto"/>
        <w:rPr>
          <w:sz w:val="20"/>
          <w:szCs w:val="20"/>
          <w:color w:val="auto"/>
        </w:rPr>
      </w:pPr>
      <w:r>
        <w:rPr>
          <w:rFonts w:ascii="Arial" w:cs="Arial" w:eastAsia="Arial" w:hAnsi="Arial"/>
          <w:sz w:val="16"/>
          <w:szCs w:val="16"/>
          <w:color w:val="auto"/>
        </w:rPr>
        <w:t>During the year ended December 31, 2020 our cash, cash equivalents and marketable securities balance decreased approximately $26.6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major sources and uses of cash, cash equivalents and restricted cash for each of the periods below:</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5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5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cash equivalents and restricted cash (used in) provided by</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(39,553)</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(75,468)</w:t>
            </w:r>
          </w:p>
        </w:tc>
      </w:tr>
      <w:tr>
        <w:trPr>
          <w:trHeight w:val="229"/>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79,604</w:t>
            </w:r>
          </w:p>
        </w:tc>
        <w:tc>
          <w:tcPr>
            <w:tcW w:w="10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Net cash, cash equivalents and restricted cash used in operating activities was approximately $39.6 million for the year ended December 31, 2020. The primary use of cash was our net loss of approximately $59.2 million, which was partially offset by $8.3 million of non-cash items primarily including depreciation, equity-based compensation, and the right of use asset. There was an increase in working capital of $11.4 million, primarily related to decreases in prepaid research and development expenses, as result of our June 2019 services agreement with Ginkgo, decreases in prepaid expense and other current assets, offset by decreases in accounts payable, accrued expenses, operating lease liability and deferred revenue.</w:t>
      </w:r>
    </w:p>
    <w:p>
      <w:pPr>
        <w:spacing w:after="0" w:line="26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Net cash, cash equivalents and restricted cash used in operating activities was approximately $75.5 million for the year ended December 31, 2019. The primary use of cash was our net loss of approximately $51.4 million and a decrease in working capital of $31.0 million, of which $30.0 million related to prepaid research and development expenses, as a result of our June 2019 services agreement with Ginkgo, decreases in accounts payable and accrued expenses, and an increase in operating lease liability and right of use asset, as a result of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effective January 1, 2019, offset by an increase in deferred revenue. Net loss was partially offset by $6.9 million of non-cash items primarily including depreciation, equity-based compensation and the right of use asset.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Net cash provided by investing activities for the year ended December 31, 2020 was $32.5 million and resulted primarily from the proceeds from maturity of marketable securities of $90.8 million and proceeds from redemption of marketable securities of $28.5 million. This was offset by the purchases of marketable securities of $86.5 million and property and equipment of $0.4 million.</w:t>
      </w:r>
    </w:p>
    <w:p>
      <w:pPr>
        <w:spacing w:after="0" w:line="292"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Net cash provided by investing activities for the year ended December 31, 2019 was $10.8 million and resulted primarily from the purchases of marketable securities of $145.4 million and purchases of property and equipment of $1.3 million. These uses were partially offset by the proceeds of maturity of marketable securities of $157.5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Net cash provided by financing activities for the year ended December 31, 2020 totaled $13.4 million, primarily related to net proceeds of $13.5 million from the sale of 5,866,258 shares of our common stock in the ATM offering program, offset by payments on our finance leases.</w:t>
      </w:r>
    </w:p>
    <w:p>
      <w:pPr>
        <w:spacing w:after="0" w:line="3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2019 totaled $79.6 million related to net proceeds of $79.9 million from the sale of our common stock and Pre-Funded Warrants to Ginkgo in June 2019, offset by payments on our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80" w:firstLine="510"/>
        <w:spacing w:after="0" w:line="272" w:lineRule="auto"/>
        <w:rPr>
          <w:sz w:val="20"/>
          <w:szCs w:val="20"/>
          <w:color w:val="auto"/>
        </w:rPr>
      </w:pPr>
      <w:r>
        <w:rPr>
          <w:rFonts w:ascii="Arial" w:cs="Arial" w:eastAsia="Arial" w:hAnsi="Arial"/>
          <w:sz w:val="17"/>
          <w:szCs w:val="17"/>
          <w:color w:val="auto"/>
        </w:rPr>
        <w:t>We have historically generated revenue from our AbbVie collaboration, but have not generated any product revenue since our inception and do not expect to generate any product revenue unless we receive regulatory approval for our product candidates. We believe that our cash, cash equivalents, and short-term marketable securities as of December 31, 2020,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Annual Report on Form 10-K. We have based our estimates on assumptions that may prove to be wrong, and we could utilize our available capital resources sooner than we currently expect.</w:t>
      </w:r>
    </w:p>
    <w:p>
      <w:pPr>
        <w:spacing w:after="0" w:line="177"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 and</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commitments for operating leases relate to our lease of office and laboratory space at 301 Binney Street in Cambridge, Massachusetts and the GMP clean-room space leased from the Azzur Group, LLC, in Waltham, Massachusetts.</w:t>
      </w:r>
    </w:p>
    <w:p>
      <w:pPr>
        <w:spacing w:after="0" w:line="170"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In July 2017, we entered into an agreement to lease approximately 41,346 square feet of laboratory and office space at 301 Binney Street in Cambridge, Massachusetts. Annual rent is approximately $3.3 million. The ten-year lease commenced in January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right="460"/>
        <w:spacing w:after="0" w:line="263" w:lineRule="auto"/>
        <w:rPr>
          <w:sz w:val="20"/>
          <w:szCs w:val="20"/>
          <w:color w:val="auto"/>
        </w:rPr>
      </w:pPr>
      <w:r>
        <w:rPr>
          <w:rFonts w:ascii="Arial" w:cs="Arial" w:eastAsia="Arial" w:hAnsi="Arial"/>
          <w:sz w:val="18"/>
          <w:szCs w:val="18"/>
          <w:color w:val="auto"/>
        </w:rPr>
        <w:t>2018 and contains provisions for a free-rent period, annual rent increases and an allowance for tenant improvements. Additionally, we have paid for a tenant improvement investment of approximately $2.9 million. In conjunction with the lease, we established a letter of credit of approximately $1.0 million.</w:t>
      </w:r>
    </w:p>
    <w:p>
      <w:pPr>
        <w:spacing w:after="0" w:line="1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On December 7, 2018, Synlogic Operating Company, Inc., a wholly-owned subsidiary of Synlogic, Inc. (the “Company”), entered into a Statement of Work (the “SOW”) with Azzur Group, LLC (“Azzur”) pursuant to a Master Contract Services Agreement (the “Master Services Agreement”), dated September 8, 2018, between the Company and Azzur.</w:t>
      </w:r>
    </w:p>
    <w:p>
      <w:pPr>
        <w:spacing w:after="0" w:line="184"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Pursuant to the SOW, Azzur has agreed to provide the Company with access to, and the use of, an approximately 700 square foot cleanroom space to be constructed in Waltham, Massachusetts (the “Azzur Suite”), for a period of 44 months, from May 1, 2019 to December 31, 2022 (the “Term”). Azzur has also agreed to provide the Company with storage space and personnel support at the Azzur Suite. The total estimated project cost during the Term for access to, and use of, the cleanroom and storage space, and the personnel support and other services, is $4.8 million.</w:t>
      </w:r>
    </w:p>
    <w:p>
      <w:pPr>
        <w:spacing w:after="0" w:line="15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Company may terminate the SOW on four months’ prior written notice at any time during the Term. In addition, either party may terminate the Master Services Agreement (including the SOW) due to a breach by the other party and failure to cure. The Company is reasonably certain not to exercise the termination option through December 31, 2022.</w:t>
      </w:r>
    </w:p>
    <w:p>
      <w:pPr>
        <w:spacing w:after="0" w:line="1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As we are a clinical stage company, having entered the clinic for our first Phase 1 clinical trial in June 2017, we expect our most significant clinical trial expenditures will be with CROs and CMOs. These contracts generally are cancellable, with notice, at our option and do not have cancellation penalties.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 (a)(4)(ii)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Please read Note 2, “Summary of Significant Accounting Policies” to the consolidated financial statements included elsewhere in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consolidated financial statements, together with the independent registered public accounting firm report thereon, appear at pages F-1 through F-28 respectively,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identified in connection with the evaluation of such internal control that occurred during our fiscal year ended December 31, 2020 that have materially affected, or are reasonably likely to materially affect, our internal controls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ind w:right="40" w:firstLine="510"/>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2020. In making this assessment, management used the criteria set forth by the Committee of Sponsoring Organizations of the Treadway Commission (“COSO”) in Internal Control-Integrated Framework (2013). Based on our assessment, management believes that, as of December 31, 2020, our internal control over financial reporting is effective based on those criteria.</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2021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“Executive Officer and Director Compensation” in the Company’s Proxy Statement for the 2021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The response to this item is incorporated by reference from the discussion responsive thereto under the caption “Security Ownership of Certain Beneficial Owners and Management” in the Company’s Proxy Statement for the 2021 Annual Meeting of Stockholders.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The response to this item is incorporated by reference from the discussion responsive thereto under the captions “Certain Relationships and Related Person Transactions” and “Management and Corporate Governance” in the Company’s Proxy Statement for the 2021 Annual Meeting of Stockholders.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“Independent Registered Public Accounting Firm” in the Company’s Proxy Statement for the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1" w:name="page82"/>
    <w:bookmarkEnd w:id="81"/>
    <w:p>
      <w:pPr>
        <w:jc w:val="center"/>
        <w:ind w:left="5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15(a).</w:t>
      </w:r>
      <w:r>
        <w:rPr>
          <w:sz w:val="20"/>
          <w:szCs w:val="20"/>
          <w:color w:val="auto"/>
        </w:rPr>
        <w:tab/>
      </w:r>
      <w:r>
        <w:rPr>
          <w:rFonts w:ascii="Arial" w:cs="Arial" w:eastAsia="Arial" w:hAnsi="Arial"/>
          <w:sz w:val="16"/>
          <w:szCs w:val="16"/>
          <w:color w:val="auto"/>
        </w:rPr>
        <w:t>The following documents are filed as part of this Annual Report on Form 10-K:</w:t>
      </w:r>
    </w:p>
    <w:p>
      <w:pPr>
        <w:spacing w:after="0" w:line="117"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Item 15(a)(1) and (2) </w:t>
      </w:r>
      <w:r>
        <w:rPr>
          <w:rFonts w:ascii="Arial" w:cs="Arial" w:eastAsia="Arial" w:hAnsi="Arial"/>
          <w:sz w:val="18"/>
          <w:szCs w:val="18"/>
          <w:color w:val="auto"/>
        </w:rPr>
        <w:t>See “Consolidated Financial Statements and Supplementary Data” at Item 8 to this Annual Report on Form 10-K.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 schedules have not been included because they are not applicable, or the information is included in the financial statements or notes thereto.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Item 15(a)(3)</w:t>
            </w:r>
          </w:p>
        </w:tc>
        <w:tc>
          <w:tcPr>
            <w:tcW w:w="8920" w:type="dxa"/>
            <w:vAlign w:val="bottom"/>
            <w:gridSpan w:val="29"/>
          </w:tcPr>
          <w:p>
            <w:pPr>
              <w:ind w:left="160"/>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60" w:type="dxa"/>
            <w:vAlign w:val="bottom"/>
            <w:gridSpan w:val="20"/>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with this</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98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20"/>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1"/>
        </w:trPr>
        <w:tc>
          <w:tcPr>
            <w:tcW w:w="88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560" w:type="dxa"/>
            <w:vAlign w:val="bottom"/>
            <w:tcBorders>
              <w:bottom w:val="single" w:sz="8" w:color="0000EE"/>
            </w:tcBorders>
            <w:gridSpan w:val="16"/>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Agreement and Plan of Merger and Reorganization, dated as of</w:t>
              </w:r>
            </w:hyperlink>
          </w:p>
        </w:tc>
        <w:tc>
          <w:tcPr>
            <w:tcW w:w="40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05/16/2017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7"/>
              </w:rPr>
            </w:pPr>
            <w:hyperlink r:id="rId98">
              <w:r>
                <w:rPr>
                  <w:rFonts w:ascii="Arial" w:cs="Arial" w:eastAsia="Arial" w:hAnsi="Arial"/>
                  <w:sz w:val="18"/>
                  <w:szCs w:val="18"/>
                  <w:color w:val="0000EE"/>
                  <w:w w:val="97"/>
                </w:rPr>
                <w:t>May 15, 2017, by and among Mirna Therapeutics, Inc., Meerkat</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5"/>
              </w:rPr>
              <w:t>(Exhibit 2.1)</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Merger Sub, Inc. and Synlogic, Inc.</w:t>
              </w:r>
            </w:hyperlink>
          </w:p>
        </w:tc>
        <w:tc>
          <w:tcPr>
            <w:tcW w:w="2040" w:type="dxa"/>
            <w:vAlign w:val="bottom"/>
            <w:tcBorders>
              <w:top w:val="single" w:sz="8" w:color="0000EE"/>
            </w:tcBorders>
            <w:gridSpan w:val="7"/>
          </w:tcPr>
          <w:p>
            <w:pPr>
              <w:spacing w:after="0"/>
              <w:rPr>
                <w:sz w:val="17"/>
                <w:szCs w:val="17"/>
                <w:color w:val="auto"/>
              </w:rPr>
            </w:pPr>
          </w:p>
        </w:tc>
        <w:tc>
          <w:tcPr>
            <w:tcW w:w="3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4960" w:type="dxa"/>
            <w:vAlign w:val="bottom"/>
            <w:gridSpan w:val="25"/>
          </w:tcPr>
          <w:p>
            <w:pPr>
              <w:spacing w:after="0"/>
              <w:rPr>
                <w:rFonts w:ascii="Arial" w:cs="Arial" w:eastAsia="Arial" w:hAnsi="Arial"/>
                <w:sz w:val="18"/>
                <w:szCs w:val="18"/>
                <w:color w:val="0000EE"/>
              </w:rPr>
            </w:pPr>
            <w:hyperlink r:id="rId99">
              <w:r>
                <w:rPr>
                  <w:rFonts w:ascii="Arial" w:cs="Arial" w:eastAsia="Arial" w:hAnsi="Arial"/>
                  <w:sz w:val="18"/>
                  <w:szCs w:val="18"/>
                  <w:color w:val="0000EE"/>
                </w:rPr>
                <w:t>Amended and Restated Certificate of Incorporation</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10/6/2015</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(Exhibit 3.1)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4680" w:type="dxa"/>
            <w:vAlign w:val="bottom"/>
            <w:tcBorders>
              <w:bottom w:val="single" w:sz="8" w:color="0000EE"/>
            </w:tcBorders>
            <w:gridSpan w:val="20"/>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Certificate of Amendment (Reverse Stock Split) to the Amended</w:t>
              </w:r>
            </w:hyperlink>
          </w:p>
        </w:tc>
        <w:tc>
          <w:tcPr>
            <w:tcW w:w="28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08/28/2017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6"/>
              </w:rPr>
            </w:pPr>
            <w:hyperlink r:id="rId100">
              <w:r>
                <w:rPr>
                  <w:rFonts w:ascii="Arial" w:cs="Arial" w:eastAsia="Arial" w:hAnsi="Arial"/>
                  <w:sz w:val="18"/>
                  <w:szCs w:val="18"/>
                  <w:color w:val="0000EE"/>
                  <w:w w:val="96"/>
                </w:rPr>
                <w:t>and Restated Certificate of Incorporation, dated August 25, 2017</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5"/>
              </w:rPr>
              <w:t>(Exhibit 3.1)</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45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Certificate of Amendment (Name Change) to the Amended and</w:t>
              </w:r>
            </w:hyperlink>
          </w:p>
        </w:tc>
        <w:tc>
          <w:tcPr>
            <w:tcW w:w="80" w:type="dxa"/>
            <w:vAlign w:val="bottom"/>
            <w:tcBorders>
              <w:top w:val="single" w:sz="8" w:color="0000EE"/>
            </w:tcBorders>
            <w:gridSpan w:val="2"/>
          </w:tcPr>
          <w:p>
            <w:pPr>
              <w:spacing w:after="0"/>
              <w:rPr>
                <w:sz w:val="24"/>
                <w:szCs w:val="24"/>
                <w:color w:val="auto"/>
              </w:rPr>
            </w:pPr>
          </w:p>
        </w:tc>
        <w:tc>
          <w:tcPr>
            <w:tcW w:w="30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08/28/2017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Restated Certificate of Incorporation</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5"/>
              </w:rPr>
              <w:t>(Exhibit 3.2)</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2640" w:type="dxa"/>
            <w:vAlign w:val="bottom"/>
            <w:tcBorders>
              <w:top w:val="single" w:sz="8" w:color="0000EE"/>
            </w:tcBorders>
            <w:gridSpan w:val="12"/>
          </w:tcPr>
          <w:p>
            <w:pPr>
              <w:spacing w:after="0"/>
              <w:rPr>
                <w:rFonts w:ascii="Arial" w:cs="Arial" w:eastAsia="Arial" w:hAnsi="Arial"/>
                <w:sz w:val="18"/>
                <w:szCs w:val="18"/>
                <w:color w:val="0000EE"/>
              </w:rPr>
            </w:pPr>
            <w:hyperlink r:id="rId102">
              <w:r>
                <w:rPr>
                  <w:rFonts w:ascii="Arial" w:cs="Arial" w:eastAsia="Arial" w:hAnsi="Arial"/>
                  <w:sz w:val="18"/>
                  <w:szCs w:val="18"/>
                  <w:color w:val="0000EE"/>
                </w:rPr>
                <w:t>Amended and Restated Bylaws</w:t>
              </w:r>
            </w:hyperlink>
          </w:p>
        </w:tc>
        <w:tc>
          <w:tcPr>
            <w:tcW w:w="232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10/6/2015</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(Exhibit 3.2)</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4960" w:type="dxa"/>
            <w:vAlign w:val="bottom"/>
            <w:gridSpan w:val="25"/>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Form of Common Stock Certificate</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09/18/2015</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(Exhibit 4.2)</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206544</w:t>
            </w:r>
          </w:p>
        </w:tc>
        <w:tc>
          <w:tcPr>
            <w:tcW w:w="0" w:type="dxa"/>
            <w:vAlign w:val="bottom"/>
          </w:tcPr>
          <w:p>
            <w:pPr>
              <w:spacing w:after="0"/>
              <w:rPr>
                <w:sz w:val="1"/>
                <w:szCs w:val="1"/>
                <w:color w:val="auto"/>
              </w:rPr>
            </w:pPr>
          </w:p>
        </w:tc>
      </w:tr>
      <w:tr>
        <w:trPr>
          <w:trHeight w:val="297"/>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4960" w:type="dxa"/>
            <w:vAlign w:val="bottom"/>
            <w:gridSpan w:val="25"/>
          </w:tcPr>
          <w:p>
            <w:pPr>
              <w:spacing w:after="0"/>
              <w:rPr>
                <w:rFonts w:ascii="Arial" w:cs="Arial" w:eastAsia="Arial" w:hAnsi="Arial"/>
                <w:sz w:val="18"/>
                <w:szCs w:val="18"/>
                <w:color w:val="0000EE"/>
              </w:rPr>
            </w:pPr>
            <w:hyperlink r:id="rId104">
              <w:r>
                <w:rPr>
                  <w:rFonts w:ascii="Arial" w:cs="Arial" w:eastAsia="Arial" w:hAnsi="Arial"/>
                  <w:sz w:val="18"/>
                  <w:szCs w:val="18"/>
                  <w:color w:val="0000EE"/>
                </w:rPr>
                <w:t>Pre-Funded Warrant</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06/12/2019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(Exhibit 4.1)</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jc w:val="center"/>
              <w:ind w:right="372"/>
              <w:spacing w:after="0" w:line="190" w:lineRule="exact"/>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6"/>
                <w:szCs w:val="16"/>
                <w:color w:val="auto"/>
              </w:rPr>
            </w:pPr>
          </w:p>
        </w:tc>
        <w:tc>
          <w:tcPr>
            <w:tcW w:w="4960" w:type="dxa"/>
            <w:vAlign w:val="bottom"/>
            <w:gridSpan w:val="25"/>
          </w:tcPr>
          <w:p>
            <w:pPr>
              <w:spacing w:after="0" w:line="190" w:lineRule="exact"/>
              <w:rPr>
                <w:sz w:val="20"/>
                <w:szCs w:val="20"/>
                <w:color w:val="auto"/>
              </w:rPr>
            </w:pPr>
            <w:r>
              <w:rPr>
                <w:rFonts w:ascii="Arial" w:cs="Arial" w:eastAsia="Arial" w:hAnsi="Arial"/>
                <w:sz w:val="18"/>
                <w:szCs w:val="18"/>
                <w:color w:val="0000EE"/>
              </w:rPr>
              <w:t>Description of Securities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9"/>
              </w:rPr>
              <w:t>10-K</w:t>
            </w:r>
          </w:p>
        </w:tc>
        <w:tc>
          <w:tcPr>
            <w:tcW w:w="1880" w:type="dxa"/>
            <w:vAlign w:val="bottom"/>
          </w:tcPr>
          <w:p>
            <w:pPr>
              <w:jc w:val="right"/>
              <w:ind w:right="572"/>
              <w:spacing w:after="0" w:line="190" w:lineRule="exact"/>
              <w:rPr>
                <w:sz w:val="20"/>
                <w:szCs w:val="20"/>
                <w:color w:val="auto"/>
              </w:rPr>
            </w:pPr>
            <w:r>
              <w:rPr>
                <w:rFonts w:ascii="Arial" w:cs="Arial" w:eastAsia="Arial" w:hAnsi="Arial"/>
                <w:sz w:val="18"/>
                <w:szCs w:val="18"/>
                <w:color w:val="auto"/>
              </w:rPr>
              <w:t>03/12/2020</w:t>
            </w:r>
          </w:p>
        </w:tc>
        <w:tc>
          <w:tcPr>
            <w:tcW w:w="100" w:type="dxa"/>
            <w:vAlign w:val="bottom"/>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(Exhibit 4.3)</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93"/>
              </w:rPr>
              <w:t>10.1#</w:t>
            </w:r>
          </w:p>
        </w:tc>
        <w:tc>
          <w:tcPr>
            <w:tcW w:w="100" w:type="dxa"/>
            <w:vAlign w:val="bottom"/>
          </w:tcPr>
          <w:p>
            <w:pPr>
              <w:spacing w:after="0"/>
              <w:rPr>
                <w:sz w:val="24"/>
                <w:szCs w:val="24"/>
                <w:color w:val="auto"/>
              </w:rPr>
            </w:pPr>
          </w:p>
        </w:tc>
        <w:tc>
          <w:tcPr>
            <w:tcW w:w="4960" w:type="dxa"/>
            <w:vAlign w:val="bottom"/>
            <w:gridSpan w:val="25"/>
          </w:tcPr>
          <w:p>
            <w:pPr>
              <w:spacing w:after="0"/>
              <w:rPr>
                <w:rFonts w:ascii="Arial" w:cs="Arial" w:eastAsia="Arial" w:hAnsi="Arial"/>
                <w:sz w:val="18"/>
                <w:szCs w:val="18"/>
                <w:color w:val="0000EE"/>
              </w:rPr>
            </w:pPr>
            <w:hyperlink r:id="rId105">
              <w:r>
                <w:rPr>
                  <w:rFonts w:ascii="Arial" w:cs="Arial" w:eastAsia="Arial" w:hAnsi="Arial"/>
                  <w:sz w:val="18"/>
                  <w:szCs w:val="18"/>
                  <w:color w:val="0000EE"/>
                </w:rPr>
                <w:t>2015 Equity Incentive Award Plan</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03/20/2018</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93"/>
              </w:rPr>
              <w:t>10.2#</w:t>
            </w:r>
          </w:p>
        </w:tc>
        <w:tc>
          <w:tcPr>
            <w:tcW w:w="100" w:type="dxa"/>
            <w:vAlign w:val="bottom"/>
          </w:tcPr>
          <w:p>
            <w:pPr>
              <w:spacing w:after="0"/>
              <w:rPr>
                <w:sz w:val="24"/>
                <w:szCs w:val="24"/>
                <w:color w:val="auto"/>
              </w:rPr>
            </w:pPr>
          </w:p>
        </w:tc>
        <w:tc>
          <w:tcPr>
            <w:tcW w:w="4740" w:type="dxa"/>
            <w:vAlign w:val="bottom"/>
            <w:tcBorders>
              <w:bottom w:val="single" w:sz="8" w:color="0000EE"/>
            </w:tcBorders>
            <w:gridSpan w:val="23"/>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Form of Stock Option Grant Notice and Stock Option Agreement</w:t>
              </w:r>
            </w:hyperlink>
          </w:p>
        </w:tc>
        <w:tc>
          <w:tcPr>
            <w:tcW w:w="2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09/11/2015</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under the 2015 Equity Incentive Award Plan.</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10.9(B))</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206544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24"/>
                <w:szCs w:val="24"/>
                <w:color w:val="auto"/>
              </w:rPr>
            </w:pPr>
          </w:p>
        </w:tc>
        <w:tc>
          <w:tcPr>
            <w:tcW w:w="4720" w:type="dxa"/>
            <w:vAlign w:val="bottom"/>
            <w:tcBorders>
              <w:bottom w:val="single" w:sz="8" w:color="0000EE"/>
            </w:tcBorders>
            <w:gridSpan w:val="22"/>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Form of Restricted Stock Award Agreement and Restricted Stock</w:t>
              </w:r>
            </w:hyperlink>
          </w:p>
        </w:tc>
        <w:tc>
          <w:tcPr>
            <w:tcW w:w="2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09/11/2015</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5"/>
          </w:tcPr>
          <w:p>
            <w:pPr>
              <w:spacing w:after="0" w:line="196"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Unit Award Grant Notice under the 2015 Equity Incentive Award</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10.9(C))</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206544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Plan.</w:t>
              </w:r>
            </w:hyperlink>
          </w:p>
        </w:tc>
        <w:tc>
          <w:tcPr>
            <w:tcW w:w="9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4"/>
                <w:szCs w:val="24"/>
                <w:color w:val="auto"/>
              </w:rPr>
            </w:pPr>
          </w:p>
        </w:tc>
        <w:tc>
          <w:tcPr>
            <w:tcW w:w="4960" w:type="dxa"/>
            <w:vAlign w:val="bottom"/>
            <w:gridSpan w:val="25"/>
          </w:tcPr>
          <w:p>
            <w:pPr>
              <w:spacing w:after="0"/>
              <w:rPr>
                <w:rFonts w:ascii="Arial" w:cs="Arial" w:eastAsia="Arial" w:hAnsi="Arial"/>
                <w:sz w:val="18"/>
                <w:szCs w:val="18"/>
                <w:color w:val="0000EE"/>
              </w:rPr>
            </w:pPr>
            <w:hyperlink r:id="rId108">
              <w:r>
                <w:rPr>
                  <w:rFonts w:ascii="Arial" w:cs="Arial" w:eastAsia="Arial" w:hAnsi="Arial"/>
                  <w:sz w:val="18"/>
                  <w:szCs w:val="18"/>
                  <w:color w:val="0000EE"/>
                </w:rPr>
                <w:t>2017 Stock Incentive Plan</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03/20/2018</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10.4)</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24"/>
                <w:szCs w:val="24"/>
                <w:color w:val="auto"/>
              </w:rPr>
            </w:pPr>
          </w:p>
        </w:tc>
        <w:tc>
          <w:tcPr>
            <w:tcW w:w="4740" w:type="dxa"/>
            <w:vAlign w:val="bottom"/>
            <w:tcBorders>
              <w:bottom w:val="single" w:sz="8" w:color="0000EE"/>
            </w:tcBorders>
            <w:gridSpan w:val="23"/>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Form of Stock Option Grant Notice and Stock Option Agreement</w:t>
              </w:r>
            </w:hyperlink>
          </w:p>
        </w:tc>
        <w:tc>
          <w:tcPr>
            <w:tcW w:w="2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11/13/2017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under 2017 Stock Incentive Plan.</w:t>
              </w:r>
            </w:hyperlink>
          </w:p>
        </w:tc>
        <w:tc>
          <w:tcPr>
            <w:tcW w:w="25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10.17)</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93"/>
              </w:rPr>
              <w:t>10.6#</w:t>
            </w:r>
          </w:p>
        </w:tc>
        <w:tc>
          <w:tcPr>
            <w:tcW w:w="100" w:type="dxa"/>
            <w:vAlign w:val="bottom"/>
          </w:tcPr>
          <w:p>
            <w:pPr>
              <w:spacing w:after="0"/>
              <w:rPr>
                <w:sz w:val="24"/>
                <w:szCs w:val="24"/>
                <w:color w:val="auto"/>
              </w:rPr>
            </w:pPr>
          </w:p>
        </w:tc>
        <w:tc>
          <w:tcPr>
            <w:tcW w:w="4960" w:type="dxa"/>
            <w:vAlign w:val="bottom"/>
            <w:gridSpan w:val="25"/>
          </w:tcPr>
          <w:p>
            <w:pPr>
              <w:spacing w:after="0" w:line="207" w:lineRule="exact"/>
              <w:rPr>
                <w:rFonts w:ascii="Arial" w:cs="Arial" w:eastAsia="Arial" w:hAnsi="Arial"/>
                <w:sz w:val="18"/>
                <w:szCs w:val="18"/>
                <w:color w:val="0000EE"/>
              </w:rPr>
            </w:pPr>
            <w:hyperlink r:id="rId110">
              <w:r>
                <w:rPr>
                  <w:rFonts w:ascii="Arial" w:cs="Arial" w:eastAsia="Arial" w:hAnsi="Arial"/>
                  <w:sz w:val="18"/>
                  <w:szCs w:val="18"/>
                  <w:color w:val="0000EE"/>
                </w:rPr>
                <w:t>Non</w:t>
              </w:r>
              <w:r>
                <w:rPr>
                  <w:rFonts w:ascii="MS PGothic" w:cs="MS PGothic" w:eastAsia="MS PGothic" w:hAnsi="MS PGothic"/>
                  <w:sz w:val="18"/>
                  <w:szCs w:val="18"/>
                  <w:color w:val="0000EE"/>
                </w:rPr>
                <w:t>‑</w:t>
              </w:r>
              <w:r>
                <w:rPr>
                  <w:rFonts w:ascii="Arial" w:cs="Arial" w:eastAsia="Arial" w:hAnsi="Arial"/>
                  <w:sz w:val="18"/>
                  <w:szCs w:val="18"/>
                  <w:color w:val="0000EE"/>
                </w:rPr>
                <w:t>Employee Director Compensation Program.</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01/31/2020</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center"/>
              <w:ind w:right="372"/>
              <w:spacing w:after="0"/>
              <w:rPr>
                <w:sz w:val="20"/>
                <w:szCs w:val="20"/>
                <w:color w:val="auto"/>
              </w:rPr>
            </w:pPr>
            <w:r>
              <w:rPr>
                <w:rFonts w:ascii="Arial" w:cs="Arial" w:eastAsia="Arial" w:hAnsi="Arial"/>
                <w:sz w:val="18"/>
                <w:szCs w:val="18"/>
                <w:color w:val="auto"/>
                <w:w w:val="93"/>
              </w:rPr>
              <w:t>10.7#</w:t>
            </w:r>
          </w:p>
        </w:tc>
        <w:tc>
          <w:tcPr>
            <w:tcW w:w="100" w:type="dxa"/>
            <w:vAlign w:val="bottom"/>
          </w:tcPr>
          <w:p>
            <w:pPr>
              <w:spacing w:after="0"/>
              <w:rPr>
                <w:sz w:val="24"/>
                <w:szCs w:val="24"/>
                <w:color w:val="auto"/>
              </w:rPr>
            </w:pPr>
          </w:p>
        </w:tc>
        <w:tc>
          <w:tcPr>
            <w:tcW w:w="4960" w:type="dxa"/>
            <w:vAlign w:val="bottom"/>
            <w:gridSpan w:val="25"/>
          </w:tcPr>
          <w:p>
            <w:pPr>
              <w:spacing w:after="0"/>
              <w:rPr>
                <w:rFonts w:ascii="Arial" w:cs="Arial" w:eastAsia="Arial" w:hAnsi="Arial"/>
                <w:sz w:val="18"/>
                <w:szCs w:val="18"/>
                <w:color w:val="0000EE"/>
                <w:w w:val="98"/>
              </w:rPr>
            </w:pPr>
            <w:hyperlink r:id="rId111">
              <w:r>
                <w:rPr>
                  <w:rFonts w:ascii="Arial" w:cs="Arial" w:eastAsia="Arial" w:hAnsi="Arial"/>
                  <w:sz w:val="18"/>
                  <w:szCs w:val="18"/>
                  <w:color w:val="0000EE"/>
                  <w:w w:val="98"/>
                </w:rPr>
                <w:t>Form of Indemnification Agreement between the Company and</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09/11/2015</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each of its directors and officers</w:t>
              </w:r>
            </w:hyperlink>
          </w:p>
        </w:tc>
        <w:tc>
          <w:tcPr>
            <w:tcW w:w="3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10.13)</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206544</w:t>
            </w:r>
          </w:p>
        </w:tc>
        <w:tc>
          <w:tcPr>
            <w:tcW w:w="0" w:type="dxa"/>
            <w:vAlign w:val="bottom"/>
          </w:tcPr>
          <w:p>
            <w:pPr>
              <w:spacing w:after="0"/>
              <w:rPr>
                <w:sz w:val="1"/>
                <w:szCs w:val="1"/>
                <w:color w:val="auto"/>
              </w:rPr>
            </w:pPr>
          </w:p>
        </w:tc>
      </w:tr>
      <w:tr>
        <w:trPr>
          <w:trHeight w:val="57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5"/>
          </w:tcPr>
          <w:p>
            <w:pPr>
              <w:spacing w:after="0"/>
              <w:rPr>
                <w:sz w:val="24"/>
                <w:szCs w:val="24"/>
                <w:color w:val="auto"/>
              </w:rPr>
            </w:pPr>
          </w:p>
        </w:tc>
        <w:tc>
          <w:tcPr>
            <w:tcW w:w="2540" w:type="dxa"/>
            <w:vAlign w:val="bottom"/>
            <w:gridSpan w:val="17"/>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gridSpan w:val="28"/>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4800" w:type="dxa"/>
            <w:vAlign w:val="bottom"/>
            <w:tcBorders>
              <w:top w:val="single" w:sz="8" w:color="auto"/>
              <w:bottom w:val="single" w:sz="8" w:color="0000EE"/>
            </w:tcBorders>
            <w:gridSpan w:val="31"/>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Offer Letter by and between Synlogic and Aoife M. Brennan, MB,</w:t>
              </w:r>
            </w:hyperlink>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BCh, BAO, MMSc, dated as of June 22, 2016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4520" w:type="dxa"/>
            <w:vAlign w:val="bottom"/>
            <w:tcBorders>
              <w:bottom w:val="single" w:sz="8" w:color="0000EE"/>
            </w:tcBorders>
            <w:gridSpan w:val="21"/>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First Amendment to Offer Letter by and between Synlogic and</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tcBorders>
              <w:bottom w:val="single" w:sz="8" w:color="0000EE"/>
            </w:tcBorders>
            <w:gridSpan w:val="32"/>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Aoife M. Brennan, MB, BCh, BAO, MMSc, dated as of November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15">
              <w:r>
                <w:rPr>
                  <w:rFonts w:ascii="Arial" w:cs="Arial" w:eastAsia="Arial" w:hAnsi="Arial"/>
                  <w:sz w:val="18"/>
                  <w:szCs w:val="18"/>
                  <w:color w:val="0000EE"/>
                  <w:w w:val="86"/>
                </w:rPr>
                <w:t>7, 2016</w:t>
              </w:r>
            </w:hyperlink>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4720" w:type="dxa"/>
            <w:vAlign w:val="bottom"/>
            <w:tcBorders>
              <w:bottom w:val="single" w:sz="8" w:color="0000EE"/>
            </w:tcBorders>
            <w:gridSpan w:val="29"/>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Second Amendment to Offer Letter by and between Synlogic and</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w w:val="98"/>
              </w:rPr>
            </w:pPr>
            <w:hyperlink r:id="rId116">
              <w:r>
                <w:rPr>
                  <w:rFonts w:ascii="Arial" w:cs="Arial" w:eastAsia="Arial" w:hAnsi="Arial"/>
                  <w:sz w:val="18"/>
                  <w:szCs w:val="18"/>
                  <w:color w:val="0000EE"/>
                  <w:w w:val="98"/>
                </w:rPr>
                <w:t>Aoife M. Brennan, MB, BCh, BAO, MMSc, dated as of May 8,</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16">
              <w:r>
                <w:rPr>
                  <w:rFonts w:ascii="Arial" w:cs="Arial" w:eastAsia="Arial" w:hAnsi="Arial"/>
                  <w:sz w:val="18"/>
                  <w:szCs w:val="18"/>
                  <w:color w:val="0000EE"/>
                  <w:w w:val="84"/>
                </w:rPr>
                <w:t>2017</w:t>
              </w:r>
            </w:hyperlink>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4260" w:type="dxa"/>
            <w:vAlign w:val="bottom"/>
            <w:tcBorders>
              <w:bottom w:val="single" w:sz="8" w:color="0000EE"/>
            </w:tcBorders>
            <w:gridSpan w:val="16"/>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Third Amendment to Offer Letter dated as of June 5, 2018,</w:t>
              </w:r>
            </w:hyperlink>
          </w:p>
        </w:tc>
        <w:tc>
          <w:tcPr>
            <w:tcW w:w="5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between Synlogic, Inc. and Aoife Brennan, MB, BCh, BAO,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MMSc</w:t>
              </w:r>
            </w:hyperlink>
          </w:p>
        </w:tc>
        <w:tc>
          <w:tcPr>
            <w:tcW w:w="3860" w:type="dxa"/>
            <w:vAlign w:val="bottom"/>
            <w:tcBorders>
              <w:top w:val="single" w:sz="8" w:color="0000EE"/>
            </w:tcBorders>
            <w:gridSpan w:val="16"/>
          </w:tcPr>
          <w:p>
            <w:pPr>
              <w:spacing w:after="0"/>
              <w:rPr>
                <w:sz w:val="17"/>
                <w:szCs w:val="17"/>
                <w:color w:val="auto"/>
              </w:rPr>
            </w:pPr>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4840" w:type="dxa"/>
            <w:vAlign w:val="bottom"/>
            <w:gridSpan w:val="32"/>
          </w:tcPr>
          <w:p>
            <w:pPr>
              <w:spacing w:after="0"/>
              <w:rPr>
                <w:rFonts w:ascii="Arial" w:cs="Arial" w:eastAsia="Arial" w:hAnsi="Arial"/>
                <w:sz w:val="18"/>
                <w:szCs w:val="18"/>
                <w:color w:val="0000EE"/>
              </w:rPr>
            </w:pPr>
            <w:hyperlink r:id="rId118">
              <w:r>
                <w:rPr>
                  <w:rFonts w:ascii="Arial" w:cs="Arial" w:eastAsia="Arial" w:hAnsi="Arial"/>
                  <w:sz w:val="18"/>
                  <w:szCs w:val="18"/>
                  <w:color w:val="0000EE"/>
                </w:rPr>
                <w:t>Amended and Restated Letter Agreement by and between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Synlogic, Inc. and Aoife M. Brennan, MB, BCh, BAO, MMSc,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dated as of October 1, 2018</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42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Employment Letter Agreement dated July 17, 2019, by and</w:t>
              </w:r>
            </w:hyperlink>
          </w:p>
        </w:tc>
        <w:tc>
          <w:tcPr>
            <w:tcW w:w="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between Synlogic and Richard Riese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10.14.1</w:t>
            </w:r>
          </w:p>
        </w:tc>
        <w:tc>
          <w:tcPr>
            <w:tcW w:w="100" w:type="dxa"/>
            <w:vAlign w:val="bottom"/>
          </w:tcPr>
          <w:p>
            <w:pPr>
              <w:spacing w:after="0"/>
              <w:rPr>
                <w:sz w:val="24"/>
                <w:szCs w:val="24"/>
                <w:color w:val="auto"/>
              </w:rPr>
            </w:pPr>
          </w:p>
        </w:tc>
        <w:tc>
          <w:tcPr>
            <w:tcW w:w="474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Employment Letter Agreement dated November 28, 2018, by and</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between Synlogic and Antoine Awad</w:t>
              </w:r>
            </w:hyperlink>
          </w:p>
        </w:tc>
        <w:tc>
          <w:tcPr>
            <w:tcW w:w="21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4"/>
                <w:szCs w:val="24"/>
                <w:color w:val="auto"/>
              </w:rPr>
            </w:pPr>
          </w:p>
        </w:tc>
        <w:tc>
          <w:tcPr>
            <w:tcW w:w="4840" w:type="dxa"/>
            <w:vAlign w:val="bottom"/>
            <w:gridSpan w:val="32"/>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Promotion Letter, dated July 21, 2020, for Antoine Awad</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10.15†^</w:t>
            </w:r>
          </w:p>
        </w:tc>
        <w:tc>
          <w:tcPr>
            <w:tcW w:w="4460" w:type="dxa"/>
            <w:vAlign w:val="bottom"/>
            <w:tcBorders>
              <w:bottom w:val="single" w:sz="8" w:color="0000EE"/>
            </w:tcBorders>
            <w:gridSpan w:val="19"/>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Agreement and Plan of Merger by and among AbbVie S.à.r.l.,</w:t>
              </w:r>
            </w:hyperlink>
          </w:p>
        </w:tc>
        <w:tc>
          <w:tcPr>
            <w:tcW w:w="3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Suffolk Merger Sub, Inc., Synlogic IBDCo, Inc., Synlogic, LLC,</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Synlogic, Inc. and the founders named therein, dated as of July 16,</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2015; as amended by a First Amendment to Agreement and Plan</w:t>
              </w:r>
            </w:hyperlink>
          </w:p>
        </w:tc>
        <w:tc>
          <w:tcPr>
            <w:tcW w:w="14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of Merger, dated as of December 14, 2015</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10.16†^</w:t>
            </w:r>
          </w:p>
        </w:tc>
        <w:tc>
          <w:tcPr>
            <w:tcW w:w="4460" w:type="dxa"/>
            <w:vAlign w:val="bottom"/>
            <w:tcBorders>
              <w:bottom w:val="single" w:sz="8" w:color="0000EE"/>
            </w:tcBorders>
            <w:gridSpan w:val="19"/>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Second Amendment to Agreement and Plan of Merger by and</w:t>
              </w:r>
            </w:hyperlink>
          </w:p>
        </w:tc>
        <w:tc>
          <w:tcPr>
            <w:tcW w:w="3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among AbbVie S.à.r.l., Synlogic IBDCo, Inc. and Synlogic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Operating Company, Inc., dated as of September 27, 2018</w:t>
              </w:r>
            </w:hyperlink>
          </w:p>
        </w:tc>
        <w:tc>
          <w:tcPr>
            <w:tcW w:w="60" w:type="dxa"/>
            <w:vAlign w:val="bottom"/>
            <w:tcBorders>
              <w:top w:val="single" w:sz="8" w:color="0000EE"/>
            </w:tcBorders>
          </w:tcPr>
          <w:p>
            <w:pPr>
              <w:spacing w:after="0"/>
              <w:rPr>
                <w:sz w:val="17"/>
                <w:szCs w:val="17"/>
                <w:color w:val="auto"/>
              </w:rPr>
            </w:pPr>
          </w:p>
        </w:tc>
        <w:tc>
          <w:tcPr>
            <w:tcW w:w="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10.17†^</w:t>
            </w:r>
          </w:p>
        </w:tc>
        <w:tc>
          <w:tcPr>
            <w:tcW w:w="4480" w:type="dxa"/>
            <w:vAlign w:val="bottom"/>
            <w:tcBorders>
              <w:bottom w:val="single" w:sz="8" w:color="0000EE"/>
            </w:tcBorders>
            <w:gridSpan w:val="20"/>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Third Amendment to Agreement and Plan of Merger and First</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Amendment to License Agreement by and among AbbVie S.à.r.l.,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top w:val="single" w:sz="8" w:color="0000EE"/>
            </w:tcBorders>
            <w:gridSpan w:val="30"/>
          </w:tcPr>
          <w:p>
            <w:pPr>
              <w:spacing w:after="0" w:line="196"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Synlogic IBDCo, Inc. and Synlogic Operating Company, Inc.,</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dated as of December 18, 2018</w:t>
              </w:r>
            </w:hyperlink>
          </w:p>
        </w:tc>
        <w:tc>
          <w:tcPr>
            <w:tcW w:w="2220" w:type="dxa"/>
            <w:vAlign w:val="bottom"/>
            <w:tcBorders>
              <w:top w:val="single" w:sz="8" w:color="0000EE"/>
            </w:tcBorders>
            <w:gridSpan w:val="13"/>
          </w:tcPr>
          <w:p>
            <w:pPr>
              <w:spacing w:after="0"/>
              <w:rPr>
                <w:sz w:val="17"/>
                <w:szCs w:val="17"/>
                <w:color w:val="auto"/>
              </w:rPr>
            </w:pPr>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10.18†</w:t>
            </w:r>
          </w:p>
        </w:tc>
        <w:tc>
          <w:tcPr>
            <w:tcW w:w="4620" w:type="dxa"/>
            <w:vAlign w:val="bottom"/>
            <w:tcBorders>
              <w:bottom w:val="single" w:sz="8" w:color="0000EE"/>
            </w:tcBorders>
            <w:gridSpan w:val="26"/>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License Agreement by and between Synlogic, Inc. and Synlogic</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IBDCo, Inc., dated as of July 16, 2015</w:t>
              </w:r>
            </w:hyperlink>
          </w:p>
        </w:tc>
        <w:tc>
          <w:tcPr>
            <w:tcW w:w="20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4840" w:type="dxa"/>
            <w:vAlign w:val="bottom"/>
            <w:tcBorders>
              <w:bottom w:val="single" w:sz="8" w:color="0000EE"/>
            </w:tcBorders>
            <w:gridSpan w:val="32"/>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Sales Agreement, dated as of October 13, 2017 by and between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registrant and Cowen and Company, LLC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4840" w:type="dxa"/>
            <w:vAlign w:val="bottom"/>
            <w:tcBorders>
              <w:bottom w:val="single" w:sz="8" w:color="0000EE"/>
            </w:tcBorders>
            <w:gridSpan w:val="32"/>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Subscription Agreement, dated as of April 6, 2018, by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among Synlogic, Inc. and certain investors.</w:t>
              </w:r>
            </w:hyperlink>
          </w:p>
        </w:tc>
        <w:tc>
          <w:tcPr>
            <w:tcW w:w="17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10.21†</w:t>
            </w:r>
          </w:p>
        </w:tc>
        <w:tc>
          <w:tcPr>
            <w:tcW w:w="4840" w:type="dxa"/>
            <w:vAlign w:val="bottom"/>
            <w:gridSpan w:val="32"/>
          </w:tcPr>
          <w:p>
            <w:pPr>
              <w:spacing w:after="0"/>
              <w:rPr>
                <w:rFonts w:ascii="Arial" w:cs="Arial" w:eastAsia="Arial" w:hAnsi="Arial"/>
                <w:sz w:val="18"/>
                <w:szCs w:val="18"/>
                <w:color w:val="0000EE"/>
                <w:w w:val="95"/>
              </w:rPr>
            </w:pPr>
            <w:hyperlink r:id="rId125">
              <w:r>
                <w:rPr>
                  <w:rFonts w:ascii="Arial" w:cs="Arial" w:eastAsia="Arial" w:hAnsi="Arial"/>
                  <w:sz w:val="18"/>
                  <w:szCs w:val="18"/>
                  <w:color w:val="0000EE"/>
                  <w:w w:val="95"/>
                </w:rPr>
                <w:t>Master Contract Services Agreement, dated as of September 8,</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2018, between Synlogic, Inc. and Azzur Group (d/b/a Azzur of</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New England LLC).</w:t>
              </w:r>
            </w:hyperlink>
          </w:p>
        </w:tc>
        <w:tc>
          <w:tcPr>
            <w:tcW w:w="33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10.22†</w:t>
            </w:r>
          </w:p>
        </w:tc>
        <w:tc>
          <w:tcPr>
            <w:tcW w:w="4680" w:type="dxa"/>
            <w:vAlign w:val="bottom"/>
            <w:tcBorders>
              <w:bottom w:val="single" w:sz="8" w:color="0000EE"/>
            </w:tcBorders>
            <w:gridSpan w:val="28"/>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Statement of Work dated September 10, 2018 pursuant to Master</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gridSpan w:val="32"/>
          </w:tcPr>
          <w:p>
            <w:pPr>
              <w:spacing w:after="0" w:line="196"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Contract Services Agreement between Synlogic, Inc. and Azzur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Group (d/b/a Azzur of New England LLC).</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Borders>
              <w:top w:val="single" w:sz="8" w:color="0000EE"/>
            </w:tcBorders>
            <w:gridSpan w:val="11"/>
          </w:tcPr>
          <w:p>
            <w:pPr>
              <w:spacing w:after="0"/>
              <w:rPr>
                <w:sz w:val="24"/>
                <w:szCs w:val="24"/>
                <w:color w:val="auto"/>
              </w:rPr>
            </w:pPr>
          </w:p>
        </w:tc>
        <w:tc>
          <w:tcPr>
            <w:tcW w:w="1620" w:type="dxa"/>
            <w:vAlign w:val="bottom"/>
            <w:gridSpan w:val="19"/>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with this</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98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17"/>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08/28/2017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10.6)</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08/28/2017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10.7)</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08/28/2017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10.8)</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08/9/2018</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11/13/2018</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8/28/2017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10.12)</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1"/>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11/13/2018</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10.2)</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03/12/2019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10.25)</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37566</w:t>
            </w:r>
          </w:p>
        </w:tc>
        <w:tc>
          <w:tcPr>
            <w:tcW w:w="0" w:type="dxa"/>
            <w:vAlign w:val="bottom"/>
          </w:tcPr>
          <w:p>
            <w:pPr>
              <w:spacing w:after="0"/>
              <w:rPr>
                <w:sz w:val="1"/>
                <w:szCs w:val="1"/>
                <w:color w:val="auto"/>
              </w:rPr>
            </w:pPr>
          </w:p>
        </w:tc>
      </w:tr>
      <w:tr>
        <w:trPr>
          <w:trHeight w:val="755"/>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8/28/2017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10.13)</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10/16/2017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(Exhibit 1.1)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04/6/2018</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03/12/2019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10.29)</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37566</w:t>
            </w:r>
          </w:p>
        </w:tc>
        <w:tc>
          <w:tcPr>
            <w:tcW w:w="0" w:type="dxa"/>
            <w:vAlign w:val="bottom"/>
          </w:tcPr>
          <w:p>
            <w:pPr>
              <w:spacing w:after="0"/>
              <w:rPr>
                <w:sz w:val="1"/>
                <w:szCs w:val="1"/>
                <w:color w:val="auto"/>
              </w:rPr>
            </w:pPr>
          </w:p>
        </w:tc>
      </w:tr>
      <w:tr>
        <w:trPr>
          <w:trHeight w:val="539"/>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03/12/2019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10.30)</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37566</w:t>
            </w:r>
          </w:p>
        </w:tc>
        <w:tc>
          <w:tcPr>
            <w:tcW w:w="0" w:type="dxa"/>
            <w:vAlign w:val="bottom"/>
          </w:tcPr>
          <w:p>
            <w:pPr>
              <w:spacing w:after="0"/>
              <w:rPr>
                <w:sz w:val="1"/>
                <w:szCs w:val="1"/>
                <w:color w:val="auto"/>
              </w:rPr>
            </w:pPr>
          </w:p>
        </w:tc>
      </w:tr>
    </w:tbl>
    <w:p>
      <w:pPr>
        <w:sectPr>
          <w:pgSz w:w="11900" w:h="16838" w:orient="portrait"/>
          <w:cols w:equalWidth="0" w:num="2">
            <w:col w:w="5820" w:space="120"/>
            <w:col w:w="5300"/>
          </w:cols>
          <w:pgMar w:left="320" w:top="320"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80" w:type="dxa"/>
            <w:vAlign w:val="bottom"/>
            <w:gridSpan w:val="15"/>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with this</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98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5"/>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0"/>
        </w:trPr>
        <w:tc>
          <w:tcPr>
            <w:tcW w:w="980" w:type="dxa"/>
            <w:vAlign w:val="bottom"/>
            <w:gridSpan w:val="2"/>
          </w:tcPr>
          <w:p>
            <w:pPr>
              <w:spacing w:after="0"/>
              <w:rPr>
                <w:sz w:val="20"/>
                <w:szCs w:val="20"/>
                <w:color w:val="auto"/>
              </w:rPr>
            </w:pPr>
            <w:r>
              <w:rPr>
                <w:rFonts w:ascii="Arial" w:cs="Arial" w:eastAsia="Arial" w:hAnsi="Arial"/>
                <w:sz w:val="18"/>
                <w:szCs w:val="18"/>
                <w:color w:val="auto"/>
              </w:rPr>
              <w:t>10.23†</w:t>
            </w:r>
          </w:p>
        </w:tc>
        <w:tc>
          <w:tcPr>
            <w:tcW w:w="4560" w:type="dxa"/>
            <w:vAlign w:val="bottom"/>
            <w:tcBorders>
              <w:bottom w:val="single" w:sz="8" w:color="0000EE"/>
            </w:tcBorders>
            <w:gridSpan w:val="11"/>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Statement of Work dated December 7, 2018 pursuant to Master</w:t>
              </w:r>
            </w:hyperlink>
          </w:p>
        </w:tc>
        <w:tc>
          <w:tcPr>
            <w:tcW w:w="40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03/12/2019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0"/>
          </w:tcPr>
          <w:p>
            <w:pPr>
              <w:spacing w:after="0" w:line="196"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Contract Services Agreement between Synlogic, Inc. and Azzur</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10.31)</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Group (d/b/a Azzur of New England LLC).</w:t>
              </w:r>
            </w:hyperlink>
          </w:p>
        </w:tc>
        <w:tc>
          <w:tcPr>
            <w:tcW w:w="36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4680" w:type="dxa"/>
            <w:vAlign w:val="bottom"/>
            <w:tcBorders>
              <w:bottom w:val="single" w:sz="8" w:color="0000EE"/>
            </w:tcBorders>
            <w:gridSpan w:val="15"/>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Subscription Agreement dated June 11, 2019 by and between the</w:t>
              </w:r>
            </w:hyperlink>
          </w:p>
        </w:tc>
        <w:tc>
          <w:tcPr>
            <w:tcW w:w="28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06/12/2019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Company and Ginkgo Bioworks, Inc.</w:t>
              </w:r>
            </w:hyperlink>
          </w:p>
        </w:tc>
        <w:tc>
          <w:tcPr>
            <w:tcW w:w="226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37566</w:t>
            </w:r>
          </w:p>
        </w:tc>
        <w:tc>
          <w:tcPr>
            <w:tcW w:w="0" w:type="dxa"/>
            <w:vAlign w:val="bottom"/>
          </w:tcPr>
          <w:p>
            <w:pPr>
              <w:spacing w:after="0"/>
              <w:rPr>
                <w:sz w:val="1"/>
                <w:szCs w:val="1"/>
                <w:color w:val="auto"/>
              </w:rPr>
            </w:pP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10.25†</w:t>
            </w:r>
          </w:p>
        </w:tc>
        <w:tc>
          <w:tcPr>
            <w:tcW w:w="4740" w:type="dxa"/>
            <w:vAlign w:val="bottom"/>
            <w:tcBorders>
              <w:bottom w:val="single" w:sz="8" w:color="0000EE"/>
            </w:tcBorders>
            <w:gridSpan w:val="16"/>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Foundry Terms of Service Agreement dated June 11, 2019 by and</w:t>
              </w:r>
            </w:hyperlink>
          </w:p>
        </w:tc>
        <w:tc>
          <w:tcPr>
            <w:tcW w:w="2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08/08/2019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between Synlogic Operating Company Inc. and Ginkgo Bioworks,</w:t>
              </w:r>
            </w:hyperlink>
          </w:p>
        </w:tc>
        <w:tc>
          <w:tcPr>
            <w:tcW w:w="1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10.2)</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37566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Inc.</w:t>
              </w:r>
            </w:hyperlink>
          </w:p>
        </w:tc>
        <w:tc>
          <w:tcPr>
            <w:tcW w:w="4680" w:type="dxa"/>
            <w:vAlign w:val="bottom"/>
            <w:gridSpan w:val="19"/>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4960" w:type="dxa"/>
            <w:vAlign w:val="bottom"/>
            <w:gridSpan w:val="20"/>
          </w:tcPr>
          <w:p>
            <w:pPr>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Consulting Agreement effective as of October 13, 2019 by and</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10/24/2019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0"/>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between the Company and Danforth Advisors, LLC, as amended</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4660" w:type="dxa"/>
            <w:vAlign w:val="bottom"/>
            <w:tcBorders>
              <w:top w:val="single" w:sz="8" w:color="0000EE"/>
            </w:tcBorders>
            <w:gridSpan w:val="14"/>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Synlogic, Inc. 2015 Employee Stock Purchase Plan, as amended</w:t>
              </w:r>
            </w:hyperlink>
          </w:p>
        </w:tc>
        <w:tc>
          <w:tcPr>
            <w:tcW w:w="30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12/20/2019</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4960" w:type="dxa"/>
            <w:vAlign w:val="bottom"/>
            <w:gridSpan w:val="20"/>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Subsidiaries of the registrant</w:t>
              </w:r>
            </w:hyperlink>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Consent of Independent Registered Public Accounting Firm</w:t>
              </w:r>
            </w:hyperlink>
          </w:p>
        </w:tc>
        <w:tc>
          <w:tcPr>
            <w:tcW w:w="640" w:type="dxa"/>
            <w:vAlign w:val="bottom"/>
            <w:gridSpan w:val="11"/>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1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Power of Attorney (included in the signature page hereto)</w:t>
              </w:r>
            </w:hyperlink>
          </w:p>
        </w:tc>
        <w:tc>
          <w:tcPr>
            <w:tcW w:w="800" w:type="dxa"/>
            <w:vAlign w:val="bottom"/>
            <w:gridSpan w:val="12"/>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5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Certification of Chief Executive Officer required by Rule 13a-</w:t>
              </w:r>
            </w:hyperlink>
          </w:p>
        </w:tc>
        <w:tc>
          <w:tcPr>
            <w:tcW w:w="440" w:type="dxa"/>
            <w:vAlign w:val="bottom"/>
            <w:gridSpan w:val="10"/>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14(a) or Rule 15d-14(a).</w:t>
              </w:r>
            </w:hyperlink>
          </w:p>
        </w:tc>
        <w:tc>
          <w:tcPr>
            <w:tcW w:w="320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960" w:type="dxa"/>
            <w:vAlign w:val="bottom"/>
            <w:gridSpan w:val="20"/>
          </w:tcPr>
          <w:p>
            <w:pPr>
              <w:spacing w:after="0"/>
              <w:rPr>
                <w:rFonts w:ascii="Arial" w:cs="Arial" w:eastAsia="Arial" w:hAnsi="Arial"/>
                <w:sz w:val="18"/>
                <w:szCs w:val="18"/>
                <w:color w:val="0000EE"/>
                <w:w w:val="95"/>
              </w:rPr>
            </w:pPr>
            <w:hyperlink w:anchor="page134">
              <w:r>
                <w:rPr>
                  <w:rFonts w:ascii="Arial" w:cs="Arial" w:eastAsia="Arial" w:hAnsi="Arial"/>
                  <w:sz w:val="18"/>
                  <w:szCs w:val="18"/>
                  <w:color w:val="0000EE"/>
                  <w:w w:val="95"/>
                </w:rPr>
                <w:t>Certification of Chief Financial Officer required by Rule 13a-14(a)</w:t>
              </w:r>
            </w:hyperlink>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or Rule 15d-14(a).</w:t>
              </w:r>
            </w:hyperlink>
          </w:p>
        </w:tc>
        <w:tc>
          <w:tcPr>
            <w:tcW w:w="3480" w:type="dxa"/>
            <w:vAlign w:val="bottom"/>
            <w:tcBorders>
              <w:top w:val="single" w:sz="8" w:color="0000EE"/>
            </w:tcBorders>
            <w:gridSpan w:val="16"/>
          </w:tcPr>
          <w:p>
            <w:pPr>
              <w:spacing w:after="0"/>
              <w:rPr>
                <w:sz w:val="17"/>
                <w:szCs w:val="17"/>
                <w:color w:val="auto"/>
              </w:rPr>
            </w:pPr>
          </w:p>
        </w:tc>
        <w:tc>
          <w:tcPr>
            <w:tcW w:w="1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960" w:type="dxa"/>
            <w:vAlign w:val="bottom"/>
            <w:gridSpan w:val="20"/>
          </w:tcPr>
          <w:p>
            <w:pPr>
              <w:spacing w:after="0"/>
              <w:rPr>
                <w:rFonts w:ascii="Arial" w:cs="Arial" w:eastAsia="Arial" w:hAnsi="Arial"/>
                <w:sz w:val="18"/>
                <w:szCs w:val="18"/>
                <w:color w:val="0000EE"/>
                <w:w w:val="99"/>
              </w:rPr>
            </w:pPr>
            <w:hyperlink w:anchor="page135">
              <w:r>
                <w:rPr>
                  <w:rFonts w:ascii="Arial" w:cs="Arial" w:eastAsia="Arial" w:hAnsi="Arial"/>
                  <w:sz w:val="18"/>
                  <w:szCs w:val="18"/>
                  <w:color w:val="0000EE"/>
                  <w:w w:val="99"/>
                </w:rPr>
                <w:t>Certification required by Rule 13a-14(b) or Rule 15d-14(b) and</w:t>
              </w:r>
            </w:hyperlink>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200" w:type="dxa"/>
            <w:vAlign w:val="bottom"/>
            <w:gridSpan w:val="8"/>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Section 1350 of Chapter 63 of Title 18 of the United States Code</w:t>
              </w:r>
            </w:hyperlink>
          </w:p>
        </w:tc>
        <w:tc>
          <w:tcPr>
            <w:tcW w:w="28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(18 U.S.C. §1350).</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600" w:type="dxa"/>
            <w:vAlign w:val="bottom"/>
            <w:gridSpan w:val="1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4960" w:type="dxa"/>
            <w:vAlign w:val="bottom"/>
            <w:gridSpan w:val="20"/>
          </w:tcPr>
          <w:p>
            <w:pPr>
              <w:spacing w:after="0"/>
              <w:rPr>
                <w:rFonts w:ascii="Arial" w:cs="Arial" w:eastAsia="Arial" w:hAnsi="Arial"/>
                <w:sz w:val="18"/>
                <w:szCs w:val="18"/>
                <w:color w:val="0000EE"/>
                <w:w w:val="99"/>
              </w:rPr>
            </w:pPr>
            <w:hyperlink w:anchor="page136">
              <w:r>
                <w:rPr>
                  <w:rFonts w:ascii="Arial" w:cs="Arial" w:eastAsia="Arial" w:hAnsi="Arial"/>
                  <w:sz w:val="18"/>
                  <w:szCs w:val="18"/>
                  <w:color w:val="0000EE"/>
                  <w:w w:val="99"/>
                </w:rPr>
                <w:t>Certification required by Rule 13a-14(b) or Rule 15d-14(b) and</w:t>
              </w:r>
            </w:hyperlink>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gridSpan w:val="11"/>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Section 1350 of Chapter 63 of Title 18 of the United States Code</w:t>
              </w:r>
            </w:hyperlink>
          </w:p>
        </w:tc>
        <w:tc>
          <w:tcPr>
            <w:tcW w:w="28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(18 U.S.C. §1350).</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600" w:type="dxa"/>
            <w:vAlign w:val="bottom"/>
            <w:gridSpan w:val="1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960" w:type="dxa"/>
            <w:vAlign w:val="bottom"/>
            <w:gridSpan w:val="20"/>
          </w:tcPr>
          <w:p>
            <w:pPr>
              <w:spacing w:after="0"/>
              <w:rPr>
                <w:sz w:val="20"/>
                <w:szCs w:val="20"/>
                <w:color w:val="auto"/>
              </w:rPr>
            </w:pPr>
            <w:r>
              <w:rPr>
                <w:rFonts w:ascii="Arial" w:cs="Arial" w:eastAsia="Arial" w:hAnsi="Arial"/>
                <w:sz w:val="18"/>
                <w:szCs w:val="18"/>
                <w:color w:val="auto"/>
              </w:rPr>
              <w:t>Inline XBRL Instance Document.</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6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6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96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96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96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6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960" w:type="dxa"/>
            <w:vAlign w:val="bottom"/>
            <w:gridSpan w:val="20"/>
          </w:tcPr>
          <w:p>
            <w:pPr>
              <w:spacing w:after="0"/>
              <w:rPr>
                <w:sz w:val="20"/>
                <w:szCs w:val="20"/>
                <w:color w:val="auto"/>
              </w:rPr>
            </w:pPr>
            <w:r>
              <w:rPr>
                <w:rFonts w:ascii="Arial" w:cs="Arial" w:eastAsia="Arial" w:hAnsi="Arial"/>
                <w:sz w:val="16"/>
                <w:szCs w:val="16"/>
                <w:color w:val="auto"/>
              </w:rPr>
              <w:t>Cover Page Interactive Data File (embedded within the Inline XBRL</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951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1" w:lineRule="exact"/>
        <w:rPr>
          <w:sz w:val="20"/>
          <w:szCs w:val="20"/>
          <w:color w:val="auto"/>
        </w:rPr>
      </w:pPr>
    </w:p>
    <w:p>
      <w:pPr>
        <w:ind w:left="500" w:right="180" w:hanging="492"/>
        <w:spacing w:after="0" w:line="258"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schedules and exhibits to this exhibit have been omitted pursuant to Item 601(b)(2) of Regulation S-K. A copy of any omitted schedule and/or exhibit will be furnished to the SEC upon request.</w:t>
      </w:r>
    </w:p>
    <w:p>
      <w:pPr>
        <w:spacing w:after="0" w:line="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9"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Confidential treatment has been requested or granted as to certain portions, which portions have been omitted and filed separately with the SEC.</w:t>
      </w:r>
    </w:p>
    <w:p>
      <w:pPr>
        <w:spacing w:after="0" w:line="23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85" w:name="page86"/>
    <w:bookmarkEnd w:id="85"/>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3860" w:type="dxa"/>
            <w:vAlign w:val="bottom"/>
            <w:gridSpan w:val="2"/>
          </w:tcPr>
          <w:p>
            <w:pPr>
              <w:ind w:left="2560"/>
              <w:spacing w:after="0"/>
              <w:rPr>
                <w:sz w:val="20"/>
                <w:szCs w:val="20"/>
                <w:color w:val="auto"/>
              </w:rPr>
            </w:pPr>
            <w:r>
              <w:rPr>
                <w:rFonts w:ascii="Arial" w:cs="Arial" w:eastAsia="Arial" w:hAnsi="Arial"/>
                <w:sz w:val="18"/>
                <w:szCs w:val="18"/>
                <w:color w:val="auto"/>
              </w:rPr>
              <w:t>Synlogic, Inc.</w:t>
            </w:r>
          </w:p>
        </w:tc>
        <w:tc>
          <w:tcPr>
            <w:tcW w:w="4280" w:type="dxa"/>
            <w:vAlign w:val="bottom"/>
          </w:tcPr>
          <w:p>
            <w:pPr>
              <w:spacing w:after="0"/>
              <w:rPr>
                <w:sz w:val="20"/>
                <w:szCs w:val="20"/>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Date: March 25, 2021</w:t>
            </w:r>
          </w:p>
        </w:tc>
        <w:tc>
          <w:tcPr>
            <w:tcW w:w="3860" w:type="dxa"/>
            <w:vAlign w:val="bottom"/>
            <w:gridSpan w:val="2"/>
          </w:tcPr>
          <w:p>
            <w:pPr>
              <w:ind w:left="2560"/>
              <w:spacing w:after="0"/>
              <w:rPr>
                <w:sz w:val="20"/>
                <w:szCs w:val="20"/>
                <w:color w:val="auto"/>
              </w:rPr>
            </w:pPr>
            <w:r>
              <w:rPr>
                <w:rFonts w:ascii="Arial" w:cs="Arial" w:eastAsia="Arial" w:hAnsi="Arial"/>
                <w:sz w:val="18"/>
                <w:szCs w:val="18"/>
                <w:color w:val="auto"/>
              </w:rPr>
              <w:t>By:</w:t>
            </w:r>
          </w:p>
        </w:tc>
        <w:tc>
          <w:tcPr>
            <w:tcW w:w="4280" w:type="dxa"/>
            <w:vAlign w:val="bottom"/>
          </w:tcPr>
          <w:p>
            <w:pPr>
              <w:jc w:val="center"/>
              <w:ind w:right="890"/>
              <w:spacing w:after="0"/>
              <w:rPr>
                <w:sz w:val="20"/>
                <w:szCs w:val="20"/>
                <w:color w:val="auto"/>
              </w:rPr>
            </w:pPr>
            <w:r>
              <w:rPr>
                <w:rFonts w:ascii="Arial" w:cs="Arial" w:eastAsia="Arial" w:hAnsi="Arial"/>
                <w:sz w:val="18"/>
                <w:szCs w:val="18"/>
                <w:color w:val="auto"/>
                <w:w w:val="97"/>
              </w:rPr>
              <w:t>/s/ AOIFE BRENNAN</w:t>
            </w:r>
          </w:p>
        </w:tc>
      </w:tr>
      <w:tr>
        <w:trPr>
          <w:trHeight w:val="222"/>
        </w:trPr>
        <w:tc>
          <w:tcPr>
            <w:tcW w:w="3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tcPr>
          <w:p>
            <w:pPr>
              <w:jc w:val="center"/>
              <w:ind w:right="890"/>
              <w:spacing w:after="0"/>
              <w:rPr>
                <w:sz w:val="20"/>
                <w:szCs w:val="20"/>
                <w:color w:val="auto"/>
              </w:rPr>
            </w:pPr>
            <w:r>
              <w:rPr>
                <w:rFonts w:ascii="Arial" w:cs="Arial" w:eastAsia="Arial" w:hAnsi="Arial"/>
                <w:sz w:val="18"/>
                <w:szCs w:val="18"/>
                <w:color w:val="auto"/>
                <w:w w:val="92"/>
              </w:rPr>
              <w:t>Aoife Brennan</w:t>
            </w:r>
          </w:p>
        </w:tc>
      </w:tr>
      <w:tr>
        <w:trPr>
          <w:trHeight w:val="216"/>
        </w:trPr>
        <w:tc>
          <w:tcPr>
            <w:tcW w:w="3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80" w:type="dxa"/>
            <w:vAlign w:val="bottom"/>
          </w:tcPr>
          <w:p>
            <w:pPr>
              <w:jc w:val="center"/>
              <w:ind w:right="890"/>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80" w:type="dxa"/>
            <w:vAlign w:val="bottom"/>
          </w:tcPr>
          <w:p>
            <w:pPr>
              <w:jc w:val="center"/>
              <w:ind w:right="890"/>
              <w:spacing w:after="0"/>
              <w:rPr>
                <w:sz w:val="20"/>
                <w:szCs w:val="20"/>
                <w:color w:val="auto"/>
              </w:rPr>
            </w:pPr>
            <w:r>
              <w:rPr>
                <w:rFonts w:ascii="Arial" w:cs="Arial" w:eastAsia="Arial" w:hAnsi="Arial"/>
                <w:sz w:val="18"/>
                <w:szCs w:val="18"/>
                <w:color w:val="auto"/>
                <w:w w:val="94"/>
              </w:rPr>
              <w:t>(Principal Executive Officer)</w:t>
            </w:r>
          </w:p>
        </w:tc>
      </w:tr>
      <w:tr>
        <w:trPr>
          <w:trHeight w:val="513"/>
        </w:trPr>
        <w:tc>
          <w:tcPr>
            <w:tcW w:w="3100" w:type="dxa"/>
            <w:vAlign w:val="bottom"/>
          </w:tcPr>
          <w:p>
            <w:pPr>
              <w:spacing w:after="0"/>
              <w:rPr>
                <w:sz w:val="24"/>
                <w:szCs w:val="24"/>
                <w:color w:val="auto"/>
              </w:rPr>
            </w:pPr>
          </w:p>
        </w:tc>
        <w:tc>
          <w:tcPr>
            <w:tcW w:w="386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POWER OF ATTORNEY</w:t>
            </w:r>
          </w:p>
        </w:tc>
        <w:tc>
          <w:tcPr>
            <w:tcW w:w="4280" w:type="dxa"/>
            <w:vAlign w:val="bottom"/>
          </w:tcPr>
          <w:p>
            <w:pPr>
              <w:spacing w:after="0"/>
              <w:rPr>
                <w:sz w:val="24"/>
                <w:szCs w:val="24"/>
                <w:color w:val="auto"/>
              </w:rPr>
            </w:pPr>
          </w:p>
        </w:tc>
      </w:tr>
    </w:tbl>
    <w:p>
      <w:pPr>
        <w:spacing w:after="0" w:line="24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Aoife Brennan and Gregg Beloff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substitutes or substitute, may lawfully do or cause to be done by virtue hereof.</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 name.</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below and on the dates indicated.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left="1680"/>
        <w:spacing w:after="0"/>
        <w:tabs>
          <w:tab w:leader="none" w:pos="608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AOIFE BRENNAN</w:t>
            </w:r>
          </w:p>
        </w:tc>
        <w:tc>
          <w:tcPr>
            <w:tcW w:w="4540" w:type="dxa"/>
            <w:vAlign w:val="bottom"/>
          </w:tcPr>
          <w:p>
            <w:pPr>
              <w:ind w:left="120"/>
              <w:spacing w:after="0"/>
              <w:rPr>
                <w:sz w:val="20"/>
                <w:szCs w:val="20"/>
                <w:color w:val="auto"/>
              </w:rPr>
            </w:pPr>
            <w:r>
              <w:rPr>
                <w:rFonts w:ascii="Arial" w:cs="Arial" w:eastAsia="Arial" w:hAnsi="Arial"/>
                <w:sz w:val="17"/>
                <w:szCs w:val="17"/>
                <w:color w:val="auto"/>
              </w:rPr>
              <w:t>President, Chief Executive Officer, and 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230"/>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1"/>
              </w:rPr>
              <w:t>Aoife Brennan</w:t>
            </w:r>
          </w:p>
        </w:tc>
        <w:tc>
          <w:tcPr>
            <w:tcW w:w="4540" w:type="dxa"/>
            <w:vAlign w:val="bottom"/>
          </w:tcPr>
          <w:p>
            <w:pPr>
              <w:ind w:left="120"/>
              <w:spacing w:after="0"/>
              <w:rPr>
                <w:sz w:val="20"/>
                <w:szCs w:val="20"/>
                <w:color w:val="auto"/>
              </w:rPr>
            </w:pPr>
            <w:r>
              <w:rPr>
                <w:rFonts w:ascii="Arial" w:cs="Arial" w:eastAsia="Arial" w:hAnsi="Arial"/>
                <w:sz w:val="15"/>
                <w:szCs w:val="15"/>
                <w:i w:val="1"/>
                <w:iCs w:val="1"/>
                <w:color w:val="auto"/>
              </w:rPr>
              <w:t>(Principal Executive Officer)</w:t>
            </w:r>
          </w:p>
        </w:tc>
        <w:tc>
          <w:tcPr>
            <w:tcW w:w="1660" w:type="dxa"/>
            <w:vAlign w:val="bottom"/>
          </w:tcPr>
          <w:p>
            <w:pPr>
              <w:spacing w:after="0"/>
              <w:rPr>
                <w:sz w:val="20"/>
                <w:szCs w:val="20"/>
                <w:color w:val="auto"/>
              </w:rPr>
            </w:pPr>
          </w:p>
        </w:tc>
      </w:tr>
      <w:tr>
        <w:trPr>
          <w:trHeight w:val="29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GREGG BELOFF</w:t>
            </w:r>
          </w:p>
        </w:tc>
        <w:tc>
          <w:tcPr>
            <w:tcW w:w="4540" w:type="dxa"/>
            <w:vAlign w:val="bottom"/>
          </w:tcPr>
          <w:p>
            <w:pPr>
              <w:ind w:left="120"/>
              <w:spacing w:after="0"/>
              <w:rPr>
                <w:sz w:val="20"/>
                <w:szCs w:val="20"/>
                <w:color w:val="auto"/>
              </w:rPr>
            </w:pPr>
            <w:r>
              <w:rPr>
                <w:rFonts w:ascii="Arial" w:cs="Arial" w:eastAsia="Arial" w:hAnsi="Arial"/>
                <w:sz w:val="17"/>
                <w:szCs w:val="17"/>
                <w:color w:val="auto"/>
              </w:rPr>
              <w:t>Interim Chief Financial Officer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230"/>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1"/>
              </w:rPr>
              <w:t>Gregg Beloff</w:t>
            </w:r>
          </w:p>
        </w:tc>
        <w:tc>
          <w:tcPr>
            <w:tcW w:w="4540" w:type="dxa"/>
            <w:vAlign w:val="bottom"/>
          </w:tcPr>
          <w:p>
            <w:pPr>
              <w:ind w:left="120"/>
              <w:spacing w:after="0"/>
              <w:rPr>
                <w:sz w:val="20"/>
                <w:szCs w:val="20"/>
                <w:color w:val="auto"/>
              </w:rPr>
            </w:pPr>
            <w:r>
              <w:rPr>
                <w:rFonts w:ascii="Arial" w:cs="Arial" w:eastAsia="Arial" w:hAnsi="Arial"/>
                <w:sz w:val="15"/>
                <w:szCs w:val="15"/>
                <w:i w:val="1"/>
                <w:iCs w:val="1"/>
                <w:color w:val="auto"/>
              </w:rPr>
              <w:t>(Principal Financial Officer and Principal Accounting Officer)</w:t>
            </w:r>
          </w:p>
        </w:tc>
        <w:tc>
          <w:tcPr>
            <w:tcW w:w="1660" w:type="dxa"/>
            <w:vAlign w:val="bottom"/>
          </w:tcPr>
          <w:p>
            <w:pPr>
              <w:spacing w:after="0"/>
              <w:rPr>
                <w:sz w:val="20"/>
                <w:szCs w:val="20"/>
                <w:color w:val="auto"/>
              </w:rPr>
            </w:pPr>
          </w:p>
        </w:tc>
      </w:tr>
      <w:tr>
        <w:trPr>
          <w:trHeight w:val="28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PETER BARRETT</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5"/>
              </w:rPr>
              <w:t>Peter Barrett</w:t>
            </w:r>
          </w:p>
        </w:tc>
        <w:tc>
          <w:tcPr>
            <w:tcW w:w="4540" w:type="dxa"/>
            <w:vAlign w:val="bottom"/>
          </w:tcPr>
          <w:p>
            <w:pPr>
              <w:ind w:left="120"/>
              <w:spacing w:after="0"/>
              <w:rPr>
                <w:sz w:val="20"/>
                <w:szCs w:val="20"/>
                <w:color w:val="auto"/>
              </w:rPr>
            </w:pPr>
            <w:r>
              <w:rPr>
                <w:rFonts w:ascii="Arial" w:cs="Arial" w:eastAsia="Arial" w:hAnsi="Arial"/>
                <w:sz w:val="17"/>
                <w:szCs w:val="17"/>
                <w:color w:val="auto"/>
              </w:rPr>
              <w:t>Chairman of the Board</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MICHAEL BURGESS</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0"/>
              </w:rPr>
              <w:t>Michael Burgess</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MICHAEL HEFFERNAN</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4"/>
              </w:rPr>
              <w:t>Michael Heffernan</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PATRICIA HURTER</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7"/>
              </w:rPr>
              <w:t>Patricia Hurter</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LISA KELLY-CROSWELL</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3"/>
              </w:rPr>
              <w:t>Lisa Kelly-Croswell</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CHAU KHUONG</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1"/>
              </w:rPr>
              <w:t>Chau Khuong</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NICK LESCHLY</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0"/>
              </w:rPr>
              <w:t>Nick Leschly</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EDWARD MATHERS</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5"/>
              </w:rPr>
              <w:t>Edward Mathers</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r>
        <w:trPr>
          <w:trHeight w:val="30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RICHARD P. SHEA</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1"/>
              </w:rPr>
              <w:t>Richard P. Shea</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25, 2021</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576" w:right="14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00" w:type="dxa"/>
            <w:vAlign w:val="bottom"/>
            <w:gridSpan w:val="4"/>
          </w:tcPr>
          <w:p>
            <w:pPr>
              <w:ind w:left="160"/>
              <w:spacing w:after="0"/>
              <w:rPr>
                <w:sz w:val="20"/>
                <w:szCs w:val="20"/>
                <w:color w:val="auto"/>
              </w:rPr>
            </w:pPr>
            <w:r>
              <w:rPr>
                <w:rFonts w:ascii="Arial" w:cs="Arial" w:eastAsia="Arial" w:hAnsi="Arial"/>
                <w:sz w:val="18"/>
                <w:szCs w:val="18"/>
                <w:b w:val="1"/>
                <w:bCs w:val="1"/>
                <w:color w:val="auto"/>
              </w:rPr>
              <w:t>Index to Consolidated Financial Statements of Synlogic, Inc.</w:t>
            </w:r>
          </w:p>
        </w:tc>
        <w:tc>
          <w:tcPr>
            <w:tcW w:w="1780" w:type="dxa"/>
            <w:vAlign w:val="bottom"/>
          </w:tcPr>
          <w:p>
            <w:pPr>
              <w:spacing w:after="0"/>
              <w:rPr>
                <w:sz w:val="20"/>
                <w:szCs w:val="20"/>
                <w:color w:val="auto"/>
              </w:rPr>
            </w:pPr>
          </w:p>
        </w:tc>
      </w:tr>
      <w:tr>
        <w:trPr>
          <w:trHeight w:val="418"/>
        </w:trPr>
        <w:tc>
          <w:tcPr>
            <w:tcW w:w="9460" w:type="dxa"/>
            <w:vAlign w:val="bottom"/>
            <w:gridSpan w:val="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Report of Independent Registered Public Accounting Firm</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F-2</w:t>
            </w:r>
          </w:p>
        </w:tc>
      </w:tr>
      <w:tr>
        <w:trPr>
          <w:trHeight w:val="209"/>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8"/>
                <w:szCs w:val="18"/>
                <w:color w:val="auto"/>
              </w:rPr>
            </w:pPr>
          </w:p>
        </w:tc>
        <w:tc>
          <w:tcPr>
            <w:tcW w:w="5240" w:type="dxa"/>
            <w:vAlign w:val="bottom"/>
            <w:gridSpan w:val="2"/>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F-4</w:t>
            </w:r>
          </w:p>
        </w:tc>
      </w:tr>
      <w:tr>
        <w:trPr>
          <w:trHeight w:val="209"/>
        </w:trPr>
        <w:tc>
          <w:tcPr>
            <w:tcW w:w="946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Consolidated Statements of Operations and Comprehensive Loss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F-5</w:t>
            </w:r>
          </w:p>
        </w:tc>
      </w:tr>
      <w:tr>
        <w:trPr>
          <w:trHeight w:val="210"/>
        </w:trPr>
        <w:tc>
          <w:tcPr>
            <w:tcW w:w="3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18"/>
                <w:szCs w:val="18"/>
                <w:color w:val="auto"/>
              </w:rPr>
            </w:pPr>
          </w:p>
        </w:tc>
        <w:tc>
          <w:tcPr>
            <w:tcW w:w="4780" w:type="dxa"/>
            <w:vAlign w:val="bottom"/>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F-6</w:t>
            </w:r>
          </w:p>
        </w:tc>
      </w:tr>
      <w:tr>
        <w:trPr>
          <w:trHeight w:val="209"/>
        </w:trPr>
        <w:tc>
          <w:tcPr>
            <w:tcW w:w="28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Consolidated Statements of Cash Flows</w:t>
              </w:r>
            </w:hyperlink>
          </w:p>
        </w:tc>
        <w:tc>
          <w:tcPr>
            <w:tcW w:w="6580" w:type="dxa"/>
            <w:vAlign w:val="bottom"/>
            <w:gridSpan w:val="5"/>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F-7</w:t>
            </w:r>
          </w:p>
        </w:tc>
      </w:tr>
      <w:tr>
        <w:trPr>
          <w:trHeight w:val="210"/>
        </w:trPr>
        <w:tc>
          <w:tcPr>
            <w:tcW w:w="9460" w:type="dxa"/>
            <w:vAlign w:val="bottom"/>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F-8</w:t>
            </w:r>
          </w:p>
        </w:tc>
      </w:tr>
      <w:tr>
        <w:trPr>
          <w:trHeight w:val="1040"/>
        </w:trPr>
        <w:tc>
          <w:tcPr>
            <w:tcW w:w="210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Synlogic,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audited the accompanying consolidated balance sheets of Synlogic, Inc. and subsidiaries (the Company) as of December 31, 2020 and 2019,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U.S. generally accepted accounting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Evaluation of accrued expenses related to research and development activities performed by third parties</w:t>
      </w:r>
    </w:p>
    <w:p>
      <w:pPr>
        <w:spacing w:after="0" w:line="117" w:lineRule="exact"/>
        <w:rPr>
          <w:sz w:val="20"/>
          <w:szCs w:val="20"/>
          <w:color w:val="auto"/>
        </w:rPr>
      </w:pPr>
    </w:p>
    <w:p>
      <w:pPr>
        <w:ind w:left="760" w:right="60"/>
        <w:spacing w:after="0" w:line="272" w:lineRule="auto"/>
        <w:rPr>
          <w:sz w:val="20"/>
          <w:szCs w:val="20"/>
          <w:color w:val="auto"/>
        </w:rPr>
      </w:pPr>
      <w:r>
        <w:rPr>
          <w:rFonts w:ascii="Arial" w:cs="Arial" w:eastAsia="Arial" w:hAnsi="Arial"/>
          <w:sz w:val="17"/>
          <w:szCs w:val="17"/>
          <w:color w:val="auto"/>
        </w:rPr>
        <w:t>As discussed in Note 2 to the consolidated financial statements, costs incurred in research and development are expensed as incurred. 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and the expected duration of the third-party service contract, where applicable. As discussed in Note 7 to the consolidated financial statements, the accrued expenses balance related to research and development activities performed by third parties was $230 thousand at December 31, 2020.</w:t>
      </w:r>
    </w:p>
    <w:p>
      <w:pPr>
        <w:spacing w:after="0" w:line="69" w:lineRule="exact"/>
        <w:rPr>
          <w:sz w:val="20"/>
          <w:szCs w:val="20"/>
          <w:color w:val="auto"/>
        </w:rPr>
      </w:pPr>
    </w:p>
    <w:p>
      <w:pPr>
        <w:ind w:left="760" w:right="220"/>
        <w:spacing w:after="0" w:line="311" w:lineRule="auto"/>
        <w:rPr>
          <w:sz w:val="20"/>
          <w:szCs w:val="20"/>
          <w:color w:val="auto"/>
        </w:rPr>
      </w:pPr>
      <w:r>
        <w:rPr>
          <w:rFonts w:ascii="Arial" w:cs="Arial" w:eastAsia="Arial" w:hAnsi="Arial"/>
          <w:sz w:val="16"/>
          <w:szCs w:val="16"/>
          <w:color w:val="auto"/>
        </w:rPr>
        <w:t>We identified the evaluation of accrued expenses related to research and development activities performed by third parties as a critical audit matter. The estimates made by the Company in determining the accrued expenses balance are based on a number of factors that can be challenging to assess, including the completion status of the research and development programs and the associated estimate of unbilled costs.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89" w:name="page90"/>
    <w:bookmarkEnd w:id="89"/>
    <w:p>
      <w:pPr>
        <w:ind w:left="760"/>
        <w:spacing w:after="0" w:line="290" w:lineRule="auto"/>
        <w:rPr>
          <w:sz w:val="20"/>
          <w:szCs w:val="20"/>
          <w:color w:val="auto"/>
        </w:rPr>
      </w:pPr>
      <w:r>
        <w:rPr>
          <w:rFonts w:ascii="Arial" w:cs="Arial" w:eastAsia="Arial" w:hAnsi="Arial"/>
          <w:sz w:val="16"/>
          <w:szCs w:val="16"/>
          <w:color w:val="auto"/>
        </w:rPr>
        <w:t>The following are the primary procedures we performed to address this critical audit matter. We inspected contracts with third-party service providers, including any subsequent amendments, confirmed costs incurred to date with the respective third parties under the contracts, and inspected invoices to evaluate the amounts billed to date under the contracts. Furthermore, to assess that all services rendered by the third parties prior to December 31, 2020 were appropriately included in the Company’s accrued expenses balance at December 31, 2020, we (1) inquired of the individuals at the Company who are responsible for overseeing the research and development activities of the third-party service providers to understand the progress of the respective programs; (2) inspected correspondence received from the third-party service providers, including status reports, and compared them to the estimates underlying the accrued expenses balance, and (3) compared amounts ultimately invoiced by the third-party service providers subsequent to December 31, 2020 to the amounts accrued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04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67,937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106,846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 - operating lease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net of current portion</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1,995</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Long-term liabilities: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Finance lease obligations, net of current portion</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long-term liabilities</w:t>
            </w:r>
          </w:p>
        </w:tc>
        <w:tc>
          <w:tcPr>
            <w:tcW w:w="6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20,404</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40" w:type="dxa"/>
            <w:vAlign w:val="bottom"/>
          </w:tcPr>
          <w:p>
            <w:pPr>
              <w:ind w:left="500"/>
              <w:spacing w:after="0"/>
              <w:rPr>
                <w:sz w:val="20"/>
                <w:szCs w:val="20"/>
                <w:color w:val="auto"/>
              </w:rPr>
            </w:pPr>
            <w:r>
              <w:rPr>
                <w:rFonts w:ascii="Arial" w:cs="Arial" w:eastAsia="Arial" w:hAnsi="Arial"/>
                <w:sz w:val="18"/>
                <w:szCs w:val="18"/>
                <w:color w:val="auto"/>
                <w:w w:val="99"/>
              </w:rPr>
              <w:t>250,000,000 shares authorized as of December 31, 2020 and December 31, 2019.</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40"/>
              <w:spacing w:after="0"/>
              <w:rPr>
                <w:sz w:val="20"/>
                <w:szCs w:val="20"/>
                <w:color w:val="auto"/>
              </w:rPr>
            </w:pPr>
            <w:r>
              <w:rPr>
                <w:rFonts w:ascii="Arial" w:cs="Arial" w:eastAsia="Arial" w:hAnsi="Arial"/>
                <w:sz w:val="18"/>
                <w:szCs w:val="18"/>
                <w:color w:val="auto"/>
              </w:rPr>
              <w:t>38,183,273 shares issued and outstanding as of December 31, 2020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640"/>
              <w:spacing w:after="0"/>
              <w:rPr>
                <w:sz w:val="20"/>
                <w:szCs w:val="20"/>
                <w:color w:val="auto"/>
              </w:rPr>
            </w:pPr>
            <w:r>
              <w:rPr>
                <w:rFonts w:ascii="Arial" w:cs="Arial" w:eastAsia="Arial" w:hAnsi="Arial"/>
                <w:sz w:val="18"/>
                <w:szCs w:val="18"/>
                <w:color w:val="auto"/>
              </w:rPr>
              <w:t>32,266,814 shares issued and outstanding as of December 31, 2019.</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345,394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(230,311)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(171,138)</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115,135</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632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(60,466)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320" w:type="dxa"/>
            <w:vAlign w:val="bottom"/>
          </w:tcPr>
          <w:p>
            <w:pPr>
              <w:ind w:left="500"/>
              <w:spacing w:after="0"/>
              <w:rPr>
                <w:sz w:val="20"/>
                <w:szCs w:val="20"/>
                <w:color w:val="auto"/>
              </w:rPr>
            </w:pPr>
            <w:r>
              <w:rPr>
                <w:rFonts w:ascii="Arial" w:cs="Arial" w:eastAsia="Arial" w:hAnsi="Arial"/>
                <w:sz w:val="18"/>
                <w:szCs w:val="18"/>
                <w:color w:val="auto"/>
              </w:rPr>
              <w:t>Other expense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(59,173)</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7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6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Weighted-average common stock outstanding - basic and diluted</w:t>
            </w:r>
          </w:p>
        </w:tc>
        <w:tc>
          <w:tcPr>
            <w:tcW w:w="14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35,835,744</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30,284,068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(59,173)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(51,373)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Net unrealized (loss) gain on marketable securities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(59,269)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800" w:type="dxa"/>
            <w:vAlign w:val="bottom"/>
            <w:gridSpan w:val="4"/>
          </w:tcPr>
          <w:p>
            <w:pPr>
              <w:jc w:val="right"/>
              <w:ind w:right="313"/>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3"/>
                <w:szCs w:val="13"/>
                <w:b w:val="1"/>
                <w:bCs w:val="1"/>
                <w:color w:val="auto"/>
              </w:rPr>
              <w:t>$0.001 par value</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8"/>
              </w:rPr>
              <w:t>income (loss)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2018</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25,401,479</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57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243,903</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(65)</w:t>
            </w:r>
          </w:p>
        </w:tc>
        <w:tc>
          <w:tcPr>
            <w:tcW w:w="26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(119,765)</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124,098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3"/>
                <w:szCs w:val="13"/>
                <w:color w:val="auto"/>
              </w:rPr>
              <w:t>Proceeds from issuance of common stock, net of issuance costs</w:t>
            </w:r>
          </w:p>
        </w:tc>
        <w:tc>
          <w:tcPr>
            <w:tcW w:w="880" w:type="dxa"/>
            <w:vAlign w:val="bottom"/>
          </w:tcPr>
          <w:p>
            <w:pPr>
              <w:jc w:val="right"/>
              <w:spacing w:after="0"/>
              <w:rPr>
                <w:sz w:val="20"/>
                <w:szCs w:val="20"/>
                <w:color w:val="auto"/>
              </w:rPr>
            </w:pPr>
            <w:r>
              <w:rPr>
                <w:rFonts w:ascii="Arial" w:cs="Arial" w:eastAsia="Arial" w:hAnsi="Arial"/>
                <w:sz w:val="13"/>
                <w:szCs w:val="13"/>
                <w:color w:val="auto"/>
              </w:rPr>
              <w:t>6,340,771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56,990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56,997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pre-funded common stock warrants, net of</w:t>
            </w: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issuance costs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22,874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585,600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Cancellation of restricted stock</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(61,036)</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3"/>
                <w:szCs w:val="13"/>
                <w:color w:val="auto"/>
              </w:rPr>
              <w:t>Equity-based compensation expense</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Unrealized gain (loss) on securities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3"/>
                <w:szCs w:val="13"/>
                <w:color w:val="auto"/>
              </w:rPr>
              <w:t>Net loss</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(51,373)</w:t>
            </w: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(51,373)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at December 31, 2019</w:t>
            </w: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vMerge w:val="continue"/>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32,266,814</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57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327,900</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(171,138)</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156,905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w w:val="97"/>
              </w:rPr>
              <w:t>Proceeds from issuance of common stock in connection with at-the-market offering,</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80" w:type="dxa"/>
            <w:vAlign w:val="bottom"/>
          </w:tcPr>
          <w:p>
            <w:pPr>
              <w:spacing w:after="0"/>
              <w:rPr>
                <w:sz w:val="20"/>
                <w:szCs w:val="20"/>
                <w:color w:val="auto"/>
              </w:rPr>
            </w:pPr>
            <w:r>
              <w:rPr>
                <w:rFonts w:ascii="Arial" w:cs="Arial" w:eastAsia="Arial" w:hAnsi="Arial"/>
                <w:sz w:val="13"/>
                <w:szCs w:val="13"/>
                <w:color w:val="auto"/>
              </w:rPr>
              <w:t>net of issuance costs</w:t>
            </w:r>
          </w:p>
        </w:tc>
        <w:tc>
          <w:tcPr>
            <w:tcW w:w="880" w:type="dxa"/>
            <w:vAlign w:val="bottom"/>
          </w:tcPr>
          <w:p>
            <w:pPr>
              <w:jc w:val="right"/>
              <w:spacing w:after="0"/>
              <w:rPr>
                <w:sz w:val="20"/>
                <w:szCs w:val="20"/>
                <w:color w:val="auto"/>
              </w:rPr>
            </w:pPr>
            <w:r>
              <w:rPr>
                <w:rFonts w:ascii="Arial" w:cs="Arial" w:eastAsia="Arial" w:hAnsi="Arial"/>
                <w:sz w:val="13"/>
                <w:szCs w:val="13"/>
                <w:color w:val="auto"/>
              </w:rPr>
              <w:t>5,866,258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13,529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13,534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Exercise of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226,335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under employee 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29,857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3"/>
                <w:szCs w:val="13"/>
                <w:color w:val="auto"/>
              </w:rPr>
              <w:t>Cancellation of restricted stock</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(215,463)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Equity-based compensation expense</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3"/>
                <w:szCs w:val="13"/>
                <w:color w:val="auto"/>
              </w:rPr>
              <w:t>Unrealized gain (loss) on securities</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(59,173)</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(59,173)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3"/>
                <w:szCs w:val="13"/>
                <w:color w:val="auto"/>
              </w:rPr>
              <w:t>Balance at December 31, 2020</w:t>
            </w: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vMerge w:val="continue"/>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38,183,273</w:t>
            </w:r>
          </w:p>
        </w:tc>
        <w:tc>
          <w:tcPr>
            <w:tcW w:w="120" w:type="dxa"/>
            <w:vAlign w:val="bottom"/>
          </w:tcPr>
          <w:p>
            <w:pPr>
              <w:spacing w:after="0"/>
              <w:rPr>
                <w:sz w:val="13"/>
                <w:szCs w:val="13"/>
                <w:color w:val="auto"/>
              </w:rPr>
            </w:pPr>
          </w:p>
        </w:tc>
        <w:tc>
          <w:tcPr>
            <w:tcW w:w="800" w:type="dxa"/>
            <w:vAlign w:val="bottom"/>
            <w:gridSpan w:val="2"/>
          </w:tcPr>
          <w:p>
            <w:pPr>
              <w:jc w:val="right"/>
              <w:ind w:right="573"/>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38</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345,394</w:t>
            </w:r>
          </w:p>
        </w:tc>
        <w:tc>
          <w:tcPr>
            <w:tcW w:w="12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2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(230,311)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115,135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56"/>
        </w:trPr>
        <w:tc>
          <w:tcPr>
            <w:tcW w:w="75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(59,173)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(51,373)</w:t>
            </w: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(1,282)</w:t>
            </w:r>
          </w:p>
        </w:tc>
      </w:tr>
      <w:tr>
        <w:trPr>
          <w:trHeight w:val="230"/>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Reduction in carrying amount of operating lease right of use asset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(12,263)</w:t>
            </w: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Prepaid research and development, net of current portion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(16,381)</w:t>
            </w: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(1,716)</w:t>
            </w:r>
          </w:p>
        </w:tc>
      </w:tr>
      <w:tr>
        <w:trPr>
          <w:trHeight w:val="230"/>
        </w:trPr>
        <w:tc>
          <w:tcPr>
            <w:tcW w:w="7580" w:type="dxa"/>
            <w:vAlign w:val="bottom"/>
            <w:shd w:val="clear" w:color="auto" w:fill="CFF0FC"/>
          </w:tcPr>
          <w:p>
            <w:pPr>
              <w:ind w:left="76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(75,468)</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(86,474)</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(145,418)</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157,465</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redemption of marketable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(1,251)</w:t>
            </w: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32,482</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Proceeds from issuance of common stock in connection with at-the-market offering, net of issuance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common stock, net of issuance costs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56,996</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sale of pre-funded warrants, net of issuance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22,874</w:t>
            </w:r>
          </w:p>
        </w:tc>
        <w:tc>
          <w:tcPr>
            <w:tcW w:w="120" w:type="dxa"/>
            <w:vAlign w:val="bottom"/>
          </w:tcPr>
          <w:p>
            <w:pPr>
              <w:spacing w:after="0"/>
              <w:rPr>
                <w:sz w:val="19"/>
                <w:szCs w:val="19"/>
                <w:color w:val="auto"/>
              </w:rPr>
            </w:pP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14,932</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12,349</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33,604</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27,281</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acquired under operating lease obligation</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costs included in accounts payable and accrued expenses</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Synlogic, Inc., together with its wholly owned and consolidated subsidiaries (“Synlogic” or the “Company”), is a clinical-stage biopharmaceutical company focused on the drug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Since incorporation, the Company has devoted substantially all of its efforts to the research and development of its product candidates.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At December 31, 2020, the Company had approximately $100.4 million in cash, cash equivalents, and short-term marketable securities, $1.1 million of restricted cash and an accumulated deficit of approximately $230.3 million. Since its inception through December 31, 2020, the Company has primarily financed its operations through the issuance of preferred stock, units and warrants, the sale of its common stock,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92"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0"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(“U.S. GAAP” or “GAAP”).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 reported amounts of expenses during the reporting period. On an on-going basis, the Company’s management evaluates its estimates, including those related to revenue recognition, income taxes including the valuation allowance for deferred tax assets, research and development accruals and prepaids, accrued expenses, investments, contingencies and equity-based compensation.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$32.5 million and $13.5 million at December 31, 2020 and 2019,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held cash of approximately $1.1 million at December 31, 2020 and 2019 in a letter of credit to secure its lease at the 301 Binney Street facility. The Company has classified this deposit as long-term restricted cash on its balance sheet.</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 (in thousands).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26,184</w:t>
            </w:r>
          </w:p>
        </w:tc>
        <w:tc>
          <w:tcPr>
            <w:tcW w:w="8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long-term assets</w:t>
            </w: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Borders>
              <w:bottom w:val="single" w:sz="8" w:color="CFF0FC"/>
            </w:tcBorders>
          </w:tcPr>
          <w:p>
            <w:pPr>
              <w:spacing w:after="0"/>
              <w:rPr>
                <w:sz w:val="19"/>
                <w:szCs w:val="19"/>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 in</w:t>
            </w: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consolidated statement of cash flows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27,281</w:t>
            </w:r>
          </w:p>
        </w:tc>
        <w:tc>
          <w:tcPr>
            <w:tcW w:w="80" w:type="dxa"/>
            <w:vAlign w:val="bottom"/>
            <w:shd w:val="clear" w:color="auto" w:fill="CFF0FC"/>
          </w:tcPr>
          <w:p>
            <w:pPr>
              <w:spacing w:after="0"/>
              <w:rPr>
                <w:sz w:val="20"/>
                <w:szCs w:val="20"/>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79"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 – Utilize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Level 2 – Utilize data points that are either directly or indirectly observable, such as quoted prices, interest rates and yield curves;</w:t>
      </w:r>
    </w:p>
    <w:p>
      <w:pPr>
        <w:spacing w:after="0" w:line="128" w:lineRule="exact"/>
        <w:rPr>
          <w:rFonts w:ascii="Arial" w:cs="Arial" w:eastAsia="Arial" w:hAnsi="Arial"/>
          <w:sz w:val="17"/>
          <w:szCs w:val="17"/>
          <w:color w:val="auto"/>
        </w:rPr>
      </w:pPr>
    </w:p>
    <w:p>
      <w:pPr>
        <w:ind w:left="1000" w:right="76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 – Utilize unobservable data points in which there is little or no market data, which require the Company to develop its own assumptions for the asset or liability.</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Level 2 or Level 3 during the years ended December 31, 2020 and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17"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The Company classifies all short-term investments with an original maturity when purchased of greater than three months as available-for-sale.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00" w:firstLine="510"/>
        <w:spacing w:after="0" w:line="220" w:lineRule="exact"/>
        <w:rPr>
          <w:sz w:val="20"/>
          <w:szCs w:val="20"/>
          <w:color w:val="auto"/>
        </w:rPr>
      </w:pPr>
      <w:r>
        <w:rPr>
          <w:rFonts w:ascii="Arial" w:cs="Arial" w:eastAsia="Arial" w:hAnsi="Arial"/>
          <w:sz w:val="18"/>
          <w:szCs w:val="18"/>
          <w:color w:val="auto"/>
        </w:rPr>
        <w:t>Property and equipment, including leasehold improvements, are recorded at cost and depreciated over their estimated useful lives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Repairs and maintenance costs are expensed as incurred, whereas major improvements are capitalized as additions to property and equipment.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begins at the time the asset is placed in service. Depreciation is provided over the following estimated useful lives: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8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Asset classification</w:t>
            </w:r>
          </w:p>
        </w:tc>
        <w:tc>
          <w:tcPr>
            <w:tcW w:w="160" w:type="dxa"/>
            <w:vAlign w:val="bottom"/>
            <w:tcBorders>
              <w:bottom w:val="single" w:sz="8" w:color="CFF0FC"/>
            </w:tcBorders>
          </w:tcPr>
          <w:p>
            <w:pPr>
              <w:spacing w:after="0"/>
              <w:rPr>
                <w:sz w:val="14"/>
                <w:szCs w:val="14"/>
                <w:color w:val="auto"/>
              </w:rPr>
            </w:pPr>
          </w:p>
        </w:tc>
        <w:tc>
          <w:tcPr>
            <w:tcW w:w="38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Useful life</w:t>
            </w: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1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3 years</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5 years</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40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5 years</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Lesser of useful life or remaining lease term</w:t>
            </w:r>
          </w:p>
        </w:tc>
      </w:tr>
    </w:tbl>
    <w:p>
      <w:pPr>
        <w:spacing w:after="0" w:line="3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17" w:lineRule="exact"/>
        <w:rPr>
          <w:sz w:val="20"/>
          <w:szCs w:val="20"/>
          <w:color w:val="auto"/>
        </w:rPr>
      </w:pPr>
    </w:p>
    <w:p>
      <w:pPr>
        <w:ind w:right="20" w:firstLine="510"/>
        <w:spacing w:after="0" w:line="220"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To date, no such impairments have been recognized.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578"/>
        <w:spacing w:after="0" w:line="275" w:lineRule="auto"/>
        <w:rPr>
          <w:sz w:val="20"/>
          <w:szCs w:val="20"/>
          <w:color w:val="auto"/>
        </w:rPr>
      </w:pPr>
      <w:r>
        <w:rPr>
          <w:rFonts w:ascii="Arial" w:cs="Arial" w:eastAsia="Arial" w:hAnsi="Arial"/>
          <w:sz w:val="17"/>
          <w:szCs w:val="17"/>
          <w:color w:val="auto"/>
        </w:rPr>
        <w:t>The Company uses judgement to assess if an arrangement is a lease at contract inception. An arrangement is a lease if the contract involves the use of a distinct identified asset, the lessor does not have substantive substitution rights and the Company obtains control of the asset throughout the period by obtaining substantially all of the economic benefit of the asset and the right to direct the use of the asset. Leases classified as operating leases are included in operating lease right-of-use (“ROU”) assets, current operating lease liabilities and noncurrent operating lease liabilities in our consolidated balance sheet. Finance leases are included in property and equipment and finance lease obligations, in our consolidated balance sheet.</w:t>
      </w:r>
    </w:p>
    <w:p>
      <w:pPr>
        <w:spacing w:after="0" w:line="176" w:lineRule="exact"/>
        <w:rPr>
          <w:sz w:val="20"/>
          <w:szCs w:val="20"/>
          <w:color w:val="auto"/>
        </w:rPr>
      </w:pPr>
    </w:p>
    <w:p>
      <w:pPr>
        <w:ind w:right="320" w:firstLine="578"/>
        <w:spacing w:after="0" w:line="30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Company utilizes its incremental borrowing rate to determine the present value of lease payments. The incremental borrowing rate is the rate incurred to borrow similar funds, on a collateralized basis, over a comparable term in a similar economic environment.</w:t>
      </w:r>
    </w:p>
    <w:p>
      <w:pPr>
        <w:spacing w:after="0" w:line="157" w:lineRule="exact"/>
        <w:rPr>
          <w:sz w:val="20"/>
          <w:szCs w:val="20"/>
          <w:color w:val="auto"/>
        </w:rPr>
      </w:pPr>
    </w:p>
    <w:p>
      <w:pPr>
        <w:ind w:right="240" w:firstLine="578"/>
        <w:spacing w:after="0" w:line="259" w:lineRule="auto"/>
        <w:rPr>
          <w:sz w:val="20"/>
          <w:szCs w:val="20"/>
          <w:color w:val="auto"/>
        </w:rPr>
      </w:pPr>
      <w:r>
        <w:rPr>
          <w:rFonts w:ascii="Arial" w:cs="Arial" w:eastAsia="Arial" w:hAnsi="Arial"/>
          <w:sz w:val="18"/>
          <w:szCs w:val="18"/>
          <w:color w:val="auto"/>
        </w:rPr>
        <w:t>The Company has elected to account for the lease and non-lease components for leases as a single component for classes of all underlying assets and allocate all of the contract consideration to the lease component only. Lease cost for operating leases is recognized on a straight-line basis over the lease term and is included in operating expenses on the statements of operations and comprehensive loss. Variable lease payments are included in lease operating expenses.</w:t>
      </w:r>
    </w:p>
    <w:p>
      <w:pPr>
        <w:spacing w:after="0" w:line="187" w:lineRule="exact"/>
        <w:rPr>
          <w:sz w:val="20"/>
          <w:szCs w:val="20"/>
          <w:color w:val="auto"/>
        </w:rPr>
      </w:pPr>
    </w:p>
    <w:p>
      <w:pPr>
        <w:ind w:right="180" w:firstLine="578"/>
        <w:spacing w:after="0" w:line="277" w:lineRule="auto"/>
        <w:rPr>
          <w:sz w:val="20"/>
          <w:szCs w:val="20"/>
          <w:color w:val="auto"/>
        </w:rPr>
      </w:pPr>
      <w:r>
        <w:rPr>
          <w:rFonts w:ascii="Arial" w:cs="Arial" w:eastAsia="Arial" w:hAnsi="Arial"/>
          <w:sz w:val="18"/>
          <w:szCs w:val="18"/>
          <w:color w:val="auto"/>
        </w:rPr>
        <w:t>The lease term includes options to extend the lease when it is reasonably certain that option will be exercised. Leases with a term of 12 months or less are not recorded on the Company’s consolidated balance sheet.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Costs incurred in research and development are expensed as incurred. The Company defers and capitalizes nonrefundable advance payments made by the Company for research and development activities until the related goods are received or the related services are performed.</w:t>
      </w:r>
    </w:p>
    <w:p>
      <w:pPr>
        <w:spacing w:after="0" w:line="12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Research and development expenses are comprised of costs incurred in performing research and development activities, including salary and benefits, equity-based compensation expense, laboratory supplies and other direct expenses, facilities expenses, overhead expenses, contractual services and other outside expenses.</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the completion status of the research and development programs and the associated estimate of unbilled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The Company generated revenue through a collaboration and license arrangement with AbbVie for the development and commercialization of product candidates prior to the termination of the arrangement in May 2020.</w:t>
      </w:r>
    </w:p>
    <w:p>
      <w:pPr>
        <w:spacing w:after="0" w:line="170"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 xml:space="preserve">The Company evaluates collaboration agreements with respect to FASB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considering the nature and contractual terms of the arrangement and the nature of its business operations to determine the classification of the transactions. When the Company is an active participant in the activity and exposed to significant risks and rewards dependent on the commercial success of the collaboration, it will record its transactions on a gross basis in the consolidated financial statements and describe the rights and obligations under the collaborative arrangement in the notes to the consolidated financial statements.</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6"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Company may enter into collaboration agreements for research and development services, under which the Company may license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spacing w:after="0" w:line="157"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4" w:lineRule="exact"/>
        <w:rPr>
          <w:sz w:val="20"/>
          <w:szCs w:val="20"/>
          <w:color w:val="auto"/>
        </w:rPr>
      </w:pPr>
    </w:p>
    <w:p>
      <w:pPr>
        <w:ind w:firstLine="8"/>
        <w:spacing w:after="0" w:line="253"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 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 time equivalent time as a measure of satisfaction of performance obligations.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of Intellectual Property</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assessing whether a promise or performance obligation is distinct from the other promises, the Company considers factors such as the research,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Services</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If an arrangement is determined to contain a promise or obligation for the Company to perform research and development services, the Company must determine whether these services are distinct from the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Options</w:t>
      </w:r>
    </w:p>
    <w:p>
      <w:pPr>
        <w:spacing w:after="0" w:line="11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Milestone Payments</w:t>
      </w:r>
    </w:p>
    <w:p>
      <w:pPr>
        <w:spacing w:after="0" w:line="11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117"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spacing w:after="0" w:line="29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Equity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ind w:right="60" w:firstLine="510"/>
        <w:spacing w:after="0" w:line="217" w:lineRule="exact"/>
        <w:rPr>
          <w:sz w:val="20"/>
          <w:szCs w:val="20"/>
          <w:color w:val="auto"/>
        </w:rPr>
      </w:pPr>
      <w:r>
        <w:rPr>
          <w:rFonts w:ascii="Arial" w:cs="Arial" w:eastAsia="Arial" w:hAnsi="Arial"/>
          <w:sz w:val="16"/>
          <w:szCs w:val="16"/>
          <w:color w:val="auto"/>
        </w:rPr>
        <w:t>The Company measures equity-based compensation to employees, non-employees and directors based on the grant date fair value of the awards and recognizes the associated expense in the financial statements over the requisite service period of the award, which is generally the vesting period. The fair value of each option and purchase rights under the employee stock purchase plan (“ESPP”)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Expected volatility for the Company’s common stock is determined based on an average of the historical volatility of the Company and the historical volatility of a peer</w:t>
      </w:r>
      <w:r>
        <w:rPr>
          <w:rFonts w:ascii="MS PGothic" w:cs="MS PGothic" w:eastAsia="MS PGothic" w:hAnsi="MS PGothic"/>
          <w:sz w:val="16"/>
          <w:szCs w:val="16"/>
          <w:color w:val="auto"/>
        </w:rPr>
        <w:t>‑</w:t>
      </w:r>
      <w:r>
        <w:rPr>
          <w:rFonts w:ascii="Arial" w:cs="Arial" w:eastAsia="Arial" w:hAnsi="Arial"/>
          <w:sz w:val="16"/>
          <w:szCs w:val="16"/>
          <w:color w:val="auto"/>
        </w:rPr>
        <w:t>group of similar public companies. The expected term of options granted to employees is calculated using the simplified method, which represents the average of the contractual term of the option and the weighted-average vesting period of the option. The expected term of purchase rights for the ESPP is based on the duration of an offering period. The assumed dividend yield is based upon the Company’s expectation of not paying dividends in the foreseeable future.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upon the U.S. Treasury yield curve commensurate with the expected term at the time of grant or remeasurement. Forfeitures are recognized as they occur.</w:t>
      </w:r>
    </w:p>
    <w:p>
      <w:pPr>
        <w:spacing w:after="0" w:line="207" w:lineRule="exact"/>
        <w:rPr>
          <w:sz w:val="20"/>
          <w:szCs w:val="20"/>
          <w:color w:val="auto"/>
        </w:rPr>
      </w:pPr>
    </w:p>
    <w:p>
      <w:pPr>
        <w:ind w:right="580" w:firstLine="510"/>
        <w:spacing w:after="0" w:line="308"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and comprehensive loss in the same manner in which the award recipient’s payroll costs are classified or in which the award recipients’ service payments are classified.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outstanding stock options and potential shares issuable under the ESPP.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w:t>
      </w:r>
    </w:p>
    <w:p>
      <w:pPr>
        <w:ind w:right="280"/>
        <w:spacing w:after="0" w:line="253" w:lineRule="auto"/>
        <w:rPr>
          <w:sz w:val="20"/>
          <w:szCs w:val="20"/>
          <w:color w:val="auto"/>
        </w:rPr>
      </w:pPr>
      <w:r>
        <w:rPr>
          <w:rFonts w:ascii="Arial" w:cs="Arial" w:eastAsia="Arial" w:hAnsi="Arial"/>
          <w:sz w:val="18"/>
          <w:szCs w:val="18"/>
          <w:color w:val="auto"/>
        </w:rPr>
        <w:t>in one operating segment: discovery and development of synthetic biology therapeutics for the treatment of rare, infectious and other diseases. The Company’s chief executive officer, as chief operating decision maker, manages and allocates resources to the operations of the Company on a total company basis. All of the Company’s equipment, leasehold improvements and other fixed assets are physically located within the United States, and all agreements with its partners are denominated in U.S. dollars, except where noted.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80" w:firstLine="749"/>
        <w:spacing w:after="0" w:line="311" w:lineRule="auto"/>
        <w:rPr>
          <w:sz w:val="20"/>
          <w:szCs w:val="20"/>
          <w:color w:val="auto"/>
        </w:rPr>
      </w:pPr>
      <w:r>
        <w:rPr>
          <w:rFonts w:ascii="Arial" w:cs="Arial" w:eastAsia="Arial" w:hAnsi="Arial"/>
          <w:sz w:val="16"/>
          <w:szCs w:val="16"/>
          <w:color w:val="auto"/>
        </w:rPr>
        <w:t>New accounting pronouncements are issued by the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 xml:space="preserve">In December 2019, the FASB issued ASU 2019-12 – </w:t>
      </w:r>
      <w:r>
        <w:rPr>
          <w:rFonts w:ascii="Arial" w:cs="Arial" w:eastAsia="Arial" w:hAnsi="Arial"/>
          <w:sz w:val="17"/>
          <w:szCs w:val="17"/>
          <w:i w:val="1"/>
          <w:iCs w:val="1"/>
          <w:color w:val="auto"/>
        </w:rPr>
        <w:t>Income Taxes – (Topic 740): Simplifying the Accounting for Income Taxes</w:t>
      </w:r>
      <w:r>
        <w:rPr>
          <w:rFonts w:ascii="Arial" w:cs="Arial" w:eastAsia="Arial" w:hAnsi="Arial"/>
          <w:sz w:val="17"/>
          <w:szCs w:val="17"/>
          <w:color w:val="auto"/>
        </w:rPr>
        <w:t>, which provides amended guidance on income tax accounting. The amended guidance is effective for fiscal years beginning after December 15, 2020, including interim periods within that fiscal year. Early adoption is permitted. The amended guidance, which simplifies the accounting for income taxes, includes the removal of exceptions to the general principles of ASC 740. The standard removed the exception to the incremental approach for intra-period tax allocation when there is a loss from continuing operations and income or a gain from other items. The Company adopted the new guidance effective on January 1, 2020 which had an immaterial impact on its consolidated financial statements.</w:t>
      </w:r>
    </w:p>
    <w:p>
      <w:pPr>
        <w:spacing w:after="0" w:line="178" w:lineRule="exact"/>
        <w:rPr>
          <w:sz w:val="20"/>
          <w:szCs w:val="20"/>
          <w:color w:val="auto"/>
        </w:rPr>
      </w:pPr>
    </w:p>
    <w:p>
      <w:pPr>
        <w:ind w:right="240" w:firstLine="578"/>
        <w:spacing w:after="0" w:line="259" w:lineRule="auto"/>
        <w:rPr>
          <w:sz w:val="20"/>
          <w:szCs w:val="20"/>
          <w:color w:val="auto"/>
        </w:rPr>
      </w:pPr>
      <w:r>
        <w:rPr>
          <w:rFonts w:ascii="Arial" w:cs="Arial" w:eastAsia="Arial" w:hAnsi="Arial"/>
          <w:sz w:val="18"/>
          <w:szCs w:val="18"/>
          <w:color w:val="auto"/>
        </w:rPr>
        <w:t xml:space="preserve">In August 2018, the FASB issued ASU 2018-13 - </w:t>
      </w:r>
      <w:r>
        <w:rPr>
          <w:rFonts w:ascii="Arial" w:cs="Arial" w:eastAsia="Arial" w:hAnsi="Arial"/>
          <w:sz w:val="18"/>
          <w:szCs w:val="18"/>
          <w:i w:val="1"/>
          <w:iCs w:val="1"/>
          <w:color w:val="auto"/>
        </w:rPr>
        <w:t>Fair Value Measurement - Disclosure Framework (Topic 820).</w:t>
      </w:r>
      <w:r>
        <w:rPr>
          <w:rFonts w:ascii="Arial" w:cs="Arial" w:eastAsia="Arial" w:hAnsi="Arial"/>
          <w:sz w:val="18"/>
          <w:szCs w:val="18"/>
          <w:color w:val="auto"/>
        </w:rPr>
        <w:t xml:space="preserve"> The standard modifies the disclosure requirements for fair value measurements. The standard is effective for public companies for annual and interim periods beginning after December 15, 2019. The Company adopted the new guidance effective on January 1, 2020, which had an immaterial impact on the Company’s financial statement disclosures.</w:t>
      </w:r>
    </w:p>
    <w:p>
      <w:pPr>
        <w:spacing w:after="0" w:line="18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 xml:space="preserve">In August 2018, the FASB issued ASU 2018-15 - </w:t>
      </w:r>
      <w:r>
        <w:rPr>
          <w:rFonts w:ascii="Arial" w:cs="Arial" w:eastAsia="Arial" w:hAnsi="Arial"/>
          <w:sz w:val="17"/>
          <w:szCs w:val="17"/>
          <w:i w:val="1"/>
          <w:iCs w:val="1"/>
          <w:color w:val="auto"/>
        </w:rPr>
        <w:t>Customer's Accounting for Implementation Costs Incurred in a Cloud Computing Arrangement</w:t>
      </w:r>
      <w:r>
        <w:rPr>
          <w:rFonts w:ascii="Arial" w:cs="Arial" w:eastAsia="Arial" w:hAnsi="Arial"/>
          <w:sz w:val="17"/>
          <w:szCs w:val="17"/>
          <w:color w:val="auto"/>
        </w:rPr>
        <w:t xml:space="preserve"> </w:t>
      </w:r>
      <w:r>
        <w:rPr>
          <w:rFonts w:ascii="Arial" w:cs="Arial" w:eastAsia="Arial" w:hAnsi="Arial"/>
          <w:sz w:val="17"/>
          <w:szCs w:val="17"/>
          <w:i w:val="1"/>
          <w:iCs w:val="1"/>
          <w:color w:val="auto"/>
        </w:rPr>
        <w:t>that is a Service Contract</w:t>
      </w:r>
      <w:r>
        <w:rPr>
          <w:rFonts w:ascii="Arial" w:cs="Arial" w:eastAsia="Arial" w:hAnsi="Arial"/>
          <w:sz w:val="17"/>
          <w:szCs w:val="17"/>
          <w:color w:val="auto"/>
        </w:rPr>
        <w:t>. The standard requires implementation costs incurred by customers in cloud computing arrangements to be deferred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noncancelable term of the cloud computing arrangements plus any optional renewal periods (1) that are reasonably certain to be exercised by the customer or (2) for which exercise of the renewal option is controlled by the cloud service provider. The Company adopted the new guidance effective on January 1, 2020 which had an immaterial impact on its consolidated financial statements.</w:t>
      </w:r>
    </w:p>
    <w:p>
      <w:pPr>
        <w:spacing w:after="0" w:line="1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In November 2018, the FASB issued ASU 2018-18 - </w:t>
      </w:r>
      <w:r>
        <w:rPr>
          <w:rFonts w:ascii="Arial" w:cs="Arial" w:eastAsia="Arial" w:hAnsi="Arial"/>
          <w:sz w:val="18"/>
          <w:szCs w:val="18"/>
          <w:i w:val="1"/>
          <w:iCs w:val="1"/>
          <w:color w:val="auto"/>
        </w:rPr>
        <w:t>Collaborative Arrangements (Topic 808): Clarifying the Interaction Between Topic 808 and</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which, among other things, provides guidance on how to assess whether certain collaborative arrangement transactions should be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Topic 606. The Company adopted the new guidance effective on January 1, 2020 which had an immaterial impact on its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Statements</w:t>
      </w:r>
      <w:r>
        <w:rPr>
          <w:rFonts w:ascii="Arial" w:cs="Arial" w:eastAsia="Arial" w:hAnsi="Arial"/>
          <w:sz w:val="18"/>
          <w:szCs w:val="18"/>
          <w:color w:val="auto"/>
        </w:rPr>
        <w:t>.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for-sale debt securities to the amount by which carrying value exceeds fair value and also requires the reversal of previously recognized credit losses if fair value increases. In November 2019, the FASB issued ASU 2019-10 – </w:t>
      </w:r>
      <w:r>
        <w:rPr>
          <w:rFonts w:ascii="Arial" w:cs="Arial" w:eastAsia="Arial" w:hAnsi="Arial"/>
          <w:sz w:val="16"/>
          <w:szCs w:val="16"/>
          <w:i w:val="1"/>
          <w:iCs w:val="1"/>
          <w:color w:val="auto"/>
        </w:rPr>
        <w:t>Financial Instruments – Credit Losses (Topic 326), Derivatives and Hedging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815), and Leases (Topic 842): Effective Dates</w:t>
      </w:r>
      <w:r>
        <w:rPr>
          <w:rFonts w:ascii="Arial" w:cs="Arial" w:eastAsia="Arial" w:hAnsi="Arial"/>
          <w:sz w:val="16"/>
          <w:szCs w:val="16"/>
          <w:color w:val="auto"/>
        </w:rPr>
        <w:t>, which amended the effective date for certain companies. The standard is effective for public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to be smaller reporting companies for annual and interim periods beginning after December 15, 2022. Early adoption is available. The Company is currently evaluating the potential impact ASU 2016-13, and related updates, will have on its consolidated financial statements and disclosures.</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October 2020, the FASB issued an amendment, ASU 2020-08- </w:t>
      </w:r>
      <w:r>
        <w:rPr>
          <w:rFonts w:ascii="Arial" w:cs="Arial" w:eastAsia="Arial" w:hAnsi="Arial"/>
          <w:sz w:val="18"/>
          <w:szCs w:val="18"/>
          <w:i w:val="1"/>
          <w:iCs w:val="1"/>
          <w:color w:val="auto"/>
        </w:rPr>
        <w:t>Codification Improvements to Subtopic 310-20, Receivables – Nonrefundable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Costs, </w:t>
      </w:r>
      <w:r>
        <w:rPr>
          <w:rFonts w:ascii="Arial" w:cs="Arial" w:eastAsia="Arial" w:hAnsi="Arial"/>
          <w:sz w:val="18"/>
          <w:szCs w:val="18"/>
          <w:color w:val="auto"/>
        </w:rPr>
        <w:t>to the guidance in ASU 2017-08,</w:t>
      </w:r>
      <w:r>
        <w:rPr>
          <w:rFonts w:ascii="Arial" w:cs="Arial" w:eastAsia="Arial" w:hAnsi="Arial"/>
          <w:sz w:val="18"/>
          <w:szCs w:val="18"/>
          <w:i w:val="1"/>
          <w:iCs w:val="1"/>
          <w:color w:val="auto"/>
        </w:rPr>
        <w:t xml:space="preserve"> Receivables-Nonrefundable Fees and Other Costs (Subtopic 310-20): Premium Amortization on Purchased Callable Debt Securities. </w:t>
      </w:r>
      <w:r>
        <w:rPr>
          <w:rFonts w:ascii="Arial" w:cs="Arial" w:eastAsia="Arial" w:hAnsi="Arial"/>
          <w:sz w:val="18"/>
          <w:szCs w:val="18"/>
          <w:color w:val="auto"/>
        </w:rPr>
        <w:t>The amendment requires companies to reevaluate whether a callable debt security that has multiple call dates is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paragraph 310-20-65-2. The amendment shall be effective for fiscal years, and interim periods within those fiscal years, beginning after December 15, 2020. Early application is not permitted. The Company is currently evaluating the potential impact that ASU 2020-08 will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as of December 31, 2020 and 2019 and indicate the fair value hierarchy of the valuation techniques the Company utilized to determine such fair value, as described under Note 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184"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2020 and 2019, the Company has classified assets measured at fair value on a recurring basis as follows (in thousands):</w:t>
      </w:r>
    </w:p>
    <w:p>
      <w:pPr>
        <w:spacing w:after="0" w:line="3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Assets</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760" w:type="dxa"/>
            <w:vAlign w:val="bottom"/>
          </w:tcPr>
          <w:p>
            <w:pPr>
              <w:ind w:left="15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w w:val="93"/>
              </w:rPr>
              <w:t>U.S. government agency securities and treasuries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Assets</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760" w:type="dxa"/>
            <w:vAlign w:val="bottom"/>
          </w:tcPr>
          <w:p>
            <w:pPr>
              <w:ind w:left="15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Commercial paper (included in cash and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 (included in marketable</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Corporate debt securities (included in cash</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and cash equivalents)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U.S. government agency securities and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treasuries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December 31, 2020 and December 31, 2019 are carried at amounts that approximate fair value due to their short-term maturities. Finance lease obligations at December 31, 2020 and December 31, 2019 approximate fair value as they bear interest at a rate approximating a market interest rate.</w:t>
      </w:r>
    </w:p>
    <w:p>
      <w:pPr>
        <w:spacing w:after="0" w:line="288"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December 31, 2020 and 2019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Gross unrealized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20" w:type="dxa"/>
            <w:vAlign w:val="bottom"/>
          </w:tcPr>
          <w:p>
            <w:pPr>
              <w:spacing w:after="0"/>
              <w:rPr>
                <w:sz w:val="14"/>
                <w:szCs w:val="1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67,923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67,937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80" w:type="dxa"/>
            <w:vAlign w:val="bottom"/>
          </w:tcPr>
          <w:p>
            <w:pPr>
              <w:spacing w:after="0"/>
              <w:rPr>
                <w:sz w:val="24"/>
                <w:szCs w:val="24"/>
                <w:color w:val="auto"/>
              </w:rPr>
            </w:pPr>
          </w:p>
        </w:tc>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Gross unrealized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20" w:type="dxa"/>
            <w:vAlign w:val="bottom"/>
          </w:tcPr>
          <w:p>
            <w:pPr>
              <w:spacing w:after="0"/>
              <w:rPr>
                <w:sz w:val="24"/>
                <w:szCs w:val="2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100,777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100,889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contractual maturity of all securities held at December 31, 2020 was ten months or less. There were eight investments in an unrealized loss position at December 31, 2020, none of which had been in an unrealized loss position for more than twelve months. The aggregate fair value of the securities in an unrealized loss position at December 31, 2020 and 2019 was $20.1 million and $24.8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December 31, 2020.</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4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Prepaid research and development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prepaid expenses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7,523</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18,652</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(5,631)</w:t>
            </w:r>
          </w:p>
        </w:tc>
      </w:tr>
      <w:tr>
        <w:trPr>
          <w:trHeight w:val="223"/>
        </w:trPr>
        <w:tc>
          <w:tcPr>
            <w:tcW w:w="5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13,021</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on property and equipment was $2.6 million and $2.7 million in 2020 and 2019, respectively.</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common stock has the following characteristics:</w:t>
      </w:r>
    </w:p>
    <w:p>
      <w:pPr>
        <w:spacing w:after="0" w:line="117" w:lineRule="exact"/>
        <w:rPr>
          <w:rFonts w:ascii="Arial" w:cs="Arial" w:eastAsia="Arial" w:hAnsi="Arial"/>
          <w:sz w:val="18"/>
          <w:szCs w:val="18"/>
          <w:b w:val="1"/>
          <w:bCs w:val="1"/>
          <w:color w:val="auto"/>
        </w:rPr>
      </w:pPr>
    </w:p>
    <w:p>
      <w:pPr>
        <w:ind w:left="1000" w:hanging="493"/>
        <w:spacing w:after="0"/>
        <w:tabs>
          <w:tab w:leader="none" w:pos="10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holders of shares of common stock are entitled to one vote for each share of common stock held at all meetings of stockholders.</w:t>
      </w:r>
    </w:p>
    <w:p>
      <w:pPr>
        <w:spacing w:after="0" w:line="47" w:lineRule="exact"/>
        <w:rPr>
          <w:rFonts w:ascii="Arial" w:cs="Arial" w:eastAsia="Arial" w:hAnsi="Arial"/>
          <w:sz w:val="17"/>
          <w:szCs w:val="17"/>
          <w:color w:val="auto"/>
        </w:rPr>
      </w:pPr>
    </w:p>
    <w:p>
      <w:pPr>
        <w:ind w:left="1000" w:right="240" w:hanging="493"/>
        <w:spacing w:after="0" w:line="277"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holders of shares of common stock are entitled to receive dividends, if and when, declared by the Company’s board of directors. Since inception, no cash dividends have been declared.</w:t>
      </w:r>
    </w:p>
    <w:p>
      <w:pPr>
        <w:spacing w:after="0" w:line="17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June 2019, the Company issued to Ginkgo Bioworks (“Ginkgo”) 6,340,771 shares of common stock and accompanying Pre-Funded Warrants (the “Pre-Funded Warrants”) to purchase up to an aggregate of 2,548,117 shares of common stock, at a combined purchase price per share and Pre-Funded Warrant of $9.00. The Pre-Funded Warrants have an exercise price of $9.00 per share, with $8.99 of such exercise price paid at the closing of the offering. The proceeds, net of issuance costs, were approximately $79.9 million, $57.0 million related to the proceeds from sale of the common stock and $22.9 million related to the proceeds from sale of the Pre-Funded Warrants. 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In addition, in connection with the issuance to Ginkgo of common stock and Pre-Funded Warrants, the Company expanded its existing collaboration and entered into an agreement with Ginkgo for the research and development of engineered microbial therapeutic products. None of the Pre-Funded Warrants have been exercised as of December 31, 2020. (See Note 10).</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a sales agreement with Cowen and Company, LLC (“Cowen”) with respect to an at-the-market (“ATM”) offering program under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the Company may offer and sell, from time to time at its sole discretion, shares of its common stock having an aggregate offering price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$17.3 million, through Cowen as its sales agent. In an ATM offering, exchange-listed companies incrementally sell newly issued shares into the secondary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trading market through a designated broker-dealer at prevailing market prices. During the year ended December 31, 2020, 5,866,258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were sold pursuant to the ATM, resulting in net proceeds of approximately $13.5 million. Subsequent to December 31, 2020, the Company is 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and sell shares of its common stock having an aggregate offering price of up to $50.0 million.</w:t>
      </w:r>
    </w:p>
    <w:p>
      <w:pPr>
        <w:spacing w:after="0" w:line="21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80" w:type="dxa"/>
            <w:vAlign w:val="bottom"/>
            <w:tcBorders>
              <w:bottom w:val="single" w:sz="8" w:color="CFF0FC"/>
            </w:tcBorders>
          </w:tcPr>
          <w:p>
            <w:pPr>
              <w:spacing w:after="0"/>
              <w:rPr>
                <w:sz w:val="14"/>
                <w:szCs w:val="14"/>
                <w:color w:val="auto"/>
              </w:rPr>
            </w:pPr>
          </w:p>
        </w:tc>
        <w:tc>
          <w:tcPr>
            <w:tcW w:w="2620" w:type="dxa"/>
            <w:vAlign w:val="bottom"/>
            <w:tcBorders>
              <w:bottom w:val="single" w:sz="8" w:color="CFF0FC"/>
            </w:tcBorders>
          </w:tcPr>
          <w:p>
            <w:pPr>
              <w:spacing w:after="0"/>
              <w:rPr>
                <w:sz w:val="14"/>
                <w:szCs w:val="14"/>
                <w:color w:val="auto"/>
              </w:rPr>
            </w:pPr>
          </w:p>
        </w:tc>
        <w:tc>
          <w:tcPr>
            <w:tcW w:w="3200" w:type="dxa"/>
            <w:vAlign w:val="bottom"/>
            <w:tcBorders>
              <w:bottom w:val="single" w:sz="8" w:color="auto"/>
            </w:tcBorders>
          </w:tcPr>
          <w:p>
            <w:pPr>
              <w:jc w:val="right"/>
              <w:ind w:right="996"/>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2620" w:type="dxa"/>
            <w:vAlign w:val="bottom"/>
            <w:shd w:val="clear" w:color="auto" w:fill="CFF0FC"/>
          </w:tcPr>
          <w:p>
            <w:pPr>
              <w:spacing w:after="0"/>
              <w:rPr>
                <w:sz w:val="19"/>
                <w:szCs w:val="19"/>
                <w:color w:val="auto"/>
              </w:rPr>
            </w:pPr>
          </w:p>
        </w:tc>
        <w:tc>
          <w:tcPr>
            <w:tcW w:w="3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2,548,117</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5820" w:type="dxa"/>
            <w:vAlign w:val="bottom"/>
            <w:gridSpan w:val="2"/>
          </w:tcPr>
          <w:p>
            <w:pPr>
              <w:jc w:val="right"/>
              <w:ind w:right="36"/>
              <w:spacing w:after="0"/>
              <w:rPr>
                <w:sz w:val="20"/>
                <w:szCs w:val="20"/>
                <w:color w:val="auto"/>
              </w:rPr>
            </w:pPr>
            <w:r>
              <w:rPr>
                <w:rFonts w:ascii="Arial" w:cs="Arial" w:eastAsia="Arial" w:hAnsi="Arial"/>
                <w:sz w:val="18"/>
                <w:szCs w:val="18"/>
                <w:color w:val="auto"/>
              </w:rPr>
              <w:t>1,211,967</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58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345,662</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19"/>
                <w:szCs w:val="19"/>
                <w:color w:val="auto"/>
              </w:rPr>
            </w:pPr>
          </w:p>
        </w:tc>
        <w:tc>
          <w:tcPr>
            <w:tcW w:w="3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4,105,746</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820" w:type="dxa"/>
            <w:vAlign w:val="bottom"/>
            <w:gridSpan w:val="2"/>
          </w:tcPr>
          <w:p>
            <w:pPr>
              <w:jc w:val="right"/>
              <w:ind w:right="4796"/>
              <w:spacing w:after="0"/>
              <w:rPr>
                <w:sz w:val="20"/>
                <w:szCs w:val="20"/>
                <w:color w:val="auto"/>
              </w:rPr>
            </w:pPr>
            <w:r>
              <w:rPr>
                <w:rFonts w:ascii="Arial" w:cs="Arial" w:eastAsia="Arial" w:hAnsi="Arial"/>
                <w:sz w:val="18"/>
                <w:szCs w:val="18"/>
                <w:color w:val="auto"/>
              </w:rPr>
              <w:t>F-18</w:t>
            </w: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hanging="492"/>
        <w:spacing w:after="0" w:line="207" w:lineRule="exact"/>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currently has three active equity plans.</w:t>
      </w:r>
    </w:p>
    <w:p>
      <w:pPr>
        <w:spacing w:after="0" w:line="225" w:lineRule="exact"/>
        <w:rPr>
          <w:sz w:val="20"/>
          <w:szCs w:val="20"/>
          <w:color w:val="auto"/>
        </w:rPr>
      </w:pPr>
    </w:p>
    <w:p>
      <w:pPr>
        <w:ind w:right="60" w:firstLine="510"/>
        <w:spacing w:after="0" w:line="218" w:lineRule="exact"/>
        <w:rPr>
          <w:sz w:val="20"/>
          <w:szCs w:val="20"/>
          <w:color w:val="auto"/>
        </w:rPr>
      </w:pPr>
      <w:r>
        <w:rPr>
          <w:rFonts w:ascii="Arial" w:cs="Arial" w:eastAsia="Arial" w:hAnsi="Arial"/>
          <w:sz w:val="18"/>
          <w:szCs w:val="18"/>
          <w:color w:val="auto"/>
        </w:rPr>
        <w:t>The 2015 Equity Incentive Award Plan (“2015 Plan”) functions as the primary equity plan for the Company. The 2015 Plan includes an “evergreen provision” that allows for an annual increase in the number of shares of common stock available for issuance under the 2015 Plan, which annual increase will be added on the first day of each fiscal year from 2016 through 2025, inclusive, and will be equal to the lesser of (i) five percent of the shares outstanding on the last day of the immediately preceding fiscal year and (ii) such smaller number of shares as determined by the Board of Directors. The 2015 Plan provides for the granting of a variety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8"/>
          <w:szCs w:val="18"/>
          <w:color w:val="auto"/>
        </w:rPr>
        <w:t>‑</w:t>
      </w:r>
      <w:r>
        <w:rPr>
          <w:rFonts w:ascii="Arial" w:cs="Arial" w:eastAsia="Arial" w:hAnsi="Arial"/>
          <w:sz w:val="18"/>
          <w:szCs w:val="18"/>
          <w:color w:val="auto"/>
        </w:rPr>
        <w:t>based awards.</w:t>
      </w:r>
    </w:p>
    <w:p>
      <w:pPr>
        <w:spacing w:after="0" w:line="20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The 2017 Stock Incentive Plan (the “2017 Plan”) provides for the grant of incentive stock options, non-qualified stock options, restricted and unrestricted stock awards and other stock-based awards.</w:t>
      </w:r>
    </w:p>
    <w:p>
      <w:pPr>
        <w:spacing w:after="0" w:line="17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2015 Employee Stock Purchase Plan (“ESPP”)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2015 ESPP and approved an amendment to the ESPP to (i) reduce the permitted payroll deduction and number of shares of the Company’s common stock that a participant may purchase per calendar year and offering period under the ESPP and (ii) establish a period for enrollment for eligible participants. The reactivation of the 2015 ESPP was effective immediately. The Company’s executive officers are eligible to participate in the 2015 ESPP. There were 29,857 shares of common stock purchased under the ESPP during the year ended December 31, 2020.</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weighted average assumptions used in the Black-Scholes option-pricing model for stock options issued to employees and non-employees under the 2015 Plan and the 2017 Plan, during the years ended December 31, 2020 and 2019 were: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Employees:</w:t>
            </w:r>
          </w:p>
        </w:tc>
        <w:tc>
          <w:tcPr>
            <w:tcW w:w="2440" w:type="dxa"/>
            <w:vAlign w:val="bottom"/>
          </w:tcPr>
          <w:p>
            <w:pPr>
              <w:spacing w:after="0"/>
              <w:rPr>
                <w:sz w:val="14"/>
                <w:szCs w:val="14"/>
                <w:color w:val="auto"/>
              </w:rPr>
            </w:pPr>
          </w:p>
        </w:tc>
        <w:tc>
          <w:tcPr>
            <w:tcW w:w="272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244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w:t>
            </w:r>
          </w:p>
        </w:tc>
        <w:tc>
          <w:tcPr>
            <w:tcW w:w="24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6.2 years</w:t>
            </w:r>
          </w:p>
        </w:tc>
        <w:tc>
          <w:tcPr>
            <w:tcW w:w="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 years</w:t>
            </w:r>
          </w:p>
        </w:tc>
        <w:tc>
          <w:tcPr>
            <w:tcW w:w="80" w:type="dxa"/>
            <w:vAlign w:val="bottom"/>
            <w:tcBorders>
              <w:top w:val="single" w:sz="8" w:color="CFF0FC"/>
            </w:tcBorders>
            <w:shd w:val="clear" w:color="auto" w:fill="CFF0FC"/>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3660" w:type="dxa"/>
            <w:vAlign w:val="bottom"/>
            <w:gridSpan w:val="2"/>
          </w:tcPr>
          <w:p>
            <w:pPr>
              <w:jc w:val="center"/>
              <w:ind w:left="2310"/>
              <w:spacing w:after="0"/>
              <w:rPr>
                <w:sz w:val="20"/>
                <w:szCs w:val="20"/>
                <w:color w:val="auto"/>
              </w:rPr>
            </w:pPr>
            <w:r>
              <w:rPr>
                <w:rFonts w:ascii="Arial" w:cs="Arial" w:eastAsia="Arial" w:hAnsi="Arial"/>
                <w:sz w:val="18"/>
                <w:szCs w:val="18"/>
                <w:color w:val="auto"/>
                <w:w w:val="92"/>
              </w:rPr>
              <w:t>0.6%</w:t>
            </w:r>
          </w:p>
        </w:tc>
        <w:tc>
          <w:tcPr>
            <w:tcW w:w="2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60" w:type="dxa"/>
            <w:vAlign w:val="bottom"/>
            <w:gridSpan w:val="2"/>
            <w:shd w:val="clear" w:color="auto" w:fill="CFF0FC"/>
          </w:tcPr>
          <w:p>
            <w:pPr>
              <w:jc w:val="center"/>
              <w:ind w:left="2310"/>
              <w:spacing w:after="0"/>
              <w:rPr>
                <w:sz w:val="20"/>
                <w:szCs w:val="20"/>
                <w:color w:val="auto"/>
              </w:rPr>
            </w:pPr>
            <w:r>
              <w:rPr>
                <w:rFonts w:ascii="Arial" w:cs="Arial" w:eastAsia="Arial" w:hAnsi="Arial"/>
                <w:sz w:val="18"/>
                <w:szCs w:val="18"/>
                <w:color w:val="auto"/>
                <w:w w:val="90"/>
              </w:rPr>
              <w:t>77.2%</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71.1%</w:t>
            </w:r>
          </w:p>
        </w:tc>
        <w:tc>
          <w:tcPr>
            <w:tcW w:w="80" w:type="dxa"/>
            <w:vAlign w:val="bottom"/>
            <w:shd w:val="clear" w:color="auto" w:fill="CFF0FC"/>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244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60" w:type="dxa"/>
            <w:vAlign w:val="bottom"/>
            <w:gridSpan w:val="3"/>
          </w:tcPr>
          <w:p>
            <w:pPr>
              <w:ind w:left="720"/>
              <w:spacing w:after="0"/>
              <w:rPr>
                <w:sz w:val="20"/>
                <w:szCs w:val="20"/>
                <w:color w:val="auto"/>
              </w:rPr>
            </w:pPr>
            <w:r>
              <w:rPr>
                <w:rFonts w:ascii="Arial" w:cs="Arial" w:eastAsia="Arial" w:hAnsi="Arial"/>
                <w:sz w:val="18"/>
                <w:szCs w:val="18"/>
                <w:color w:val="auto"/>
              </w:rPr>
              <w:t>F-19</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2015 and 2017 Plans.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5"/>
              </w:rPr>
              <w:t>Stock options outstanding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term</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2,286,419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1,627,654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(9,472)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Cancelled/Forfeited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(560,765)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3,343,836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December 31, 2020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3,343,836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920" w:type="dxa"/>
            <w:vAlign w:val="bottom"/>
          </w:tcPr>
          <w:p>
            <w:pPr>
              <w:jc w:val="right"/>
              <w:spacing w:after="0"/>
              <w:rPr>
                <w:sz w:val="20"/>
                <w:szCs w:val="20"/>
                <w:color w:val="auto"/>
              </w:rPr>
            </w:pPr>
            <w:r>
              <w:rPr>
                <w:rFonts w:ascii="Arial" w:cs="Arial" w:eastAsia="Arial" w:hAnsi="Arial"/>
                <w:sz w:val="18"/>
                <w:szCs w:val="18"/>
                <w:color w:val="auto"/>
              </w:rPr>
              <w:t>1,399,952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500" w:right="140" w:hanging="492"/>
        <w:spacing w:after="0" w:line="235" w:lineRule="auto"/>
        <w:tabs>
          <w:tab w:leader="none" w:pos="500" w:val="left"/>
        </w:tabs>
        <w:numPr>
          <w:ilvl w:val="0"/>
          <w:numId w:val="56"/>
        </w:numPr>
        <w:rPr>
          <w:rFonts w:ascii="Arial" w:cs="Arial" w:eastAsia="Arial" w:hAnsi="Arial"/>
          <w:sz w:val="23"/>
          <w:szCs w:val="23"/>
          <w:color w:val="auto"/>
          <w:vertAlign w:val="superscript"/>
        </w:rPr>
      </w:pPr>
      <w:r>
        <w:rPr>
          <w:rFonts w:ascii="Arial" w:cs="Arial" w:eastAsia="Arial" w:hAnsi="Arial"/>
          <w:sz w:val="14"/>
          <w:szCs w:val="14"/>
          <w:color w:val="auto"/>
        </w:rPr>
        <w:t>The aggregate intrinsic value is calculated as the difference between the exercise price of the options and the fair market value of the underlying common stock for the options that were in the money at December 31, 2020 and 2019. 970,826 and 132,500 options were in the money at December 31, 2020 and 2019, respectively</w:t>
      </w:r>
      <w:r>
        <w:rPr>
          <w:rFonts w:ascii="Arial" w:cs="Arial" w:eastAsia="Arial" w:hAnsi="Arial"/>
          <w:sz w:val="15"/>
          <w:szCs w:val="15"/>
          <w:color w:val="auto"/>
        </w:rPr>
        <w:t>.</w:t>
      </w:r>
    </w:p>
    <w:p>
      <w:pPr>
        <w:spacing w:after="0" w:line="202"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2020 and 2019 was approximately $1.27 and $4.59, respectively. The total fair value of awards that vested during the years ended December 31, 2020 and 2019 was $3.4 million and $3.9 million, respectively.</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December 31, 2020, there was approximately $4.3 million of unrecognized share-based compensation for unvested stock option grants which is expected to be recognized over a weighted average period of 2.1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years ended December 31, 2020 and 2019, 226,335 and 585,600 shares of restricted common stock were granted, respectively.</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common stock activity:</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80" w:type="dxa"/>
            <w:vAlign w:val="bottom"/>
            <w:gridSpan w:val="6"/>
          </w:tcPr>
          <w:p>
            <w:pPr>
              <w:ind w:left="460"/>
              <w:spacing w:after="0"/>
              <w:rPr>
                <w:sz w:val="20"/>
                <w:szCs w:val="20"/>
                <w:color w:val="auto"/>
              </w:rPr>
            </w:pPr>
            <w:r>
              <w:rPr>
                <w:rFonts w:ascii="Arial" w:cs="Arial" w:eastAsia="Arial" w:hAnsi="Arial"/>
                <w:sz w:val="14"/>
                <w:szCs w:val="14"/>
                <w:b w:val="1"/>
                <w:bCs w:val="1"/>
                <w:color w:val="auto"/>
              </w:rPr>
              <w:t>Restricted stock awards</w:t>
            </w:r>
          </w:p>
        </w:tc>
      </w:tr>
      <w:tr>
        <w:trPr>
          <w:trHeight w:val="133"/>
        </w:trPr>
        <w:tc>
          <w:tcPr>
            <w:tcW w:w="53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r>
      <w:tr>
        <w:trPr>
          <w:trHeight w:val="148"/>
        </w:trPr>
        <w:tc>
          <w:tcPr>
            <w:tcW w:w="5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62"/>
        </w:trPr>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grant date</w:t>
            </w:r>
          </w:p>
        </w:tc>
      </w:tr>
      <w:tr>
        <w:trPr>
          <w:trHeight w:val="162"/>
        </w:trPr>
        <w:tc>
          <w:tcPr>
            <w:tcW w:w="53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fair value</w:t>
            </w:r>
          </w:p>
        </w:tc>
      </w:tr>
      <w:tr>
        <w:trPr>
          <w:trHeight w:val="171"/>
        </w:trPr>
        <w:tc>
          <w:tcPr>
            <w:tcW w:w="53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 share)</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586,929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226,335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(119,594)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(215,463)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total fair value of shares that vested during the years ended December 31, 2020 and 2019 was $0.3 million and $0.1 million, respectively.</w:t>
      </w:r>
    </w:p>
    <w:p>
      <w:pPr>
        <w:spacing w:after="0" w:line="23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As of December 31, 2020, there was approximately $0.4 million of unrecognized share-based compensation related to restricted stock awards granted, which is expected to be recognized over a weighted average period of 2.1 years. The total unrecognized share-based compensation cost will be adjusted for actual forfeitures as they occur.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ESPP is considered a compensatory plan with the related compensation expense recognized over the six-month offering periods. The compensation expense for the year ended December 31, 2020 was $27,000. There was no compensation expense related to the ESPP for the year ended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140" w:firstLine="510"/>
        <w:spacing w:after="0" w:line="221" w:lineRule="exact"/>
        <w:rPr>
          <w:sz w:val="20"/>
          <w:szCs w:val="20"/>
          <w:color w:val="auto"/>
        </w:rPr>
      </w:pPr>
      <w:r>
        <w:rPr>
          <w:rFonts w:ascii="Arial" w:cs="Arial" w:eastAsia="Arial" w:hAnsi="Arial"/>
          <w:sz w:val="16"/>
          <w:szCs w:val="16"/>
          <w:color w:val="auto"/>
        </w:rPr>
        <w:t>The Company has recorded total equity</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$3.9 million and $4.1 million, during the years ended December 31, 2020 and 2019, respectively. Equity compensation during the year ended December 31, 2020 is derived from stock options, restricted stock awards, and the ESPP. Equity compensation during the year ended December 31, 2019 is derived from stock options and restricted stock awards.</w:t>
      </w:r>
    </w:p>
    <w:p>
      <w:pPr>
        <w:spacing w:after="0" w:line="204" w:lineRule="exact"/>
        <w:rPr>
          <w:sz w:val="20"/>
          <w:szCs w:val="20"/>
          <w:color w:val="auto"/>
        </w:rPr>
      </w:pPr>
    </w:p>
    <w:p>
      <w:pPr>
        <w:ind w:right="10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years ended December 31, 2020 and 2019 (in thousands):</w:t>
      </w:r>
    </w:p>
    <w:p>
      <w:pPr>
        <w:spacing w:after="0" w:line="27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366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1,724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2,183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Borders>
              <w:bottom w:val="single" w:sz="8" w:color="CFF0FC"/>
            </w:tcBorders>
          </w:tcPr>
          <w:p>
            <w:pPr>
              <w:spacing w:after="0"/>
              <w:rPr>
                <w:sz w:val="19"/>
                <w:szCs w:val="19"/>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3,907</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years ended December 31, 2020 and 2019 (in thousands):</w:t>
      </w:r>
    </w:p>
    <w:p>
      <w:pPr>
        <w:spacing w:after="0" w:line="27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500" w:type="dxa"/>
            <w:vAlign w:val="bottom"/>
            <w:gridSpan w:val="7"/>
          </w:tcPr>
          <w:p>
            <w:pPr>
              <w:ind w:left="40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53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3,200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2017, the Company established a technology collaboration with Ginkgo. In June 2019, in connection with the issuance to Ginkgo of an aggregate of 6,340,771 shares of common stock and Pre-Funded Warrants to purchase an aggregate of 2,548,117 common stock (See Note 8),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December 31, 2020 consolidated balance sheet. At December 31, 2020, the Company had remaining balances of $4.7 million and $8.9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Agreement</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July 2015, the Company entered into the AbbVie Agreements under which the Company granted AbbVie an exclusive option to purchase IBDCo and, in exchange, agreed to collaborate in researching and developing an Investigational New Drug (“IND”) candidate for the treatment of IBD. The AbbVie Agreements set forth the Company’s and AbbVie’s respective obligations for development and delivery of an IND candidate package using reasonable commercial efforts.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140" w:firstLine="510"/>
        <w:spacing w:after="0" w:line="301" w:lineRule="auto"/>
        <w:rPr>
          <w:sz w:val="20"/>
          <w:szCs w:val="20"/>
          <w:color w:val="auto"/>
        </w:rPr>
      </w:pPr>
      <w:r>
        <w:rPr>
          <w:rFonts w:ascii="Arial" w:cs="Arial" w:eastAsia="Arial" w:hAnsi="Arial"/>
          <w:sz w:val="16"/>
          <w:szCs w:val="16"/>
          <w:color w:val="auto"/>
        </w:rPr>
        <w:t>In May 2020, we announced the termination of our collaboration with AbbVie to develop Synthetic Biotic medicines for the treatment of types of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15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Revenue associated with performance obligations under the AbbVie Agreements was recognized as the research and development services were provided using an input method, according to the full-time equivalents incurred. The research and development activities were expected to be performed over a period of approximately 54 months. The transfer of control occurred over time and, in management’s judgment, was the best measure of progress towards satisfying the performance obligation. The amounts received that had not yet been recognized as revenue were recorded in deferred revenue on the Company’s consolidated balance sheet.</w:t>
      </w:r>
    </w:p>
    <w:p>
      <w:pPr>
        <w:spacing w:after="0" w:line="188" w:lineRule="exact"/>
        <w:rPr>
          <w:sz w:val="20"/>
          <w:szCs w:val="20"/>
          <w:color w:val="auto"/>
        </w:rPr>
      </w:pPr>
    </w:p>
    <w:p>
      <w:pPr>
        <w:jc w:val="both"/>
        <w:ind w:right="80" w:firstLine="510"/>
        <w:spacing w:after="0" w:line="286" w:lineRule="auto"/>
        <w:rPr>
          <w:sz w:val="20"/>
          <w:szCs w:val="20"/>
          <w:color w:val="auto"/>
        </w:rPr>
      </w:pPr>
      <w:r>
        <w:rPr>
          <w:rFonts w:ascii="Arial" w:cs="Arial" w:eastAsia="Arial" w:hAnsi="Arial"/>
          <w:sz w:val="17"/>
          <w:szCs w:val="17"/>
          <w:color w:val="auto"/>
        </w:rPr>
        <w:t>For the years ended December 31, 2020 and 2019, the Company recognized $0.5 million and $2.2 million, respectively, as collaboration revenue in the Company’s consolidated statements of operations and comprehensive loss. There is no deferred revenue on the Company’s consolidated balance sheet as of December 31, 2020, as the remainder of the revenue was recognized when the agreement was terminated.</w:t>
      </w:r>
    </w:p>
    <w:p>
      <w:pPr>
        <w:spacing w:after="0" w:line="350"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computation of basic and diluted net loss per share (in thousands, except for share and per share amounts):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54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(59,173)</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(51,373)</w:t>
            </w: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7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6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7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35,835,744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30,284,068</w:t>
            </w:r>
          </w:p>
        </w:tc>
        <w:tc>
          <w:tcPr>
            <w:tcW w:w="100" w:type="dxa"/>
            <w:vAlign w:val="bottom"/>
            <w:tcBorders>
              <w:bottom w:val="single" w:sz="8" w:color="CFF0FC"/>
            </w:tcBorders>
          </w:tcPr>
          <w:p>
            <w:pPr>
              <w:spacing w:after="0"/>
              <w:rPr>
                <w:sz w:val="23"/>
                <w:szCs w:val="23"/>
                <w:color w:val="auto"/>
              </w:rPr>
            </w:pPr>
          </w:p>
        </w:tc>
      </w:tr>
      <w:tr>
        <w:trPr>
          <w:trHeight w:val="21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84"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80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618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478,207</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586,929</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3,343,836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2,286,419</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Potential shares issuable under the ESPP</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12,037</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During the years ended December 31, 2020 and 2019, the Company recorded no income tax benefits for the net operating losses incurred due to its uncertainty of reclaiming a benefit for those losses.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consist of the following (in thousands):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8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0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61,181</w:t>
            </w:r>
          </w:p>
        </w:tc>
        <w:tc>
          <w:tcPr>
            <w:tcW w:w="14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46,362</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Equity compensation</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Amortizable intangibles</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deferred tax assets</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60,270</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(1,720)</w:t>
            </w: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(4,716)</w:t>
            </w:r>
          </w:p>
        </w:tc>
      </w:tr>
      <w:tr>
        <w:trPr>
          <w:trHeight w:val="223"/>
        </w:trPr>
        <w:tc>
          <w:tcPr>
            <w:tcW w:w="43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deferred tax liabilities</w:t>
            </w:r>
          </w:p>
        </w:tc>
        <w:tc>
          <w:tcPr>
            <w:tcW w:w="17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(72,791)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(53,834)</w:t>
            </w:r>
          </w:p>
        </w:tc>
      </w:tr>
      <w:tr>
        <w:trPr>
          <w:trHeight w:val="223"/>
        </w:trPr>
        <w:tc>
          <w:tcPr>
            <w:tcW w:w="43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deferred tax assets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$72.8 million and $53.8 million was established at December 31, 2020 and 2019,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statutory federal income tax rate to the Company’s effective income tax rate is as follows (dollars in thousands):</w:t>
      </w:r>
    </w:p>
    <w:p>
      <w:pPr>
        <w:spacing w:after="0" w:line="244"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b w:val="1"/>
                <w:bCs w:val="1"/>
                <w:color w:val="auto"/>
                <w:w w:val="95"/>
              </w:rPr>
              <w:t>Tax Rate</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Tax Rate</w:t>
            </w:r>
          </w:p>
        </w:tc>
        <w:tc>
          <w:tcPr>
            <w:tcW w:w="24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30"/>
        </w:trPr>
        <w:tc>
          <w:tcPr>
            <w:tcW w:w="6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686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30"/>
        </w:trPr>
        <w:tc>
          <w:tcPr>
            <w:tcW w:w="6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items</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Net change in valuation allowance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(32)%</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the valuation allowance for the years ended December 31, 2020 and 2019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8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83"/>
              </w:rPr>
              <w:t>(53,834)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0"/>
              </w:rPr>
              <w:t>(40,290)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(18,957)</w:t>
            </w:r>
          </w:p>
        </w:tc>
        <w:tc>
          <w:tcPr>
            <w:tcW w:w="280" w:type="dxa"/>
            <w:vAlign w:val="bottom"/>
          </w:tcPr>
          <w:p>
            <w:pPr>
              <w:spacing w:after="0"/>
              <w:rPr>
                <w:sz w:val="19"/>
                <w:szCs w:val="19"/>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w w:val="95"/>
              </w:rPr>
              <w:t>(13,544)</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28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3"/>
              </w:rPr>
              <w:t>(72,791)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0"/>
              </w:rPr>
              <w:t>(53,834)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20" w:type="dxa"/>
            <w:vAlign w:val="bottom"/>
            <w:gridSpan w:val="2"/>
          </w:tcPr>
          <w:p>
            <w:pPr>
              <w:jc w:val="right"/>
              <w:ind w:right="1687"/>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of December 31, 2020 and 2019, the Company had federal net operating loss carryforwards that may be available to reduce future taxable income of approximately $227.0 million and $172.9 million, respectively. Of the $227.0 million of federal net operating loss carryforwards, $79.4 million begin to expire in 2034. The remaining $147.6 of federal net operating loss carryforwards do not expire. The Company also had state net operating loss carryforwards that may be available to reduce future taxable income of approximately $213.6 million and $159.0 million, for the periods ended December 31, 2020 and 2019, respectively. The state net operating loss carryforwards begin to expire in 2029. In addition, at December 31, 2020, the Company had federal and state research and development tax credit carryforwards available to reduce future tax liabilities of approximately $3.5 million and $2.3 million, respectively.</w:t>
      </w:r>
    </w:p>
    <w:p>
      <w:pPr>
        <w:spacing w:after="0" w:line="19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respectively. The Company has not completed a study to assess whether an ownership change has occurred, or whether there have been multiple ownership changes since its formation, due to the significant complexity and related costs associated with such a study. There could be additional ownership changes in the future that may result in additional limitations on the utilization of NOL carryforwards and credits.</w:t>
      </w:r>
    </w:p>
    <w:p>
      <w:pPr>
        <w:spacing w:after="0" w:line="178"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Company is required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2020.</w:t>
      </w:r>
    </w:p>
    <w:p>
      <w:pPr>
        <w:spacing w:after="0" w:line="188" w:lineRule="exact"/>
        <w:rPr>
          <w:sz w:val="20"/>
          <w:szCs w:val="20"/>
          <w:color w:val="auto"/>
        </w:rPr>
      </w:pPr>
    </w:p>
    <w:p>
      <w:pPr>
        <w:jc w:val="both"/>
        <w:ind w:right="160" w:firstLine="510"/>
        <w:spacing w:after="0" w:line="279" w:lineRule="auto"/>
        <w:rPr>
          <w:sz w:val="20"/>
          <w:szCs w:val="20"/>
          <w:color w:val="auto"/>
        </w:rPr>
      </w:pPr>
      <w:r>
        <w:rPr>
          <w:rFonts w:ascii="Arial" w:cs="Arial" w:eastAsia="Arial" w:hAnsi="Arial"/>
          <w:sz w:val="17"/>
          <w:szCs w:val="17"/>
          <w:color w:val="auto"/>
        </w:rPr>
        <w:t>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2016 to the present are open to examination under the statute. The Company’s policy is to record interest and penalties related to income taxes as part of the tax provision. There are no interest or penalties accrued at December 31, 2020 and 2019.</w:t>
      </w:r>
    </w:p>
    <w:p>
      <w:pPr>
        <w:spacing w:after="0" w:line="316"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In July 2017, the Company entered into an agreement to lease approximately 41,346 square feet of laboratory and office space at 301 Binney Street in Cambridge, Massachusetts. Annual rent is approximately $3.3 million. The ten-year lease commenced in January 2018 and contains provisions for a free-rent period, annual rent increases and an allowance for tenant improvements. The Company is responsible for real estate taxes, maintenance, and other operating expenses applicable to the leased premises. The Company has paid for tenant improvements of approximately $2.9 million. Additionally, the Company has capitalized approximately $6.6 million of landlord-funded tenant improvements. The Company was deemed to be the accounting owner of the tenant improvements primarily because it was responsible for project cost overruns, and as such, the amounts were recorded as a leasehold improvement. The landlord-funded tenant improvement allowance is being amortized as a reduction to lease expense ratably over the lease term. In conjunction with the lease, the Company established a letter of credit of approximately $1.0 million secured by cash balances included in restricted cash. Variable payments based on our portion of the operating expenses, including real estate taxes and insurance, are recorded as a period expense when incurred. The Company has an option to extend the term by five years and an option to terminate the agreement if a similar agreement is executed with the landlord or an affiliate of the landlord. Neither option is reasonably certain of exercise and both are excluded from the lease liability calculation.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During the year ended December 31, 2018, the Company entered into an agreement with Azzur Group, LLC (“Azzur”) whereby Azzur agreed to provide the Company with access to, and the use of, an approximately 700 square foot cleanroom space to be constructed in Waltham, Massachusetts (the “Azzur Suite”), for a period of 44 months, from May 1, 2019 to December 31, 2022 (the “Term”). Azzur also agreed to provide the Company with storage space and personnel support at the Azzur Suite. The total estimated expenses to be incurred by the Company during the Term for access to, and use of, the cleanroom and storage space, and the personnel support and other services, is $4.8 million. The Company determined that the agreement contained an embedded lease because the Company controls the use of the Azzur Suite. Accordingly, the fixed and in-substance fixed consideration under the agreement was used to determine the ROU asset and lease liability at the lease commencement date.</w:t>
      </w:r>
    </w:p>
    <w:p>
      <w:pPr>
        <w:spacing w:after="0" w:line="177"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Leases classified as operating leases are included in operating lease ROU assets, current operating lease liabilities and noncurrent operating lease liabilities in our consolidated balance sheets. The operating lease right-of-use asset and operating lease liability represents the Binney Street lease and the Azzur Suite lease. Cash paid for amounts included in the present value of operating lease liabilities was $3.9 and $3.7 million during the years ended December 31, 2020 and 2019, respectively, which is included in operating cash flows.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 for operating leases for the years ended December 31, 2020 and 2019 were (in thousands):</w:t>
      </w: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15"/>
        </w:trPr>
        <w:tc>
          <w:tcPr>
            <w:tcW w:w="2420" w:type="dxa"/>
            <w:vAlign w:val="bottom"/>
            <w:tcBorders>
              <w:bottom w:val="single" w:sz="8" w:color="CFF0FC"/>
            </w:tcBorders>
            <w:vMerge w:val="continue"/>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Short-term lease cost</w:t>
            </w:r>
          </w:p>
        </w:tc>
        <w:tc>
          <w:tcPr>
            <w:tcW w:w="12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9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Total lease cost</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right-of-use asset for the operating lease is disclosed on the consolidated balance sheets.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lease term and the weighted average discount rate for operating leases were: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For the year ended December 31,</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4"/>
        </w:trPr>
        <w:tc>
          <w:tcPr>
            <w:tcW w:w="6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jc w:val="right"/>
              <w:ind w:right="81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8"/>
                <w:szCs w:val="18"/>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20" w:type="dxa"/>
            <w:vAlign w:val="bottom"/>
            <w:tcBorders>
              <w:top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table reconciles the undiscounted cash flows for the operating leases at December 31, 2020 to the operating lease liabilities recorded on the balance sheet: December 31, 2020</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60" w:type="dxa"/>
            <w:vAlign w:val="bottom"/>
          </w:tcPr>
          <w:p>
            <w:pPr>
              <w:spacing w:after="0"/>
              <w:rPr>
                <w:sz w:val="20"/>
                <w:szCs w:val="20"/>
                <w:color w:val="auto"/>
              </w:rPr>
            </w:pPr>
            <w:r>
              <w:rPr>
                <w:rFonts w:ascii="Arial" w:cs="Arial" w:eastAsia="Arial" w:hAnsi="Arial"/>
                <w:sz w:val="14"/>
                <w:szCs w:val="14"/>
                <w:b w:val="1"/>
                <w:bCs w:val="1"/>
                <w:color w:val="auto"/>
              </w:rPr>
              <w:t>Maturity of lease liabilities</w:t>
            </w:r>
          </w:p>
        </w:tc>
        <w:tc>
          <w:tcPr>
            <w:tcW w:w="600" w:type="dxa"/>
            <w:vAlign w:val="bottom"/>
          </w:tcPr>
          <w:p>
            <w:pPr>
              <w:spacing w:after="0"/>
              <w:rPr>
                <w:sz w:val="14"/>
                <w:szCs w:val="14"/>
                <w:color w:val="auto"/>
              </w:rPr>
            </w:pPr>
          </w:p>
        </w:tc>
        <w:tc>
          <w:tcPr>
            <w:tcW w:w="2840" w:type="dxa"/>
            <w:vAlign w:val="bottom"/>
            <w:gridSpan w:val="2"/>
          </w:tcPr>
          <w:p>
            <w:pPr>
              <w:ind w:left="520"/>
              <w:spacing w:after="0"/>
              <w:rPr>
                <w:sz w:val="20"/>
                <w:szCs w:val="20"/>
                <w:color w:val="auto"/>
              </w:rPr>
            </w:pPr>
            <w:r>
              <w:rPr>
                <w:rFonts w:ascii="Arial" w:cs="Arial" w:eastAsia="Arial" w:hAnsi="Arial"/>
                <w:sz w:val="14"/>
                <w:szCs w:val="14"/>
                <w:b w:val="1"/>
                <w:bCs w:val="1"/>
                <w:color w:val="auto"/>
              </w:rPr>
              <w:t>Operating Leases</w:t>
            </w:r>
          </w:p>
        </w:tc>
      </w:tr>
      <w:tr>
        <w:trPr>
          <w:trHeight w:val="155"/>
        </w:trPr>
        <w:tc>
          <w:tcPr>
            <w:tcW w:w="666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720" w:type="dxa"/>
            <w:vAlign w:val="bottom"/>
            <w:tcBorders>
              <w:top w:val="single" w:sz="8" w:color="auto"/>
              <w:bottom w:val="single" w:sz="8" w:color="auto"/>
            </w:tcBorders>
          </w:tcPr>
          <w:p>
            <w:pPr>
              <w:jc w:val="right"/>
              <w:ind w:right="1133"/>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4,389</w:t>
            </w:r>
          </w:p>
        </w:tc>
        <w:tc>
          <w:tcPr>
            <w:tcW w:w="12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12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30,267</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12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liabilities</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22,804</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Current lease liabilities</w:t>
            </w:r>
          </w:p>
        </w:tc>
        <w:tc>
          <w:tcPr>
            <w:tcW w:w="6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20,273</w:t>
            </w:r>
          </w:p>
        </w:tc>
        <w:tc>
          <w:tcPr>
            <w:tcW w:w="12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lease cost for finance leases during the years ended December 31, 2020 and 2019, and the finance lease liability at December 31, 2020, were not material.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91"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has a defined contribution 401(k) plan for eligible employees. Employees are eligible to participate in the plan beginning on their date of hire. Under the terms of the plan, employees may make voluntary contributions as a percentage of compensation. The Company started to match employee contributions effective January 1, 2019. The Company matched 50% of the employee contributions to the 401(k) plan up to a maximum of 4% of the participating employee’s eligible earnings, resulting in a maximum company match of 2% of the participating employee’s eligible earnings, and subject to certain additional statutory dollar limitations.</w:t>
      </w:r>
    </w:p>
    <w:p>
      <w:pPr>
        <w:spacing w:after="0" w:line="292"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 xml:space="preserve">In June 2019, the Company expanded its collaboration and entered into an agreement with Ginkgo for the research and development of engineered microbial therapeutic products. As of December 31, 2020, Ginkgo owns 6,340,771 shares of the Company’s outstanding common stock. See Note 10, </w:t>
      </w:r>
      <w:r>
        <w:rPr>
          <w:rFonts w:ascii="Arial" w:cs="Arial" w:eastAsia="Arial" w:hAnsi="Arial"/>
          <w:sz w:val="18"/>
          <w:szCs w:val="18"/>
          <w:i w:val="1"/>
          <w:iCs w:val="1"/>
          <w:color w:val="auto"/>
        </w:rPr>
        <w:t>Ginkgo Collaboration</w:t>
      </w:r>
      <w:r>
        <w:rPr>
          <w:rFonts w:ascii="Arial" w:cs="Arial" w:eastAsia="Arial" w:hAnsi="Arial"/>
          <w:sz w:val="18"/>
          <w:szCs w:val="18"/>
          <w:color w:val="auto"/>
        </w:rPr>
        <w:t>.</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December 31, 2020, the Company had remaining balances of $4.7 million and $8.9 million of current and non-current pre-paid research and development costs related to this transaction, respectively. For the year ended December 31, 2020, the Company used $13.6 million of the pre-paid research and development expenses.</w:t>
      </w:r>
    </w:p>
    <w:p>
      <w:pPr>
        <w:spacing w:after="0" w:line="304"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Data (Unaudited)</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following tables contain quarterly financial information for 2020 and 2019 (in thousands).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2020 Quarter Ended</w:t>
            </w: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3"/>
                <w:szCs w:val="13"/>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14,694</w:t>
            </w:r>
          </w:p>
        </w:tc>
        <w:tc>
          <w:tcPr>
            <w:tcW w:w="8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(16,398)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(15,937)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(13,437)</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(14,694)</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(15,828)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(15,535)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(13,222)</w:t>
            </w: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(14,588)</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(0.46)</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(0.39)</w:t>
            </w:r>
          </w:p>
        </w:tc>
      </w:tr>
      <w:tr>
        <w:trPr>
          <w:trHeight w:val="391"/>
        </w:trPr>
        <w:tc>
          <w:tcPr>
            <w:tcW w:w="3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2019 Quarter Ended</w:t>
            </w: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3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3"/>
                <w:szCs w:val="13"/>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14,710</w:t>
            </w:r>
          </w:p>
        </w:tc>
        <w:tc>
          <w:tcPr>
            <w:tcW w:w="8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(13,697)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(13,095)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(14,138)</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(13,479)</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(12,946)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(12,344)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(13,285)</w:t>
            </w: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(12,798)</w:t>
            </w: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(0.51)</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(0.37)</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Note: Four quarters may not sum to full year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Synlogic,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Binney Street, Suite 402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17,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Richard Riese</w:t>
      </w:r>
    </w:p>
    <w:p>
      <w:pPr>
        <w:spacing w:after="0" w:line="200" w:lineRule="exact"/>
        <w:rPr>
          <w:sz w:val="20"/>
          <w:szCs w:val="20"/>
          <w:color w:val="auto"/>
        </w:rPr>
      </w:pPr>
    </w:p>
    <w:p>
      <w:pPr>
        <w:spacing w:after="0" w:line="241"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18"/>
          <w:szCs w:val="18"/>
          <w:i w:val="1"/>
          <w:iCs w:val="1"/>
          <w:color w:val="auto"/>
        </w:rPr>
        <w:t>Re:</w:t>
      </w:r>
      <w:r>
        <w:rPr>
          <w:sz w:val="20"/>
          <w:szCs w:val="20"/>
          <w:color w:val="auto"/>
        </w:rPr>
        <w:tab/>
      </w:r>
      <w:r>
        <w:rPr>
          <w:rFonts w:ascii="Arial" w:cs="Arial" w:eastAsia="Arial" w:hAnsi="Arial"/>
          <w:sz w:val="18"/>
          <w:szCs w:val="18"/>
          <w:i w:val="1"/>
          <w:iCs w:val="1"/>
          <w:color w:val="auto"/>
        </w:rPr>
        <w:t>Employment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 am pleased to provide you with the terms and conditions of your employment by Synlogic, Inc. a Delaware corporation, Inc. (hereinafter referred to collectively with its subsidiaries as the “Company”). This offer is contingent on the receipt of satisfactory professional references by Russell Reynolds.</w:t>
      </w:r>
    </w:p>
    <w:p>
      <w:pPr>
        <w:spacing w:after="0" w:line="146" w:lineRule="exact"/>
        <w:rPr>
          <w:sz w:val="20"/>
          <w:szCs w:val="20"/>
          <w:color w:val="auto"/>
        </w:rPr>
      </w:pPr>
    </w:p>
    <w:p>
      <w:pPr>
        <w:jc w:val="both"/>
        <w:ind w:left="880" w:hanging="440"/>
        <w:spacing w:after="0" w:line="263"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Position. Your position will be Chief Medical Officer (CMO), reporting to the Company’s Chief Executive Officer. In addition to performing duties and responsibilities associated with the position of Chief Medical Officer, from time to time the Company may assign you other related duties and responsibilities consistent with such position.</w:t>
      </w:r>
    </w:p>
    <w:p>
      <w:pPr>
        <w:spacing w:after="0" w:line="183"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Response and Start Date. This offer of employment will expire on July 19, 2019. Please do not hesitate to contact me if you have any questions about these terms and conditions, or if I can provide any further information.</w:t>
      </w:r>
    </w:p>
    <w:p>
      <w:pPr>
        <w:spacing w:after="0" w:line="170" w:lineRule="exact"/>
        <w:rPr>
          <w:rFonts w:ascii="Arial" w:cs="Arial" w:eastAsia="Arial" w:hAnsi="Arial"/>
          <w:sz w:val="18"/>
          <w:szCs w:val="18"/>
          <w:color w:val="auto"/>
        </w:rPr>
      </w:pPr>
    </w:p>
    <w:p>
      <w:pPr>
        <w:ind w:left="880"/>
        <w:spacing w:after="0" w:line="277" w:lineRule="auto"/>
        <w:rPr>
          <w:rFonts w:ascii="Arial" w:cs="Arial" w:eastAsia="Arial" w:hAnsi="Arial"/>
          <w:sz w:val="18"/>
          <w:szCs w:val="18"/>
          <w:color w:val="auto"/>
        </w:rPr>
      </w:pPr>
      <w:r>
        <w:rPr>
          <w:rFonts w:ascii="Arial" w:cs="Arial" w:eastAsia="Arial" w:hAnsi="Arial"/>
          <w:sz w:val="18"/>
          <w:szCs w:val="18"/>
          <w:color w:val="auto"/>
        </w:rPr>
        <w:t>It is expected that your employment will start on September 3, 2019, or such other later date as you and the Company may mutually agree (the “Start Date”).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Nature of Relationship; Status.</w:t>
      </w:r>
    </w:p>
    <w:p>
      <w:pPr>
        <w:spacing w:after="0" w:line="225" w:lineRule="exact"/>
        <w:rPr>
          <w:rFonts w:ascii="Arial" w:cs="Arial" w:eastAsia="Arial" w:hAnsi="Arial"/>
          <w:sz w:val="18"/>
          <w:szCs w:val="18"/>
          <w:color w:val="auto"/>
        </w:rPr>
      </w:pPr>
    </w:p>
    <w:p>
      <w:pPr>
        <w:jc w:val="both"/>
        <w:ind w:left="880" w:hanging="8"/>
        <w:spacing w:after="0" w:line="263" w:lineRule="auto"/>
        <w:tabs>
          <w:tab w:leader="none" w:pos="1129"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provision of this Agreement shall be construed to create an express or implied employment contract for a specific period of time. Either you or the Company may terminate the employment relationship at any time and for any reason upon written notice to the other party as set forth herein.</w:t>
      </w:r>
    </w:p>
    <w:p>
      <w:pPr>
        <w:spacing w:after="0" w:line="183" w:lineRule="exact"/>
        <w:rPr>
          <w:rFonts w:ascii="Arial" w:cs="Arial" w:eastAsia="Arial" w:hAnsi="Arial"/>
          <w:sz w:val="18"/>
          <w:szCs w:val="18"/>
          <w:color w:val="auto"/>
        </w:rPr>
      </w:pPr>
    </w:p>
    <w:p>
      <w:pPr>
        <w:jc w:val="both"/>
        <w:ind w:left="880" w:hanging="8"/>
        <w:spacing w:after="0" w:line="263" w:lineRule="auto"/>
        <w:tabs>
          <w:tab w:leader="none" w:pos="11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You will be expected to devote the necessary full-time business time and energies to the business and affairs of the Company in order to perform your duties and you shall perform the foregoing services at the principal office of the Company, or at any other location mutually agreed upon by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395605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4" w:name="page115"/>
    <w:bookmarkEnd w:id="114"/>
    <w:p>
      <w:pPr>
        <w:ind w:left="440" w:hanging="440"/>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225" w:lineRule="exact"/>
        <w:rPr>
          <w:rFonts w:ascii="Arial" w:cs="Arial" w:eastAsia="Arial" w:hAnsi="Arial"/>
          <w:sz w:val="18"/>
          <w:szCs w:val="18"/>
          <w:color w:val="auto"/>
        </w:rPr>
      </w:pPr>
    </w:p>
    <w:p>
      <w:pPr>
        <w:ind w:left="440" w:hanging="8"/>
        <w:spacing w:after="0" w:line="277" w:lineRule="auto"/>
        <w:tabs>
          <w:tab w:leader="none" w:pos="702" w:val="left"/>
        </w:tabs>
        <w:numPr>
          <w:ilvl w:val="1"/>
          <w:numId w:val="66"/>
        </w:numPr>
        <w:rPr>
          <w:rFonts w:ascii="Arial" w:cs="Arial" w:eastAsia="Arial" w:hAnsi="Arial"/>
          <w:sz w:val="18"/>
          <w:szCs w:val="18"/>
          <w:color w:val="auto"/>
        </w:rPr>
      </w:pPr>
      <w:r>
        <w:rPr>
          <w:rFonts w:ascii="Arial" w:cs="Arial" w:eastAsia="Arial" w:hAnsi="Arial"/>
          <w:sz w:val="18"/>
          <w:szCs w:val="18"/>
          <w:color w:val="auto"/>
        </w:rPr>
        <w:t>Base Salary. Your initial salary during will be at the rate of $400,000 per annum, which shall be prorated for any partial year, month or week.</w:t>
      </w:r>
    </w:p>
    <w:p>
      <w:pPr>
        <w:spacing w:after="0" w:line="170" w:lineRule="exact"/>
        <w:rPr>
          <w:rFonts w:ascii="Arial" w:cs="Arial" w:eastAsia="Arial" w:hAnsi="Arial"/>
          <w:sz w:val="18"/>
          <w:szCs w:val="18"/>
          <w:color w:val="auto"/>
        </w:rPr>
      </w:pPr>
    </w:p>
    <w:p>
      <w:pPr>
        <w:jc w:val="both"/>
        <w:ind w:left="440" w:hanging="8"/>
        <w:spacing w:after="0" w:line="275" w:lineRule="auto"/>
        <w:tabs>
          <w:tab w:leader="none" w:pos="695" w:val="left"/>
        </w:tabs>
        <w:numPr>
          <w:ilvl w:val="1"/>
          <w:numId w:val="66"/>
        </w:numPr>
        <w:rPr>
          <w:rFonts w:ascii="Arial" w:cs="Arial" w:eastAsia="Arial" w:hAnsi="Arial"/>
          <w:sz w:val="17"/>
          <w:szCs w:val="17"/>
          <w:color w:val="auto"/>
        </w:rPr>
      </w:pPr>
      <w:r>
        <w:rPr>
          <w:rFonts w:ascii="Arial" w:cs="Arial" w:eastAsia="Arial" w:hAnsi="Arial"/>
          <w:sz w:val="17"/>
          <w:szCs w:val="17"/>
          <w:color w:val="auto"/>
        </w:rPr>
        <w:t>Bonus Opportunity. You will have the opportunity to earn a bonus of up to forty percent (40%) of your annual base salary per year, based on the achievement of or progress toward individual departmental and/or corporate objectives and goals, as reasonably determined by the Board of Directors (the “Board”), provided that to be eligible for any such bonus, you must be employed by the Company in good standing at the time such bonus is awarded. To be eligible for any such bonus for a given Fiscal Year, your Start Date must be before November 1 in that Fiscal Year. The bonus, if any, for the first Fiscal Year will be pro-rated from the Start Date.</w:t>
      </w:r>
    </w:p>
    <w:p>
      <w:pPr>
        <w:spacing w:after="0" w:line="176" w:lineRule="exact"/>
        <w:rPr>
          <w:rFonts w:ascii="Arial" w:cs="Arial" w:eastAsia="Arial" w:hAnsi="Arial"/>
          <w:sz w:val="17"/>
          <w:szCs w:val="17"/>
          <w:color w:val="auto"/>
        </w:rPr>
      </w:pPr>
    </w:p>
    <w:p>
      <w:pPr>
        <w:jc w:val="both"/>
        <w:ind w:left="440" w:hanging="8"/>
        <w:spacing w:after="0" w:line="289" w:lineRule="auto"/>
        <w:tabs>
          <w:tab w:leader="none" w:pos="694" w:val="left"/>
        </w:tabs>
        <w:numPr>
          <w:ilvl w:val="1"/>
          <w:numId w:val="66"/>
        </w:numPr>
        <w:rPr>
          <w:rFonts w:ascii="Arial" w:cs="Arial" w:eastAsia="Arial" w:hAnsi="Arial"/>
          <w:sz w:val="16"/>
          <w:szCs w:val="16"/>
          <w:color w:val="auto"/>
        </w:rPr>
      </w:pPr>
      <w:r>
        <w:rPr>
          <w:rFonts w:ascii="Arial" w:cs="Arial" w:eastAsia="Arial" w:hAnsi="Arial"/>
          <w:sz w:val="16"/>
          <w:szCs w:val="16"/>
          <w:color w:val="auto"/>
        </w:rPr>
        <w:t>Equity. Subject to the terms of the Company’s then applicable equity incentive plan (“Incentive Plan”) and form of option agreement, and subject to approval by the Board of Directors of the Company at the first regularly scheduled meeting following the Start Date, you will be granted an option to purchase an aggregate of one hundred and fifty thousand (150,000) shares of common stock, at an exercise price per share equal to the Fair Market Value (as defined in the Incentive Plan) of the Common Stock on the date of the grant (such grant date to be the last trading day of the month in which the Board of Directors makes the grant), intended to qualify as an “incentive stock option” to the to the maximum extent allowed under Section 422 of the Internal Revenue Code. The option will vest as to one-fourth (1/4th) of the shares, on the first anniversary of the Start Date, and the remainder will vest at one-forty-eighth (1/48th) per month thereafter. All tax consequences resulting from the grant, vesting, or exercise of the option to or by you, or from the disposition by you of such shares of Common Stock, will be your responsibility. You also will be eligible for annual equity grants at the same time when other executives receive these grants.</w:t>
      </w:r>
    </w:p>
    <w:p>
      <w:pPr>
        <w:spacing w:after="0" w:line="166" w:lineRule="exact"/>
        <w:rPr>
          <w:rFonts w:ascii="Arial" w:cs="Arial" w:eastAsia="Arial" w:hAnsi="Arial"/>
          <w:sz w:val="16"/>
          <w:szCs w:val="16"/>
          <w:color w:val="auto"/>
        </w:rPr>
      </w:pPr>
    </w:p>
    <w:p>
      <w:pPr>
        <w:ind w:left="440" w:hanging="8"/>
        <w:spacing w:after="0" w:line="277" w:lineRule="auto"/>
        <w:tabs>
          <w:tab w:leader="none" w:pos="727"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Expenses. You will be entitled to reimbursement for all ordinary and reasonable out-of-pocket business expenses that are reasonably incurred by you in furtherance of the Company’s business, following submission of reasonably detailed receipts.</w:t>
      </w:r>
    </w:p>
    <w:p>
      <w:pPr>
        <w:spacing w:after="0" w:line="170" w:lineRule="exact"/>
        <w:rPr>
          <w:rFonts w:ascii="Arial" w:cs="Arial" w:eastAsia="Arial" w:hAnsi="Arial"/>
          <w:sz w:val="18"/>
          <w:szCs w:val="18"/>
          <w:color w:val="auto"/>
        </w:rPr>
      </w:pPr>
    </w:p>
    <w:p>
      <w:pPr>
        <w:ind w:left="440" w:hanging="8"/>
        <w:spacing w:after="0" w:line="277" w:lineRule="auto"/>
        <w:tabs>
          <w:tab w:leader="none" w:pos="6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Sign-on Bonus. You will be entitled to receive a separate sign-on bonus of fifty thousand dollars ($50,000), less any applicable withholding or other taxes. The sign-on bonus will be payable at the same time as your annual bonus in Q1 2020.</w:t>
      </w:r>
    </w:p>
    <w:p>
      <w:pPr>
        <w:spacing w:after="0" w:line="170" w:lineRule="exact"/>
        <w:rPr>
          <w:rFonts w:ascii="Arial" w:cs="Arial" w:eastAsia="Arial" w:hAnsi="Arial"/>
          <w:sz w:val="18"/>
          <w:szCs w:val="18"/>
          <w:color w:val="auto"/>
        </w:rPr>
      </w:pPr>
    </w:p>
    <w:p>
      <w:pPr>
        <w:ind w:left="440" w:hanging="440"/>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Benefits.</w:t>
      </w:r>
    </w:p>
    <w:p>
      <w:pPr>
        <w:spacing w:after="0" w:line="225" w:lineRule="exact"/>
        <w:rPr>
          <w:rFonts w:ascii="Arial" w:cs="Arial" w:eastAsia="Arial" w:hAnsi="Arial"/>
          <w:sz w:val="18"/>
          <w:szCs w:val="18"/>
          <w:color w:val="auto"/>
        </w:rPr>
      </w:pPr>
    </w:p>
    <w:p>
      <w:pPr>
        <w:jc w:val="both"/>
        <w:ind w:left="440" w:hanging="8"/>
        <w:spacing w:after="0" w:line="263" w:lineRule="auto"/>
        <w:tabs>
          <w:tab w:leader="none" w:pos="6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Vacation. You will be eligible for four (4) weeks paid vacation on top of the standard Massachusetts vacation days. Vacation eligibility will accrue at a rate of five (5) days per fiscal quarter of service, and up to five (5) unused vacation days may be carried over from one year to the next year.</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15" w:name="page116"/>
    <w:bookmarkEnd w:id="115"/>
    <w:p>
      <w:pPr>
        <w:jc w:val="both"/>
        <w:ind w:left="440" w:hanging="8"/>
        <w:spacing w:after="0" w:line="259" w:lineRule="auto"/>
        <w:tabs>
          <w:tab w:leader="none" w:pos="717" w:val="left"/>
        </w:tabs>
        <w:numPr>
          <w:ilvl w:val="1"/>
          <w:numId w:val="67"/>
        </w:numPr>
        <w:rPr>
          <w:rFonts w:ascii="Arial" w:cs="Arial" w:eastAsia="Arial" w:hAnsi="Arial"/>
          <w:sz w:val="18"/>
          <w:szCs w:val="18"/>
          <w:color w:val="auto"/>
        </w:rPr>
      </w:pPr>
      <w:r>
        <w:rPr>
          <w:rFonts w:ascii="Arial" w:cs="Arial" w:eastAsia="Arial" w:hAnsi="Arial"/>
          <w:sz w:val="18"/>
          <w:szCs w:val="18"/>
          <w:color w:val="auto"/>
        </w:rPr>
        <w:t>Benefits. You will be eligible to participate in the benefits provided by the Company to its employees. Where any particular benefit is governed by a formal plan document, your eligibility and coverage will be determined by such document, and the Company may change its benefit offerings from time to time in its discretion to meet its business needs. The Company retains the right to change, add or cease any particular benefit.</w:t>
      </w:r>
    </w:p>
    <w:p>
      <w:pPr>
        <w:spacing w:after="0" w:line="186" w:lineRule="exact"/>
        <w:rPr>
          <w:rFonts w:ascii="Arial" w:cs="Arial" w:eastAsia="Arial" w:hAnsi="Arial"/>
          <w:sz w:val="18"/>
          <w:szCs w:val="18"/>
          <w:color w:val="auto"/>
        </w:rPr>
      </w:pPr>
    </w:p>
    <w:p>
      <w:pPr>
        <w:jc w:val="both"/>
        <w:ind w:left="440" w:hanging="440"/>
        <w:spacing w:after="0" w:line="259" w:lineRule="auto"/>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Confidentiality, Inventions and Non-Competition. The Company considers the protection of its confidential information and proprietary materials to be very important. Therefore, as a condition of your employment, you and the Company will become parties to an Non-Competition, Non-Solicitation, Invention and Non-Disclosure Agreement substantially in the form of </w:t>
      </w:r>
      <w:r>
        <w:rPr>
          <w:rFonts w:ascii="Arial" w:cs="Arial" w:eastAsia="Arial" w:hAnsi="Arial"/>
          <w:sz w:val="18"/>
          <w:szCs w:val="18"/>
          <w:u w:val="single" w:color="auto"/>
          <w:color w:val="auto"/>
        </w:rPr>
        <w:t>Attachment A-1</w:t>
      </w:r>
      <w:r>
        <w:rPr>
          <w:rFonts w:ascii="Arial" w:cs="Arial" w:eastAsia="Arial" w:hAnsi="Arial"/>
          <w:sz w:val="18"/>
          <w:szCs w:val="18"/>
          <w:color w:val="auto"/>
        </w:rPr>
        <w:t xml:space="preserve"> to this letter (the “Related Agreement”).</w:t>
      </w:r>
    </w:p>
    <w:p>
      <w:pPr>
        <w:spacing w:after="0" w:line="186" w:lineRule="exact"/>
        <w:rPr>
          <w:rFonts w:ascii="Arial" w:cs="Arial" w:eastAsia="Arial" w:hAnsi="Arial"/>
          <w:sz w:val="18"/>
          <w:szCs w:val="18"/>
          <w:color w:val="auto"/>
        </w:rPr>
      </w:pPr>
    </w:p>
    <w:p>
      <w:pPr>
        <w:ind w:left="440" w:hanging="440"/>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Termination and Severance. Your employment may be terminated by you or the Company as follows:</w:t>
      </w:r>
    </w:p>
    <w:p>
      <w:pPr>
        <w:spacing w:after="0" w:line="225" w:lineRule="exact"/>
        <w:rPr>
          <w:rFonts w:ascii="Arial" w:cs="Arial" w:eastAsia="Arial" w:hAnsi="Arial"/>
          <w:sz w:val="18"/>
          <w:szCs w:val="18"/>
          <w:color w:val="auto"/>
        </w:rPr>
      </w:pPr>
    </w:p>
    <w:p>
      <w:pPr>
        <w:jc w:val="both"/>
        <w:ind w:left="440" w:hanging="8"/>
        <w:spacing w:after="0" w:line="263" w:lineRule="auto"/>
        <w:tabs>
          <w:tab w:leader="none" w:pos="68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Company may terminate your employment for “Cause” (as defined below) upon written notice to you effectively immediately, in which case you will not be entitled to receive any form of payment other than your earned compensation through your date of separation and reimbursable expenses;</w:t>
      </w:r>
    </w:p>
    <w:p>
      <w:pPr>
        <w:spacing w:after="0" w:line="183" w:lineRule="exact"/>
        <w:rPr>
          <w:rFonts w:ascii="Arial" w:cs="Arial" w:eastAsia="Arial" w:hAnsi="Arial"/>
          <w:sz w:val="18"/>
          <w:szCs w:val="18"/>
          <w:color w:val="auto"/>
        </w:rPr>
      </w:pPr>
    </w:p>
    <w:p>
      <w:pPr>
        <w:jc w:val="both"/>
        <w:ind w:left="440" w:hanging="8"/>
        <w:spacing w:after="0" w:line="263" w:lineRule="auto"/>
        <w:tabs>
          <w:tab w:leader="none" w:pos="717"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may terminate your employment voluntarily other than for “Good Reason” (as defined below) upon at least thirty (30) days’ prior written notice to the Company, in which case you will not be entitled to receive any form of payment other than your earned compensation through your date of separation and reimbursable expenses; and</w:t>
      </w:r>
    </w:p>
    <w:p>
      <w:pPr>
        <w:spacing w:after="0" w:line="183" w:lineRule="exact"/>
        <w:rPr>
          <w:rFonts w:ascii="Arial" w:cs="Arial" w:eastAsia="Arial" w:hAnsi="Arial"/>
          <w:sz w:val="18"/>
          <w:szCs w:val="18"/>
          <w:color w:val="auto"/>
        </w:rPr>
      </w:pPr>
    </w:p>
    <w:p>
      <w:pPr>
        <w:jc w:val="both"/>
        <w:ind w:left="440" w:hanging="8"/>
        <w:spacing w:after="0" w:line="286" w:lineRule="auto"/>
        <w:tabs>
          <w:tab w:leader="none" w:pos="694" w:val="left"/>
        </w:tabs>
        <w:numPr>
          <w:ilvl w:val="1"/>
          <w:numId w:val="68"/>
        </w:numPr>
        <w:rPr>
          <w:rFonts w:ascii="Arial" w:cs="Arial" w:eastAsia="Arial" w:hAnsi="Arial"/>
          <w:sz w:val="16"/>
          <w:szCs w:val="16"/>
          <w:color w:val="auto"/>
        </w:rPr>
      </w:pPr>
      <w:r>
        <w:rPr>
          <w:rFonts w:ascii="Arial" w:cs="Arial" w:eastAsia="Arial" w:hAnsi="Arial"/>
          <w:sz w:val="16"/>
          <w:szCs w:val="16"/>
          <w:color w:val="auto"/>
        </w:rPr>
        <w:t>(i) the Company may terminate your employment other than for “Cause” upon written notice to you and (ii) you may you terminate your employment voluntarily for “Good Reason” upon at least thirty (30) days’ prior written notice to the Company, whereupon, in each case subject to and conditioned upon your execution and delivery to the Company of a formal separation agreement (which will contain, among other obligations, your release of all claims against the Company and related persons and entities, and confidentiality/non-disparagement and non-compete provisions in a form and manner satisfactory to the Company), the Company will: (A) pay you salary continuation payments at your then Base Salary rate for a period of six (6) months (the “Severance Period”) following the termination of your employment, in accordance with the Company’s regularly established payroll procedure (the “Severance Payments”), and (B) provided you are eligible for and timely elect to continue receiving group medical insurance pursuant to the “COBRA” law, continue to pay the share of the premium for health coverage that is paid by the Company for active and similarly-situated employees who receive the same type of coverage until the earlier of (i) the last day of the Severance Period, or (ii) the date on which you become eligible for healthcare insurance with a subsequent employer, unless the Company’s provision of such COBRA payments will violate the nondiscrimination requirements of applicable law, in which case this benefit will not apply. In addition, within sixty (60) days following such resignation or termination, as applicable, the Company will pay you a lump-sum payment equal to the prorated portion of your current target bonus for the fiscal year in which you are terminated (with such</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16" w:name="page117"/>
    <w:bookmarkEnd w:id="116"/>
    <w:p>
      <w:pPr>
        <w:jc w:val="both"/>
        <w:ind w:left="8"/>
        <w:spacing w:after="0" w:line="257" w:lineRule="auto"/>
        <w:rPr>
          <w:sz w:val="20"/>
          <w:szCs w:val="20"/>
          <w:color w:val="auto"/>
        </w:rPr>
      </w:pPr>
      <w:r>
        <w:rPr>
          <w:rFonts w:ascii="Arial" w:cs="Arial" w:eastAsia="Arial" w:hAnsi="Arial"/>
          <w:sz w:val="18"/>
          <w:szCs w:val="18"/>
          <w:color w:val="auto"/>
        </w:rPr>
        <w:t>prorated portion determined by the number of days you were employed during such fiscal year). To the extent applicable, the Severance Payments, “COBRA” payments and lump-sum payment will commence (or, in the case of the lump-sum payment, be paid) within sixty (60) days after your termination, and once they commence, will include any unpaid amounts accrued from the date of your termination; provided, that, if such 60-day period spans two calendar years, then such payments in any event will commence, or if applicable, be paid in the second calendar year.</w:t>
      </w:r>
    </w:p>
    <w:p>
      <w:pPr>
        <w:spacing w:after="0" w:line="188" w:lineRule="exact"/>
        <w:rPr>
          <w:sz w:val="20"/>
          <w:szCs w:val="20"/>
          <w:color w:val="auto"/>
        </w:rPr>
      </w:pPr>
    </w:p>
    <w:p>
      <w:pPr>
        <w:jc w:val="both"/>
        <w:ind w:left="8" w:hanging="8"/>
        <w:spacing w:after="0" w:line="289" w:lineRule="auto"/>
        <w:tabs>
          <w:tab w:leader="none" w:pos="266"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purposes of this letter, “Cause” means (i) your conviction of a felony, your plea of guilty or “no contest” to a felony, or your confession of guilt to a felony, in each case whether or not in connection with the performance of your duties to the Company, (ii) any act or omission by you which constitutes willful misconduct or negligence that results in loss, damage or injury to the Company or its prospects, including, but not limited to (A) disloyalty, dishonesty or a breach of fiduciary duty to the Company or its shareholders, (B) theft, fraud, embezzlement or other illegal conduct, or (C) deliberate disregard of a rule or policy of the Company, (iii) your failure, refusal or unwillingness to perform, to the reasonable satisfaction of the Board or Company. determined in good faith, any duty or responsibility assigned to you in connection with the performance of your duties hereunder, which failure of performance continues for a period of more than two weeks after written notice thereof has been provided to you by the Company or the Board, such notice to set forth in reasonable detail the nature of such failure of performance, or (iv) the material breach by you of any of the provisions of this letter or the Related Agreements.</w:t>
      </w:r>
    </w:p>
    <w:p>
      <w:pPr>
        <w:spacing w:after="0" w:line="166" w:lineRule="exact"/>
        <w:rPr>
          <w:rFonts w:ascii="Arial" w:cs="Arial" w:eastAsia="Arial" w:hAnsi="Arial"/>
          <w:sz w:val="16"/>
          <w:szCs w:val="16"/>
          <w:color w:val="auto"/>
        </w:rPr>
      </w:pPr>
    </w:p>
    <w:p>
      <w:pPr>
        <w:jc w:val="both"/>
        <w:ind w:left="8" w:hanging="8"/>
        <w:spacing w:after="0" w:line="273" w:lineRule="auto"/>
        <w:tabs>
          <w:tab w:leader="none" w:pos="262"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purposes of this letter, “Good Reason” means, in the context of your resignation from your employment position with the Company, a resignation that occurs within thirty (30) days following: (i) a change in the principal location at which you provide services to the Company beyond fifty (50) miles from Cambridge, MA; (ii) a reduction in your compensation or a material reduction in your benefits, except such a reduction in connection with a general reduction in compensation or other benefits of all senior executives of the Company; (iii) a material breach of this letter by the Company that has not been cured within two weeks days after written notice thereof by you to the Company; or (iv) a failure by the Company to obtain the assumption of this letter by any successor to the Company.</w:t>
      </w:r>
    </w:p>
    <w:p>
      <w:pPr>
        <w:spacing w:after="0" w:line="177" w:lineRule="exact"/>
        <w:rPr>
          <w:rFonts w:ascii="Arial" w:cs="Arial" w:eastAsia="Arial" w:hAnsi="Arial"/>
          <w:sz w:val="17"/>
          <w:szCs w:val="17"/>
          <w:color w:val="auto"/>
        </w:rPr>
      </w:pPr>
    </w:p>
    <w:p>
      <w:pPr>
        <w:jc w:val="both"/>
        <w:ind w:left="8" w:hanging="8"/>
        <w:spacing w:after="0" w:line="291" w:lineRule="auto"/>
        <w:tabs>
          <w:tab w:leader="none" w:pos="236"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event of your death or permanent disability (as defined below) while you are employed by the Company, your employment hereunder shall immediately and automatically terminate and the Company shall pay to you or your personal representative or designated beneficiary or, if no beneficiary has been designated by you, to your estate, any earned and unpaid base salary, pro-rated through the date of your death or permanent disability. For purposes of this letter, “Permanent Disability” shall mean your inability, due to physical or mental illness or disease, to perform the functions then performed by you for one hundred eighty (180) consecutive days, accompanied by the likelihood, in the opinion of a physician chosen by the Company and reasonably acceptable to you, that you will be unable to perform such functions within the reasonably foreseeable future; provided that the foregoing definition shall not include a disability for which the Company</w:t>
      </w:r>
    </w:p>
    <w:p>
      <w:pPr>
        <w:spacing w:after="0" w:line="166"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55" w:right="339" w:bottom="1440" w:gutter="0" w:footer="0" w:header="0"/>
        </w:sectPr>
      </w:pPr>
    </w:p>
    <w:bookmarkStart w:id="117" w:name="page118"/>
    <w:bookmarkEnd w:id="117"/>
    <w:p>
      <w:pPr>
        <w:ind w:left="440"/>
        <w:spacing w:after="0"/>
        <w:rPr>
          <w:sz w:val="20"/>
          <w:szCs w:val="20"/>
          <w:color w:val="auto"/>
        </w:rPr>
      </w:pPr>
      <w:r>
        <w:rPr>
          <w:rFonts w:ascii="Arial" w:cs="Arial" w:eastAsia="Arial" w:hAnsi="Arial"/>
          <w:sz w:val="17"/>
          <w:szCs w:val="17"/>
          <w:color w:val="auto"/>
        </w:rPr>
        <w:t>is required to provide reasonable accommodation pursuant to the Americans with Disabilities Act or other similar statute or regulation.</w:t>
      </w:r>
    </w:p>
    <w:p>
      <w:pPr>
        <w:spacing w:after="0" w:line="237" w:lineRule="exact"/>
        <w:rPr>
          <w:sz w:val="20"/>
          <w:szCs w:val="20"/>
          <w:color w:val="auto"/>
        </w:rPr>
      </w:pPr>
    </w:p>
    <w:p>
      <w:pPr>
        <w:jc w:val="both"/>
        <w:ind w:left="440" w:hanging="8"/>
        <w:spacing w:after="0" w:line="286" w:lineRule="auto"/>
        <w:tabs>
          <w:tab w:leader="none" w:pos="696"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time for payment, or schedule for payment, of any severance payments due hereunder may not be accelerated, except as provided for in the Treasury Regulations promulgated under Section 409A of the Internal Revenue Code of 1986 (the “Code”), or any law replacing or superseding such Section or regulations. Notwithstanding the preceding provisions of this Section 7(g), in the case that you are deemed a “specified employee” (as defined in Section 409A(2)(B)(i) of the Code), no severance payment may be made earlier than the date which is six</w:t>
      </w:r>
    </w:p>
    <w:p>
      <w:pPr>
        <w:spacing w:after="0" w:line="1" w:lineRule="exact"/>
        <w:rPr>
          <w:rFonts w:ascii="Arial" w:cs="Arial" w:eastAsia="Arial" w:hAnsi="Arial"/>
          <w:sz w:val="16"/>
          <w:szCs w:val="16"/>
          <w:color w:val="auto"/>
        </w:rPr>
      </w:pPr>
    </w:p>
    <w:p>
      <w:pPr>
        <w:ind w:left="440"/>
        <w:spacing w:after="0" w:line="290" w:lineRule="auto"/>
        <w:rPr>
          <w:rFonts w:ascii="Arial" w:cs="Arial" w:eastAsia="Arial" w:hAnsi="Arial"/>
          <w:sz w:val="16"/>
          <w:szCs w:val="16"/>
          <w:color w:val="auto"/>
        </w:rPr>
      </w:pPr>
      <w:r>
        <w:rPr>
          <w:rFonts w:ascii="Arial" w:cs="Arial" w:eastAsia="Arial" w:hAnsi="Arial"/>
          <w:sz w:val="17"/>
          <w:szCs w:val="17"/>
          <w:color w:val="auto"/>
        </w:rPr>
        <w:t>(6) months after the termination of employment hereunder (or, if earlier, the date of the death of the Executive) if and to the extent required by applicable law or other rules of any stock exchange upon which any of shares of the Company’s capital stock are then traded.</w:t>
      </w:r>
    </w:p>
    <w:p>
      <w:pPr>
        <w:spacing w:after="0" w:line="161" w:lineRule="exact"/>
        <w:rPr>
          <w:rFonts w:ascii="Arial" w:cs="Arial" w:eastAsia="Arial" w:hAnsi="Arial"/>
          <w:sz w:val="16"/>
          <w:szCs w:val="16"/>
          <w:color w:val="auto"/>
        </w:rPr>
      </w:pPr>
    </w:p>
    <w:p>
      <w:pPr>
        <w:ind w:left="440" w:hanging="440"/>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of Control.</w:t>
      </w:r>
    </w:p>
    <w:p>
      <w:pPr>
        <w:spacing w:after="0" w:line="225" w:lineRule="exact"/>
        <w:rPr>
          <w:rFonts w:ascii="Arial" w:cs="Arial" w:eastAsia="Arial" w:hAnsi="Arial"/>
          <w:sz w:val="18"/>
          <w:szCs w:val="18"/>
          <w:color w:val="auto"/>
        </w:rPr>
      </w:pPr>
    </w:p>
    <w:p>
      <w:pPr>
        <w:jc w:val="both"/>
        <w:ind w:left="440" w:hanging="8"/>
        <w:spacing w:after="0" w:line="269" w:lineRule="auto"/>
        <w:tabs>
          <w:tab w:leader="none" w:pos="706" w:val="left"/>
        </w:tabs>
        <w:numPr>
          <w:ilvl w:val="1"/>
          <w:numId w:val="71"/>
        </w:numPr>
        <w:rPr>
          <w:rFonts w:ascii="Arial" w:cs="Arial" w:eastAsia="Arial" w:hAnsi="Arial"/>
          <w:sz w:val="17"/>
          <w:szCs w:val="17"/>
          <w:color w:val="auto"/>
        </w:rPr>
      </w:pPr>
      <w:r>
        <w:rPr>
          <w:rFonts w:ascii="Arial" w:cs="Arial" w:eastAsia="Arial" w:hAnsi="Arial"/>
          <w:sz w:val="17"/>
          <w:szCs w:val="17"/>
          <w:color w:val="auto"/>
        </w:rPr>
        <w:t>Notwithstanding anything to the contrary in any then outstanding option agreement or stock based award, and subject to any permitted action by the Board under the Company’s applicable equity plan to terminate options or other stock based awards upon a Change of Control, in the event that, within the twelve (12) month period that immediately follows or the thirty (30) day period immediately prior to a Change in Control (as defined below), your employment with the Company is terminated: (i) on account of your death or Permanent Disability, (ii) by the Company without Cause, or (iii) as a result of your resignation for Good Reason, then all of your then unvested restricted stock and/or options to purchase shares of the Company’s Common Stock shall accelerate and become fully vested. As used herein, “Change in Control” shall mean the (i) the sale of the Company by merger in which the shareholders of the Company in their capacity as such no longer own a majority of the outstanding equity securities of the Company (or its successor); (ii) any sale of all or substantially all of the assets or capital stock of the Company (other than in a spin-off or similar transaction); or (iii)) any other acquisition of the business of the Company, as determined by the Company’s Board of Directors in their sole discretion. For the avoidance of doubt, in no event shall a bona fide equity or debt financing of the Company, including a financing in which greater than 50% of the Company’s outstanding equity securities are acquired by a third-party be deemed a “Change of Control” for purposes of this letter.</w:t>
      </w:r>
    </w:p>
    <w:p>
      <w:pPr>
        <w:spacing w:after="0" w:line="178" w:lineRule="exact"/>
        <w:rPr>
          <w:rFonts w:ascii="Arial" w:cs="Arial" w:eastAsia="Arial" w:hAnsi="Arial"/>
          <w:sz w:val="17"/>
          <w:szCs w:val="17"/>
          <w:color w:val="auto"/>
        </w:rPr>
      </w:pPr>
    </w:p>
    <w:p>
      <w:pPr>
        <w:ind w:left="440" w:hanging="440"/>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ind w:left="440" w:hanging="8"/>
        <w:spacing w:after="0" w:line="308" w:lineRule="auto"/>
        <w:tabs>
          <w:tab w:leader="none" w:pos="706" w:val="left"/>
        </w:tabs>
        <w:numPr>
          <w:ilvl w:val="1"/>
          <w:numId w:val="71"/>
        </w:numPr>
        <w:rPr>
          <w:rFonts w:ascii="Arial" w:cs="Arial" w:eastAsia="Arial" w:hAnsi="Arial"/>
          <w:sz w:val="17"/>
          <w:szCs w:val="17"/>
          <w:color w:val="auto"/>
        </w:rPr>
      </w:pPr>
      <w:r>
        <w:rPr>
          <w:rFonts w:ascii="Arial" w:cs="Arial" w:eastAsia="Arial" w:hAnsi="Arial"/>
          <w:sz w:val="17"/>
          <w:szCs w:val="17"/>
          <w:color w:val="auto"/>
        </w:rPr>
        <w:t>Entire Agreement. This letter, together with the Related Agreements, will constitute our entire agreement as to your employment by or consultancy for the Company and will supersede any prior agreements or understandings, whether in writing or oral.</w:t>
      </w:r>
    </w:p>
    <w:p>
      <w:pPr>
        <w:spacing w:after="0" w:line="146" w:lineRule="exact"/>
        <w:rPr>
          <w:rFonts w:ascii="Arial" w:cs="Arial" w:eastAsia="Arial" w:hAnsi="Arial"/>
          <w:sz w:val="17"/>
          <w:szCs w:val="17"/>
          <w:color w:val="auto"/>
        </w:rPr>
      </w:pPr>
    </w:p>
    <w:p>
      <w:pPr>
        <w:jc w:val="both"/>
        <w:ind w:left="440" w:hanging="8"/>
        <w:spacing w:after="0" w:line="263" w:lineRule="auto"/>
        <w:tabs>
          <w:tab w:leader="none" w:pos="7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Notices. All notices, requests, consents and other communications hereunder will be in writing, will be addressed to the receiving party’s address set forth above or to such other address as a party may designate by notice hereunder, and will be either (i) delivered by hand, (ii) sent by overnight courier, (iii) sent by</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18" w:name="page119"/>
    <w:bookmarkEnd w:id="118"/>
    <w:p>
      <w:pPr>
        <w:jc w:val="both"/>
        <w:ind w:left="8"/>
        <w:spacing w:after="0" w:line="296" w:lineRule="auto"/>
        <w:rPr>
          <w:sz w:val="20"/>
          <w:szCs w:val="20"/>
          <w:color w:val="auto"/>
        </w:rPr>
      </w:pPr>
      <w:r>
        <w:rPr>
          <w:rFonts w:ascii="Arial" w:cs="Arial" w:eastAsia="Arial" w:hAnsi="Arial"/>
          <w:sz w:val="16"/>
          <w:szCs w:val="16"/>
          <w:color w:val="auto"/>
        </w:rPr>
        <w:t>registered mail, return receipt requested, postage prepaid (iv) sent by facsimile, electronic mail or electronic PDF transmission, in each case with confirmation retained. All notices, requests, consents and other communications hereunder will be deemed to have been given either (i) if by hand, at the time of the delivery thereof to the receiving party at the address of such party set forth above, (ii) if sent by overnight courier, on the next business day following the day such notice is delivered to the courier service, (iii) if sent by registered mail, on the fifth business day following the day such mailing is made or (iv) when confirmation is received, if sent by facsimile or electronic transmission.</w:t>
      </w:r>
    </w:p>
    <w:p>
      <w:pPr>
        <w:spacing w:after="0" w:line="161" w:lineRule="exact"/>
        <w:rPr>
          <w:sz w:val="20"/>
          <w:szCs w:val="20"/>
          <w:color w:val="auto"/>
        </w:rPr>
      </w:pPr>
    </w:p>
    <w:p>
      <w:pPr>
        <w:ind w:left="8" w:right="20" w:hanging="8"/>
        <w:spacing w:after="0" w:line="277" w:lineRule="auto"/>
        <w:tabs>
          <w:tab w:leader="none" w:pos="2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Modifications and Amendments. The terms and provisions of this letter may be modified or amended only by written agreement executed by the parties hereto.</w:t>
      </w:r>
    </w:p>
    <w:p>
      <w:pPr>
        <w:spacing w:after="0" w:line="170" w:lineRule="exact"/>
        <w:rPr>
          <w:rFonts w:ascii="Arial" w:cs="Arial" w:eastAsia="Arial" w:hAnsi="Arial"/>
          <w:sz w:val="18"/>
          <w:szCs w:val="18"/>
          <w:color w:val="auto"/>
        </w:rPr>
      </w:pPr>
    </w:p>
    <w:p>
      <w:pPr>
        <w:jc w:val="both"/>
        <w:ind w:left="8" w:hanging="8"/>
        <w:spacing w:after="0" w:line="257" w:lineRule="auto"/>
        <w:tabs>
          <w:tab w:leader="none" w:pos="2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Waivers and Consents. The terms and provisions of this letter may be waived, or consent for the departure therefrom granted, only by written document executed by the party entitled to the benefits of such terms or provisions. No such waiver or consent will be deemed to be or will constitute a waiver or consent with respect to any other terms or provisions of this letter, whether or not similar. Each such waiver or consent will be effective only in the specific instance and for the purpose for which it was given, and will not constitute a continuing waiver or consent.</w:t>
      </w:r>
    </w:p>
    <w:p>
      <w:pPr>
        <w:spacing w:after="0" w:line="187" w:lineRule="exact"/>
        <w:rPr>
          <w:rFonts w:ascii="Arial" w:cs="Arial" w:eastAsia="Arial" w:hAnsi="Arial"/>
          <w:sz w:val="18"/>
          <w:szCs w:val="18"/>
          <w:color w:val="auto"/>
        </w:rPr>
      </w:pPr>
    </w:p>
    <w:p>
      <w:pPr>
        <w:jc w:val="both"/>
        <w:ind w:left="8" w:hanging="8"/>
        <w:spacing w:after="0" w:line="259" w:lineRule="auto"/>
        <w:tabs>
          <w:tab w:leader="none" w:pos="2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Assignment. The Company may assign its rights and obligations hereunder to any person or entity that succeeds to all or substantially all of the Company’s business or that aspect of the Company’s business in which you are principally involved. You may not assign your rights and obligations under this letter without the prior written consent of the Company and any such attempted assignment by you without the prior written consent of the Company will be void.</w:t>
      </w:r>
    </w:p>
    <w:p>
      <w:pPr>
        <w:spacing w:after="0" w:line="186" w:lineRule="exact"/>
        <w:rPr>
          <w:rFonts w:ascii="Arial" w:cs="Arial" w:eastAsia="Arial" w:hAnsi="Arial"/>
          <w:sz w:val="18"/>
          <w:szCs w:val="18"/>
          <w:color w:val="auto"/>
        </w:rPr>
      </w:pPr>
    </w:p>
    <w:p>
      <w:pPr>
        <w:jc w:val="both"/>
        <w:ind w:left="8" w:hanging="8"/>
        <w:spacing w:after="0" w:line="259"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Benefit. All statements, representations, warranties, covenants and agreements in this letter will be binding on the parties hereto and will inure to the benefit of the respective successors and permitted assigns of each party hereto. Nothing in this letter will be construed to create any rights or obligations except between the Company and you, and no person or entity other than the Company will be regarded as a third party beneficiary of this letter.</w:t>
      </w:r>
    </w:p>
    <w:p>
      <w:pPr>
        <w:spacing w:after="0" w:line="186" w:lineRule="exact"/>
        <w:rPr>
          <w:rFonts w:ascii="Arial" w:cs="Arial" w:eastAsia="Arial" w:hAnsi="Arial"/>
          <w:sz w:val="18"/>
          <w:szCs w:val="18"/>
          <w:color w:val="auto"/>
        </w:rPr>
      </w:pPr>
    </w:p>
    <w:p>
      <w:pPr>
        <w:ind w:left="8" w:hanging="8"/>
        <w:spacing w:after="0" w:line="277"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Governing Law. This letter and the rights and obligations of the parties hereunder will be construed in accordance with and governed by the law of The Commonwealth of Massachusetts, without giving effect to the conflict of law principles thereof.</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Jurisdiction, Venue and Service of Process. Any legal action or proceeding with respect to this letter will be brought in the courts of The Commonwealth of Massachusetts (or, if appropriate, a federal court located within The Commonwealth of Massachusetts). By execution and delivery of this letter, each of the parties hereto accepts for itself and in respect of its property, generally and unconditionally, the exclusive jurisdiction of the aforesaid courts.</w:t>
      </w:r>
    </w:p>
    <w:p>
      <w:pPr>
        <w:spacing w:after="0" w:line="187"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55" w:right="339" w:bottom="1440" w:gutter="0" w:footer="0" w:header="0"/>
        </w:sectPr>
      </w:pPr>
    </w:p>
    <w:bookmarkStart w:id="119" w:name="page120"/>
    <w:bookmarkEnd w:id="119"/>
    <w:p>
      <w:pPr>
        <w:jc w:val="both"/>
        <w:ind w:left="8" w:hanging="8"/>
        <w:spacing w:after="0" w:line="263" w:lineRule="auto"/>
        <w:tabs>
          <w:tab w:leader="none" w:pos="2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WAIVER OF JURY TRIAL. ANY ACTION, DEMAND, CLAIM OR COUNTERCLAIM ARISING UNDER OR RELATING TO THIS AGREEMENT WILL BE RESOLVED BY A JUDGE ALONE AND EACH OF THE COMPANY AND YOU WAIVE ANY RIGHT TO A JURY TRIAL THEREOF.</w:t>
      </w:r>
    </w:p>
    <w:p>
      <w:pPr>
        <w:spacing w:after="0" w:line="183" w:lineRule="exact"/>
        <w:rPr>
          <w:rFonts w:ascii="Arial" w:cs="Arial" w:eastAsia="Arial" w:hAnsi="Arial"/>
          <w:sz w:val="18"/>
          <w:szCs w:val="18"/>
          <w:color w:val="auto"/>
        </w:rPr>
      </w:pPr>
    </w:p>
    <w:p>
      <w:pPr>
        <w:ind w:left="8" w:hanging="8"/>
        <w:spacing w:after="0" w:line="277" w:lineRule="auto"/>
        <w:tabs>
          <w:tab w:leader="none" w:pos="2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Counterparts. This letter may be executed in two or more counterparts, and by different parties hereto on separate counterparts, each of which will be deemed an original, but all of which together will constitute one and the same instrument.</w:t>
      </w:r>
    </w:p>
    <w:p>
      <w:pPr>
        <w:spacing w:after="0" w:line="170"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55" w:right="339" w:bottom="1440" w:gutter="0" w:footer="0" w:header="0"/>
        </w:sectPr>
      </w:pPr>
    </w:p>
    <w:bookmarkStart w:id="120" w:name="page121"/>
    <w:bookmarkEnd w:id="120"/>
    <w:p>
      <w:pPr>
        <w:jc w:val="both"/>
        <w:spacing w:after="0" w:line="259" w:lineRule="auto"/>
        <w:rPr>
          <w:sz w:val="20"/>
          <w:szCs w:val="20"/>
          <w:color w:val="auto"/>
        </w:rPr>
      </w:pPr>
      <w:r>
        <w:rPr>
          <w:rFonts w:ascii="Arial" w:cs="Arial" w:eastAsia="Arial" w:hAnsi="Arial"/>
          <w:sz w:val="18"/>
          <w:szCs w:val="18"/>
          <w:color w:val="auto"/>
        </w:rPr>
        <w:t>You may accept this offer of employment and the terms and conditions thereof by signing the enclosed additional copy of this letter and each of the Related Agreements, which execution will evidence your agreement with the terms and conditions set forth herein and therein, and returning them to the Company; provided that the provisions of this offer of employment are contingent upon completion of a background check and receipt of appropriate documentation of your work status.</w:t>
      </w: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SYNLOGIC, INC.</w:t>
      </w:r>
    </w:p>
    <w:p>
      <w:pPr>
        <w:spacing w:after="0" w:line="23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Thomas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Adam J. Thomas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Chief Human Resources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056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 Richard Riese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5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10.14.1</w:t>
      </w:r>
    </w:p>
    <w:p>
      <w:pPr>
        <w:spacing w:after="0" w:line="200" w:lineRule="exact"/>
        <w:rPr>
          <w:sz w:val="20"/>
          <w:szCs w:val="20"/>
          <w:color w:val="auto"/>
        </w:rPr>
      </w:pPr>
    </w:p>
    <w:p>
      <w:pPr>
        <w:spacing w:after="0" w:line="25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Synlogic, Inc.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301 Binney Street, Suite 402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Cambridge, MA 02142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November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Antoine Awad</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i w:val="1"/>
          <w:iCs w:val="1"/>
          <w:color w:val="auto"/>
        </w:rPr>
        <w:t>Re:</w:t>
        <w:tab/>
        <w:t>Employment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Tony,</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 am pleased to provide you with the terms and conditions of your employment by Synlogic, Inc. a Delaware corporation, Inc. (hereinafter referred to collectively with its subsidiaries as the “Company”). This offer is contingent on the receipt of satisfactory professional references by Russell Reynolds.</w:t>
      </w:r>
    </w:p>
    <w:p>
      <w:pPr>
        <w:spacing w:after="0" w:line="124" w:lineRule="exact"/>
        <w:rPr>
          <w:sz w:val="20"/>
          <w:szCs w:val="20"/>
          <w:color w:val="auto"/>
        </w:rPr>
      </w:pPr>
    </w:p>
    <w:p>
      <w:pPr>
        <w:jc w:val="both"/>
        <w:ind w:left="880" w:right="120" w:hanging="440"/>
        <w:spacing w:after="0" w:line="263"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Position. Your position will be Head of Technical Operations, reporting to the Company’s Chief Executive Officer. In addition to performing duties and responsibilities associated with the position of Head of Technical Operations, from time to time the Company may assign you other related duties and responsibilities consistent with such position.</w:t>
      </w:r>
    </w:p>
    <w:p>
      <w:pPr>
        <w:spacing w:after="0" w:line="183"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Response and Start Date. Please do not hesitate to contact me if you have any questions about these terms and conditions, or if I can provide any further information.</w:t>
      </w:r>
    </w:p>
    <w:p>
      <w:pPr>
        <w:spacing w:after="0" w:line="17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It is expected that your employment will start on December 10, 2018, but no later than December 17, 2018 (the “Start Date”).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Nature of Relationship; Status.</w:t>
      </w:r>
    </w:p>
    <w:p>
      <w:pPr>
        <w:spacing w:after="0" w:line="238" w:lineRule="exact"/>
        <w:rPr>
          <w:rFonts w:ascii="Arial" w:cs="Arial" w:eastAsia="Arial" w:hAnsi="Arial"/>
          <w:sz w:val="18"/>
          <w:szCs w:val="18"/>
          <w:color w:val="auto"/>
        </w:rPr>
      </w:pPr>
    </w:p>
    <w:p>
      <w:pPr>
        <w:jc w:val="both"/>
        <w:ind w:left="880" w:right="120" w:hanging="8"/>
        <w:spacing w:after="0" w:line="263" w:lineRule="auto"/>
        <w:tabs>
          <w:tab w:leader="none" w:pos="1146"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provision of this Agreement shall be construed to create an express or implied employment contract for a specific period of time. Either you or the Company may terminate the employment relationship at any time and for any reason upon written notice to the other party as set forth herein.</w:t>
      </w:r>
    </w:p>
    <w:p>
      <w:pPr>
        <w:spacing w:after="0" w:line="183" w:lineRule="exact"/>
        <w:rPr>
          <w:rFonts w:ascii="Arial" w:cs="Arial" w:eastAsia="Arial" w:hAnsi="Arial"/>
          <w:sz w:val="18"/>
          <w:szCs w:val="18"/>
          <w:color w:val="auto"/>
        </w:rPr>
      </w:pPr>
    </w:p>
    <w:p>
      <w:pPr>
        <w:jc w:val="both"/>
        <w:ind w:left="880" w:right="120" w:hanging="8"/>
        <w:spacing w:after="0" w:line="263" w:lineRule="auto"/>
        <w:tabs>
          <w:tab w:leader="none" w:pos="1143" w:val="left"/>
        </w:tabs>
        <w:numPr>
          <w:ilvl w:val="1"/>
          <w:numId w:val="74"/>
        </w:numPr>
        <w:rPr>
          <w:rFonts w:ascii="Arial" w:cs="Arial" w:eastAsia="Arial" w:hAnsi="Arial"/>
          <w:sz w:val="18"/>
          <w:szCs w:val="18"/>
          <w:color w:val="auto"/>
        </w:rPr>
      </w:pPr>
      <w:r>
        <w:rPr>
          <w:rFonts w:ascii="Arial" w:cs="Arial" w:eastAsia="Arial" w:hAnsi="Arial"/>
          <w:sz w:val="18"/>
          <w:szCs w:val="18"/>
          <w:color w:val="auto"/>
        </w:rPr>
        <w:t>You will be expected to devote the necessary full-time business time and energies to the business and affairs of the Company in order to perform your duties and you shall perform the foregoing services at the principal office of the Company, or at any other location mutually agreed upon by you and the Company.</w:t>
      </w:r>
    </w:p>
    <w:p>
      <w:pPr>
        <w:spacing w:after="0" w:line="183" w:lineRule="exact"/>
        <w:rPr>
          <w:rFonts w:ascii="Arial" w:cs="Arial" w:eastAsia="Arial" w:hAnsi="Arial"/>
          <w:sz w:val="18"/>
          <w:szCs w:val="18"/>
          <w:color w:val="auto"/>
        </w:rPr>
      </w:pPr>
    </w:p>
    <w:p>
      <w:pPr>
        <w:jc w:val="both"/>
        <w:ind w:left="880" w:right="120" w:hanging="8"/>
        <w:spacing w:after="0" w:line="263" w:lineRule="auto"/>
        <w:tabs>
          <w:tab w:leader="none" w:pos="11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position at Synlogic is full-time and we anticipate you will devote your full energies to the role. However, we understand that you have continued obligations to serve on a current advisory board at Verseau Therapeutics. We support your continuation of this appointment provided (i) the obligation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2" w:name="page123"/>
    <w:bookmarkEnd w:id="122"/>
    <w:p>
      <w:pPr>
        <w:jc w:val="both"/>
        <w:ind w:left="440"/>
        <w:spacing w:after="0" w:line="286" w:lineRule="auto"/>
        <w:rPr>
          <w:sz w:val="20"/>
          <w:szCs w:val="20"/>
          <w:color w:val="auto"/>
        </w:rPr>
      </w:pPr>
      <w:r>
        <w:rPr>
          <w:rFonts w:ascii="Arial" w:cs="Arial" w:eastAsia="Arial" w:hAnsi="Arial"/>
          <w:sz w:val="17"/>
          <w:szCs w:val="17"/>
          <w:color w:val="auto"/>
        </w:rPr>
        <w:t>limited to a single advisory board/consultancy, (ii) the obligation does not exceed 5 hours per month, (iii) there is no conflict of interest with current or future Synlogic business, (iv) work for the advisory board is completed outside of Synlogic core hours, at a remote location, and on a 3</w:t>
      </w:r>
      <w:r>
        <w:rPr>
          <w:rFonts w:ascii="Arial" w:cs="Arial" w:eastAsia="Arial" w:hAnsi="Arial"/>
          <w:sz w:val="14"/>
          <w:szCs w:val="14"/>
          <w:color w:val="auto"/>
        </w:rPr>
        <w:t>rd</w:t>
      </w:r>
      <w:r>
        <w:rPr>
          <w:rFonts w:ascii="Arial" w:cs="Arial" w:eastAsia="Arial" w:hAnsi="Arial"/>
          <w:sz w:val="17"/>
          <w:szCs w:val="17"/>
          <w:color w:val="auto"/>
        </w:rPr>
        <w:t xml:space="preserve"> parties computer and network, (v) any variance to the above terms is agreed in advance with the company.</w:t>
      </w:r>
    </w:p>
    <w:p>
      <w:pPr>
        <w:spacing w:after="0" w:line="165" w:lineRule="exact"/>
        <w:rPr>
          <w:sz w:val="20"/>
          <w:szCs w:val="20"/>
          <w:color w:val="auto"/>
        </w:rPr>
      </w:pPr>
    </w:p>
    <w:p>
      <w:pPr>
        <w:ind w:left="440" w:hanging="440"/>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238" w:lineRule="exact"/>
        <w:rPr>
          <w:rFonts w:ascii="Arial" w:cs="Arial" w:eastAsia="Arial" w:hAnsi="Arial"/>
          <w:sz w:val="18"/>
          <w:szCs w:val="18"/>
          <w:color w:val="auto"/>
        </w:rPr>
      </w:pPr>
    </w:p>
    <w:p>
      <w:pPr>
        <w:ind w:left="440" w:hanging="8"/>
        <w:spacing w:after="0" w:line="277" w:lineRule="auto"/>
        <w:tabs>
          <w:tab w:leader="none" w:pos="6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Base Salary. Your initial salary during will be at the rate of $325,000 per annum, which shall be prorated for any partial year, month or week.</w:t>
      </w:r>
    </w:p>
    <w:p>
      <w:pPr>
        <w:spacing w:after="0" w:line="170" w:lineRule="exact"/>
        <w:rPr>
          <w:rFonts w:ascii="Arial" w:cs="Arial" w:eastAsia="Arial" w:hAnsi="Arial"/>
          <w:sz w:val="18"/>
          <w:szCs w:val="18"/>
          <w:color w:val="auto"/>
        </w:rPr>
      </w:pPr>
    </w:p>
    <w:p>
      <w:pPr>
        <w:jc w:val="both"/>
        <w:ind w:left="440" w:hanging="8"/>
        <w:spacing w:after="0" w:line="259" w:lineRule="auto"/>
        <w:tabs>
          <w:tab w:leader="none" w:pos="6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Bonus Opportunity. You will have the opportunity to earn a bonus of up to thirty percent (30%) of your annual base salary per year, based on the achievement of or progress toward individual departmental and/or corporate objectives and goals, as reasonably determined by the Board of Directors (the “Board”), provided that to be eligible for any such bonus, you must be employed by the Company in good standing at the time such bonus is awarded.</w:t>
      </w:r>
    </w:p>
    <w:p>
      <w:pPr>
        <w:spacing w:after="0" w:line="186" w:lineRule="exact"/>
        <w:rPr>
          <w:rFonts w:ascii="Arial" w:cs="Arial" w:eastAsia="Arial" w:hAnsi="Arial"/>
          <w:sz w:val="18"/>
          <w:szCs w:val="18"/>
          <w:color w:val="auto"/>
        </w:rPr>
      </w:pPr>
    </w:p>
    <w:p>
      <w:pPr>
        <w:jc w:val="both"/>
        <w:ind w:left="440" w:hanging="8"/>
        <w:spacing w:after="0" w:line="253" w:lineRule="auto"/>
        <w:tabs>
          <w:tab w:leader="none" w:pos="689" w:val="left"/>
        </w:tabs>
        <w:numPr>
          <w:ilvl w:val="1"/>
          <w:numId w:val="75"/>
        </w:numPr>
        <w:rPr>
          <w:rFonts w:ascii="Arial" w:cs="Arial" w:eastAsia="Arial" w:hAnsi="Arial"/>
          <w:sz w:val="18"/>
          <w:szCs w:val="18"/>
          <w:color w:val="auto"/>
        </w:rPr>
      </w:pPr>
      <w:r>
        <w:rPr>
          <w:rFonts w:ascii="Arial" w:cs="Arial" w:eastAsia="Arial" w:hAnsi="Arial"/>
          <w:sz w:val="18"/>
          <w:szCs w:val="18"/>
          <w:color w:val="auto"/>
        </w:rPr>
        <w:t>Equity. Subject to the terms of the Company’s then applicable equity incentive plan (“Incentive Plan”) and form of option agreement, and subject to approval by the Board of Directors of the Company at the first regularly scheduled meeting following the Start Date, you will be granted an option to purchase an aggregate of fifty thousand (50,000) shares of common stock, at an exercise price per share equal to the Fair Market Value (as defined in the Incentive Plan) of the Common Stock on the date of the grant, intended to qualify as an “incentive stock option” to the to the maximum extent allowed under Section 422 of the Internal Revenue Code. The option will vest as to one-fourth (1/4th) of the shares, on the first anniversary of the Start Date, and the remainder will vest at one-forty-eighth (1/48th) per month thereafter. All tax consequences resulting from the grant, vesting, or exercise of the option to or by you, or from the disposition by you of such shares of Common Stock, will be your responsibility. You also will be eligible for annual equity grants at the same time when other executives receive these grants.</w:t>
      </w:r>
    </w:p>
    <w:p>
      <w:pPr>
        <w:spacing w:after="0" w:line="196" w:lineRule="exact"/>
        <w:rPr>
          <w:rFonts w:ascii="Arial" w:cs="Arial" w:eastAsia="Arial" w:hAnsi="Arial"/>
          <w:sz w:val="18"/>
          <w:szCs w:val="18"/>
          <w:color w:val="auto"/>
        </w:rPr>
      </w:pPr>
    </w:p>
    <w:p>
      <w:pPr>
        <w:ind w:left="440" w:hanging="8"/>
        <w:spacing w:after="0" w:line="277" w:lineRule="auto"/>
        <w:tabs>
          <w:tab w:leader="none" w:pos="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Expenses. You will be entitled to reimbursement for all ordinary and reasonable out-of-pocket business expenses that are reasonably incurred by you in furtherance of the Company’s business, following submission of reasonably detailed receipts.</w:t>
      </w:r>
    </w:p>
    <w:p>
      <w:pPr>
        <w:spacing w:after="0" w:line="170" w:lineRule="exact"/>
        <w:rPr>
          <w:rFonts w:ascii="Arial" w:cs="Arial" w:eastAsia="Arial" w:hAnsi="Arial"/>
          <w:sz w:val="18"/>
          <w:szCs w:val="18"/>
          <w:color w:val="auto"/>
        </w:rPr>
      </w:pPr>
    </w:p>
    <w:p>
      <w:pPr>
        <w:jc w:val="both"/>
        <w:ind w:left="440" w:hanging="8"/>
        <w:spacing w:after="0" w:line="275" w:lineRule="auto"/>
        <w:tabs>
          <w:tab w:leader="none" w:pos="785" w:val="left"/>
        </w:tabs>
        <w:numPr>
          <w:ilvl w:val="1"/>
          <w:numId w:val="75"/>
        </w:numPr>
        <w:rPr>
          <w:rFonts w:ascii="Arial" w:cs="Arial" w:eastAsia="Arial" w:hAnsi="Arial"/>
          <w:sz w:val="17"/>
          <w:szCs w:val="17"/>
          <w:color w:val="auto"/>
        </w:rPr>
      </w:pPr>
      <w:r>
        <w:rPr>
          <w:rFonts w:ascii="Arial" w:cs="Arial" w:eastAsia="Arial" w:hAnsi="Arial"/>
          <w:sz w:val="17"/>
          <w:szCs w:val="17"/>
          <w:color w:val="auto"/>
        </w:rPr>
        <w:t>Sign-on Bonus. You will be entitled to receive a separate sign-on bonus of twenty thousand dollars ($20,000), less any applicable withholding or other taxes. The sign-on bonus will be payable within two payroll cycles after your start date. You understand and agree that in the event that you voluntarily terminate your employment or your employment is terminated on or before the second anniversary of your Start Date, you shall repay the sign-on bonus in full, and that the Company may deduct such payment from your wages or other amounts due to you at the time of termination as an established debt owed by you to the Company.</w:t>
      </w:r>
    </w:p>
    <w:p>
      <w:pPr>
        <w:spacing w:after="0" w:line="17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760" w:top="355" w:right="459" w:bottom="1440" w:gutter="0" w:footer="0" w:header="0"/>
        </w:sectPr>
      </w:pPr>
    </w:p>
    <w:bookmarkStart w:id="123" w:name="page124"/>
    <w:bookmarkEnd w:id="123"/>
    <w:p>
      <w:pPr>
        <w:ind w:left="440" w:hanging="440"/>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Benefits.</w:t>
      </w:r>
    </w:p>
    <w:p>
      <w:pPr>
        <w:spacing w:after="0" w:line="238" w:lineRule="exact"/>
        <w:rPr>
          <w:rFonts w:ascii="Arial" w:cs="Arial" w:eastAsia="Arial" w:hAnsi="Arial"/>
          <w:sz w:val="18"/>
          <w:szCs w:val="18"/>
          <w:color w:val="auto"/>
        </w:rPr>
      </w:pPr>
    </w:p>
    <w:p>
      <w:pPr>
        <w:jc w:val="both"/>
        <w:ind w:left="440" w:hanging="8"/>
        <w:spacing w:after="0" w:line="263" w:lineRule="auto"/>
        <w:tabs>
          <w:tab w:leader="none" w:pos="699" w:val="left"/>
        </w:tabs>
        <w:numPr>
          <w:ilvl w:val="1"/>
          <w:numId w:val="76"/>
        </w:numPr>
        <w:rPr>
          <w:rFonts w:ascii="Arial" w:cs="Arial" w:eastAsia="Arial" w:hAnsi="Arial"/>
          <w:sz w:val="18"/>
          <w:szCs w:val="18"/>
          <w:color w:val="auto"/>
        </w:rPr>
      </w:pPr>
      <w:r>
        <w:rPr>
          <w:rFonts w:ascii="Arial" w:cs="Arial" w:eastAsia="Arial" w:hAnsi="Arial"/>
          <w:sz w:val="18"/>
          <w:szCs w:val="18"/>
          <w:color w:val="auto"/>
        </w:rPr>
        <w:t>Vacation. You will be eligible for four (4) weeks paid vacation on top of the standard Massachusetts vacation days. Vacation eligibility will accrue at a rate of five (5) days per fiscal quarter of service, and up to five (5) unused vacation days may be carried over from one year to the next year.</w:t>
      </w:r>
    </w:p>
    <w:p>
      <w:pPr>
        <w:spacing w:after="0" w:line="183" w:lineRule="exact"/>
        <w:rPr>
          <w:rFonts w:ascii="Arial" w:cs="Arial" w:eastAsia="Arial" w:hAnsi="Arial"/>
          <w:sz w:val="18"/>
          <w:szCs w:val="18"/>
          <w:color w:val="auto"/>
        </w:rPr>
      </w:pPr>
    </w:p>
    <w:p>
      <w:pPr>
        <w:jc w:val="both"/>
        <w:ind w:left="440" w:hanging="8"/>
        <w:spacing w:after="0" w:line="259" w:lineRule="auto"/>
        <w:tabs>
          <w:tab w:leader="none" w:pos="712" w:val="left"/>
        </w:tabs>
        <w:numPr>
          <w:ilvl w:val="1"/>
          <w:numId w:val="76"/>
        </w:numPr>
        <w:rPr>
          <w:rFonts w:ascii="Arial" w:cs="Arial" w:eastAsia="Arial" w:hAnsi="Arial"/>
          <w:sz w:val="18"/>
          <w:szCs w:val="18"/>
          <w:color w:val="auto"/>
        </w:rPr>
      </w:pPr>
      <w:r>
        <w:rPr>
          <w:rFonts w:ascii="Arial" w:cs="Arial" w:eastAsia="Arial" w:hAnsi="Arial"/>
          <w:sz w:val="18"/>
          <w:szCs w:val="18"/>
          <w:color w:val="auto"/>
        </w:rPr>
        <w:t>Benefits. You will be eligible to participate in the benefits provided by the Company to its employees. Where any particular benefit is governed by a formal plan document, your eligibility and coverage will be determined by such document, and the Company may change its benefit offerings from time to time in its discretion to meet its business needs. The Company retains the right to change, add or cease any particular benefit.</w:t>
      </w:r>
    </w:p>
    <w:p>
      <w:pPr>
        <w:spacing w:after="0" w:line="186" w:lineRule="exact"/>
        <w:rPr>
          <w:rFonts w:ascii="Arial" w:cs="Arial" w:eastAsia="Arial" w:hAnsi="Arial"/>
          <w:sz w:val="18"/>
          <w:szCs w:val="18"/>
          <w:color w:val="auto"/>
        </w:rPr>
      </w:pPr>
    </w:p>
    <w:p>
      <w:pPr>
        <w:jc w:val="both"/>
        <w:ind w:left="440" w:hanging="440"/>
        <w:spacing w:after="0" w:line="259"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Confidentiality, Inventions and Non-Competition. The Company considers the protection of its confidential information and proprietary materials to be very important. Therefore, as a condition of your employment, you and the Company will become parties to an Non-Competition, Non-Solicitation, Invention and Non-Disclosure Agreement substantially in the form of </w:t>
      </w:r>
      <w:r>
        <w:rPr>
          <w:rFonts w:ascii="Arial" w:cs="Arial" w:eastAsia="Arial" w:hAnsi="Arial"/>
          <w:sz w:val="18"/>
          <w:szCs w:val="18"/>
          <w:u w:val="single" w:color="auto"/>
          <w:color w:val="auto"/>
        </w:rPr>
        <w:t>Attachment A-1</w:t>
      </w:r>
      <w:r>
        <w:rPr>
          <w:rFonts w:ascii="Arial" w:cs="Arial" w:eastAsia="Arial" w:hAnsi="Arial"/>
          <w:sz w:val="18"/>
          <w:szCs w:val="18"/>
          <w:color w:val="auto"/>
        </w:rPr>
        <w:t xml:space="preserve"> to this letter (the “Related Agreement”).</w:t>
      </w:r>
    </w:p>
    <w:p>
      <w:pPr>
        <w:spacing w:after="0" w:line="186" w:lineRule="exact"/>
        <w:rPr>
          <w:rFonts w:ascii="Arial" w:cs="Arial" w:eastAsia="Arial" w:hAnsi="Arial"/>
          <w:sz w:val="18"/>
          <w:szCs w:val="18"/>
          <w:color w:val="auto"/>
        </w:rPr>
      </w:pPr>
    </w:p>
    <w:p>
      <w:pPr>
        <w:ind w:left="440" w:hanging="440"/>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Termination and Severance. Your employment may be terminated by you or the Company as follows:</w:t>
      </w:r>
    </w:p>
    <w:p>
      <w:pPr>
        <w:spacing w:after="0" w:line="238" w:lineRule="exact"/>
        <w:rPr>
          <w:rFonts w:ascii="Arial" w:cs="Arial" w:eastAsia="Arial" w:hAnsi="Arial"/>
          <w:sz w:val="18"/>
          <w:szCs w:val="18"/>
          <w:color w:val="auto"/>
        </w:rPr>
      </w:pPr>
    </w:p>
    <w:p>
      <w:pPr>
        <w:jc w:val="both"/>
        <w:ind w:left="440" w:hanging="8"/>
        <w:spacing w:after="0" w:line="263" w:lineRule="auto"/>
        <w:tabs>
          <w:tab w:leader="none" w:pos="70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may terminate your employment for “Cause” (as defined below) upon written notice to you effectively immediately, in which case you will not be entitled to receive any form of payment other than your earned compensation through your date of separation and reimbursable expenses;</w:t>
      </w:r>
    </w:p>
    <w:p>
      <w:pPr>
        <w:spacing w:after="0" w:line="183" w:lineRule="exact"/>
        <w:rPr>
          <w:rFonts w:ascii="Arial" w:cs="Arial" w:eastAsia="Arial" w:hAnsi="Arial"/>
          <w:sz w:val="18"/>
          <w:szCs w:val="18"/>
          <w:color w:val="auto"/>
        </w:rPr>
      </w:pPr>
    </w:p>
    <w:p>
      <w:pPr>
        <w:jc w:val="both"/>
        <w:ind w:left="440" w:hanging="8"/>
        <w:spacing w:after="0" w:line="263" w:lineRule="auto"/>
        <w:tabs>
          <w:tab w:leader="none" w:pos="711"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may terminate your employment voluntarily other than for “Good Reason” (as defined below) upon at least thirty (30) days’ prior written notice to the Company, in which case you will not be entitled to receive any form of payment other than your earned compensation through your date of separation and reimbursable expenses; and</w:t>
      </w:r>
    </w:p>
    <w:p>
      <w:pPr>
        <w:spacing w:after="0" w:line="183" w:lineRule="exact"/>
        <w:rPr>
          <w:rFonts w:ascii="Arial" w:cs="Arial" w:eastAsia="Arial" w:hAnsi="Arial"/>
          <w:sz w:val="18"/>
          <w:szCs w:val="18"/>
          <w:color w:val="auto"/>
        </w:rPr>
      </w:pPr>
    </w:p>
    <w:p>
      <w:pPr>
        <w:jc w:val="both"/>
        <w:ind w:left="440" w:hanging="8"/>
        <w:spacing w:after="0" w:line="289" w:lineRule="auto"/>
        <w:tabs>
          <w:tab w:leader="none" w:pos="689" w:val="left"/>
        </w:tabs>
        <w:numPr>
          <w:ilvl w:val="1"/>
          <w:numId w:val="76"/>
        </w:numPr>
        <w:rPr>
          <w:rFonts w:ascii="Arial" w:cs="Arial" w:eastAsia="Arial" w:hAnsi="Arial"/>
          <w:sz w:val="16"/>
          <w:szCs w:val="16"/>
          <w:color w:val="auto"/>
        </w:rPr>
      </w:pPr>
      <w:r>
        <w:rPr>
          <w:rFonts w:ascii="Arial" w:cs="Arial" w:eastAsia="Arial" w:hAnsi="Arial"/>
          <w:sz w:val="16"/>
          <w:szCs w:val="16"/>
          <w:color w:val="auto"/>
        </w:rPr>
        <w:t>(i) the Company may terminate your employment other than for “Cause” upon written notice to you and (ii) you may you terminate your employment voluntarily for “Good Reason” upon at least thirty (30) days’ prior written notice to the Company, whereupon, in each case subject to and conditioned upon your execution and delivery to the Company of a formal separation agreement (which will contain, among other obligations, your release of all claims against the Company and related persons and entities, and confidentiality/non-disparagement and non-compete provisions in a form and manner satisfactory to the Company), the Company will: (A) pay you salary continuation payments at your then Base Salary rate for a period of six (6) months (the “Severance Period”) following the termination of your employment, in accordance with the Company’s regularly established payroll procedure (the “Severance Payments”), and (B) provided you are eligible for and timely elect to continue receiving group medical insurance pursuant to the “COBRA” law, continue to pay the share of the premium for health coverage that is paid by the Company for active and similarly-situated employees who receive the same type of coverage until the</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760" w:top="355" w:right="459" w:bottom="1440" w:gutter="0" w:footer="0" w:header="0"/>
        </w:sectPr>
      </w:pPr>
    </w:p>
    <w:bookmarkStart w:id="124" w:name="page125"/>
    <w:bookmarkEnd w:id="124"/>
    <w:p>
      <w:pPr>
        <w:jc w:val="both"/>
        <w:ind w:left="8"/>
        <w:spacing w:after="0" w:line="270" w:lineRule="auto"/>
        <w:rPr>
          <w:sz w:val="20"/>
          <w:szCs w:val="20"/>
          <w:color w:val="auto"/>
        </w:rPr>
      </w:pPr>
      <w:r>
        <w:rPr>
          <w:rFonts w:ascii="Arial" w:cs="Arial" w:eastAsia="Arial" w:hAnsi="Arial"/>
          <w:sz w:val="17"/>
          <w:szCs w:val="17"/>
          <w:color w:val="auto"/>
        </w:rPr>
        <w:t>earlier of (i) the last day of the Severance Period, or (ii) the date on which you become eligible for healthcare insurance with a subsequent employer, unless the Company’s provision of such COBRA payments will violate the nondiscrimination requirements of applicable law, in which case this benefit will not apply. In addition, within sixty (60) days following such resignation or termination, as applicable, the Company will pay you a lump-sum payment equal to the prorated portion of your current target bonus for the fiscal year in which you are terminated (with such prorated portion determined by the number of days you were employed during such fiscal year). To the extent applicable, the Severance Payments, “COBRA” payments and lump-sum payment will commence (or, in the case of the lump-sum payment, be paid) within sixty (60) days after your termination, and once they commence, will include any unpaid amounts accrued from the date of your termination; provided, that, if such 60-day period spans two calendar years, then such payments in any event will commence, or if applicable, be paid in the second calendar year.</w:t>
      </w:r>
    </w:p>
    <w:p>
      <w:pPr>
        <w:spacing w:after="0" w:line="181" w:lineRule="exact"/>
        <w:rPr>
          <w:sz w:val="20"/>
          <w:szCs w:val="20"/>
          <w:color w:val="auto"/>
        </w:rPr>
      </w:pPr>
    </w:p>
    <w:p>
      <w:pPr>
        <w:jc w:val="both"/>
        <w:ind w:left="8" w:hanging="8"/>
        <w:spacing w:after="0" w:line="253" w:lineRule="auto"/>
        <w:tabs>
          <w:tab w:leader="none" w:pos="294"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purposes of this letter, “Cause” means (i) your conviction of a felony, your plea of guilty or “no contest” to a felony, or your confession of guilt to a felony, in each case whether or not in connection with the performance of your duties to the Company, (ii) any act or omission by you which constitutes willful misconduct or negligence that results in loss, damage or injury to the Company or its prospects, including, but not limited to (A) disloyalty, dishonesty or a breach of fiduciary duty to the Company or its shareholders, (B) theft, fraud, embezzlement or other illegal conduct, or (C) deliberate disregard of a rule or policy of the Company, (iii) your failure, refusal or unwillingness to perform, to the reasonable satisfaction of the Board or Company. determined in good faith, any duty or responsibility assigned to you in connection with the performance of your duties hereunder, which failure of performance continues for a period of more than two weeks after written notice thereof has been provided to you by the Company or the Board, such notice to set forth in reasonable detail the nature of such failure of performance, or (iv) the material breach by you of any of the provisions of this letter or the Related Agreements.</w:t>
      </w:r>
    </w:p>
    <w:p>
      <w:pPr>
        <w:spacing w:after="0" w:line="194" w:lineRule="exact"/>
        <w:rPr>
          <w:rFonts w:ascii="Arial" w:cs="Arial" w:eastAsia="Arial" w:hAnsi="Arial"/>
          <w:sz w:val="18"/>
          <w:szCs w:val="18"/>
          <w:color w:val="auto"/>
        </w:rPr>
      </w:pPr>
    </w:p>
    <w:p>
      <w:pPr>
        <w:jc w:val="both"/>
        <w:ind w:left="8" w:hanging="8"/>
        <w:spacing w:after="0" w:line="273" w:lineRule="auto"/>
        <w:tabs>
          <w:tab w:leader="none" w:pos="256"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purposes of this letter, “Good Reason” means, in the context of your resignation from your employment position with the Company, a resignation that occurs within thirty (30) days following: (i) a change in the principal location at which you provide services to the Company beyond fifty (50) miles from Cambridge, MA; (ii) a reduction in your compensation or a material reduction in your benefits, except such a reduction in connection with a general reduction in compensation or other benefits of all senior executives of the Company; (iii) a material breach of this letter by the Company that has not been cured within two weeks days after written notice thereof by you to the Company; or (iv) a failure by the Company to obtain the assumption of this letter by any successor to the Company.</w:t>
      </w:r>
    </w:p>
    <w:p>
      <w:pPr>
        <w:spacing w:after="0" w:line="177" w:lineRule="exact"/>
        <w:rPr>
          <w:rFonts w:ascii="Arial" w:cs="Arial" w:eastAsia="Arial" w:hAnsi="Arial"/>
          <w:sz w:val="17"/>
          <w:szCs w:val="17"/>
          <w:color w:val="auto"/>
        </w:rPr>
      </w:pPr>
    </w:p>
    <w:p>
      <w:pPr>
        <w:jc w:val="both"/>
        <w:ind w:left="8" w:hanging="8"/>
        <w:spacing w:after="0" w:line="279" w:lineRule="auto"/>
        <w:tabs>
          <w:tab w:leader="none" w:pos="267"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of your death or permanent disability (as defined below) while you are employed by the Company, your employment hereunder shall immediately and automatically terminate and the Company shall pay to you or your personal representative or designated beneficiary or, if no beneficiary has been designated by you, to your estate, any earned and unpaid base salary, pro-rated through the date of your death or permanent disability. For purposes of this letter, “Permanent Disability” shall mean your inability,</w:t>
      </w:r>
    </w:p>
    <w:p>
      <w:pPr>
        <w:spacing w:after="0" w:line="171"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48"/>
          </w:cols>
          <w:pgMar w:left="1192" w:top="355" w:right="459" w:bottom="1440" w:gutter="0" w:footer="0" w:header="0"/>
        </w:sectPr>
      </w:pPr>
    </w:p>
    <w:bookmarkStart w:id="125" w:name="page126"/>
    <w:bookmarkEnd w:id="125"/>
    <w:p>
      <w:pPr>
        <w:jc w:val="both"/>
        <w:ind w:left="440"/>
        <w:spacing w:after="0" w:line="257" w:lineRule="auto"/>
        <w:rPr>
          <w:sz w:val="20"/>
          <w:szCs w:val="20"/>
          <w:color w:val="auto"/>
        </w:rPr>
      </w:pPr>
      <w:r>
        <w:rPr>
          <w:rFonts w:ascii="Arial" w:cs="Arial" w:eastAsia="Arial" w:hAnsi="Arial"/>
          <w:sz w:val="18"/>
          <w:szCs w:val="18"/>
          <w:color w:val="auto"/>
        </w:rPr>
        <w:t>due to physical or mental illness or disease, to perform the functions then performed by you for one hundred eighty (180) consecutive days, accompanied by the likelihood, in the opinion of a physician chosen by the Company and reasonably acceptable to you, that you will be unable to perform such functions within the reasonably foreseeable future; provided that the foregoing definition shall not include a disability for which the Company is required to provide reasonable accommodation pursuant to the Americans with Disabilities Act or other similar statute or regulation.</w:t>
      </w:r>
    </w:p>
    <w:p>
      <w:pPr>
        <w:spacing w:after="0" w:line="188" w:lineRule="exact"/>
        <w:rPr>
          <w:sz w:val="20"/>
          <w:szCs w:val="20"/>
          <w:color w:val="auto"/>
        </w:rPr>
      </w:pPr>
    </w:p>
    <w:p>
      <w:pPr>
        <w:jc w:val="both"/>
        <w:ind w:left="440" w:hanging="8"/>
        <w:spacing w:after="0" w:line="286" w:lineRule="auto"/>
        <w:tabs>
          <w:tab w:leader="none" w:pos="699"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time for payment, or schedule for payment, of any severance payments due hereunder may not be accelerated, except as provided for in the Treasury Regulations promulgated under Section 409A of the Internal Revenue Code of 1986 (the “Code”), or any law replacing or superseding such Section or regulations. Notwithstanding the preceding provisions of this Section 7(g), in the case that you are deemed a “specified employee” (as defined in Section 409A(2)(B)(i) of the Code), no severance payment may be made earlier than the date which is six</w:t>
      </w:r>
    </w:p>
    <w:p>
      <w:pPr>
        <w:spacing w:after="0" w:line="1" w:lineRule="exact"/>
        <w:rPr>
          <w:rFonts w:ascii="Arial" w:cs="Arial" w:eastAsia="Arial" w:hAnsi="Arial"/>
          <w:sz w:val="16"/>
          <w:szCs w:val="16"/>
          <w:color w:val="auto"/>
        </w:rPr>
      </w:pPr>
    </w:p>
    <w:p>
      <w:pPr>
        <w:ind w:left="440"/>
        <w:spacing w:after="0" w:line="323" w:lineRule="auto"/>
        <w:rPr>
          <w:rFonts w:ascii="Arial" w:cs="Arial" w:eastAsia="Arial" w:hAnsi="Arial"/>
          <w:sz w:val="16"/>
          <w:szCs w:val="16"/>
          <w:color w:val="auto"/>
        </w:rPr>
      </w:pPr>
      <w:r>
        <w:rPr>
          <w:rFonts w:ascii="Arial" w:cs="Arial" w:eastAsia="Arial" w:hAnsi="Arial"/>
          <w:sz w:val="16"/>
          <w:szCs w:val="16"/>
          <w:color w:val="auto"/>
        </w:rPr>
        <w:t>(6) months after the termination of employment hereunder (or, if earlier, the date of the death of the Executive) if and to the extent required by applicable law or other rules of any stock exchange upon which any of shares of the Company’s capital stock are then traded.</w:t>
      </w:r>
    </w:p>
    <w:p>
      <w:pPr>
        <w:spacing w:after="0" w:line="138" w:lineRule="exact"/>
        <w:rPr>
          <w:rFonts w:ascii="Arial" w:cs="Arial" w:eastAsia="Arial" w:hAnsi="Arial"/>
          <w:sz w:val="16"/>
          <w:szCs w:val="16"/>
          <w:color w:val="auto"/>
        </w:rPr>
      </w:pPr>
    </w:p>
    <w:p>
      <w:pPr>
        <w:ind w:left="440" w:hanging="440"/>
        <w:spacing w:after="0"/>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 of Control.</w:t>
      </w:r>
    </w:p>
    <w:p>
      <w:pPr>
        <w:spacing w:after="0" w:line="238" w:lineRule="exact"/>
        <w:rPr>
          <w:rFonts w:ascii="Arial" w:cs="Arial" w:eastAsia="Arial" w:hAnsi="Arial"/>
          <w:sz w:val="18"/>
          <w:szCs w:val="18"/>
          <w:color w:val="auto"/>
        </w:rPr>
      </w:pPr>
    </w:p>
    <w:p>
      <w:pPr>
        <w:jc w:val="both"/>
        <w:ind w:left="440" w:hanging="8"/>
        <w:spacing w:after="0" w:line="287" w:lineRule="auto"/>
        <w:tabs>
          <w:tab w:leader="none" w:pos="7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Notwithstanding anything to the contrary in any then outstanding option agreement or stock based award, and subject to any permitted action by the Board under the Company’s applicable equity plan to terminate options or other stock based awards upon a Change of Control, in the event that, within the twelve (12) month period that immediately follows or the thirty (30) day period immediately prior to a Change in Control (as defined below), your employment with the Company is terminated: (i) on account of your death or Permanent Disability, (ii) by the Company without Cause, or (iii) as a result of your resignation for Good Reason, then all of your then unvested restricted stock and/or options to purchase shares of the Company’s Common Stock shall accelerate and become fully vested. As used herein, “Change in Control” shall mean the (i) the sale of the Company by merger in which the shareholders of the Company in their capacity as such no longer own a majority of the outstanding equity securities of the Company (or its successor); (ii) any sale of all or substantially all of the assets or capital stock of the Company (other than in a spin-off or similar transaction); or (iii)) any other acquisition of the business of the Company, as determined by the Company’s Board of Directors in their sole discretion. For the avoidance of doubt, in no event shall a bona fide equity or debt financing of the Company, including a financing in which greater than 50% of the Company’s outstanding equity securities are acquired by a third-party be deemed a “Change of Control” for purposes of this letter.</w:t>
      </w:r>
    </w:p>
    <w:p>
      <w:pPr>
        <w:spacing w:after="0" w:line="16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760" w:top="355" w:right="459" w:bottom="1440" w:gutter="0" w:footer="0" w:header="0"/>
        </w:sectPr>
      </w:pPr>
    </w:p>
    <w:bookmarkStart w:id="126" w:name="page127"/>
    <w:bookmarkEnd w:id="126"/>
    <w:p>
      <w:pPr>
        <w:ind w:left="440" w:hanging="440"/>
        <w:spacing w:after="0"/>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General.</w:t>
      </w:r>
    </w:p>
    <w:p>
      <w:pPr>
        <w:spacing w:after="0" w:line="238" w:lineRule="exact"/>
        <w:rPr>
          <w:rFonts w:ascii="Arial" w:cs="Arial" w:eastAsia="Arial" w:hAnsi="Arial"/>
          <w:sz w:val="18"/>
          <w:szCs w:val="18"/>
          <w:color w:val="auto"/>
        </w:rPr>
      </w:pPr>
    </w:p>
    <w:p>
      <w:pPr>
        <w:ind w:left="440" w:hanging="8"/>
        <w:spacing w:after="0" w:line="308" w:lineRule="auto"/>
        <w:tabs>
          <w:tab w:leader="none" w:pos="7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Entire Agreement. This letter, together with the Related Agreements, will constitute our entire agreement as to your employment by or consultancy for the Company and will supersede any prior agreements or understandings, whether in writing or oral.</w:t>
      </w:r>
    </w:p>
    <w:p>
      <w:pPr>
        <w:spacing w:after="0" w:line="146" w:lineRule="exact"/>
        <w:rPr>
          <w:rFonts w:ascii="Arial" w:cs="Arial" w:eastAsia="Arial" w:hAnsi="Arial"/>
          <w:sz w:val="17"/>
          <w:szCs w:val="17"/>
          <w:color w:val="auto"/>
        </w:rPr>
      </w:pPr>
    </w:p>
    <w:p>
      <w:pPr>
        <w:jc w:val="both"/>
        <w:ind w:left="440" w:hanging="8"/>
        <w:spacing w:after="0" w:line="254" w:lineRule="auto"/>
        <w:tabs>
          <w:tab w:leader="none" w:pos="702"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Notices. All notices, requests, consents and other communications hereunder will be in writing, will be addressed to the receiving party’s address set forth above or to such other address as a party may designate by notice hereunder, and will be either (i) delivered by hand, (ii) sent by overnight courier, (iii) sent by registered mail, return receipt requested, postage prepaid (iv) sent by facsimile, electronic mail or electronic PDF transmission, in each case with confirmation retained. All notices, requests, consents and other communications hereunder will be deemed to have been given either (i) if by hand, at the time of the delivery thereof to the receiving party at the address of such party set forth above, (ii) if sent by overnight courier, on the next business day following the day such notice is delivered to the courier service, (iii) if sent by registered mail, on the fifth business day following the day such mailing is made or (iv) when confirmation is received, if sent by facsimile or electronic transmission.</w:t>
      </w:r>
    </w:p>
    <w:p>
      <w:pPr>
        <w:spacing w:after="0" w:line="191" w:lineRule="exact"/>
        <w:rPr>
          <w:rFonts w:ascii="Arial" w:cs="Arial" w:eastAsia="Arial" w:hAnsi="Arial"/>
          <w:sz w:val="18"/>
          <w:szCs w:val="18"/>
          <w:color w:val="auto"/>
        </w:rPr>
      </w:pPr>
    </w:p>
    <w:p>
      <w:pPr>
        <w:ind w:left="440" w:right="20" w:hanging="8"/>
        <w:spacing w:after="0" w:line="277" w:lineRule="auto"/>
        <w:tabs>
          <w:tab w:leader="none" w:pos="6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Modifications and Amendments. The terms and provisions of this letter may be modified or amended only by written agreement executed by the parties hereto.</w:t>
      </w:r>
    </w:p>
    <w:p>
      <w:pPr>
        <w:spacing w:after="0" w:line="170" w:lineRule="exact"/>
        <w:rPr>
          <w:rFonts w:ascii="Arial" w:cs="Arial" w:eastAsia="Arial" w:hAnsi="Arial"/>
          <w:sz w:val="18"/>
          <w:szCs w:val="18"/>
          <w:color w:val="auto"/>
        </w:rPr>
      </w:pPr>
    </w:p>
    <w:p>
      <w:pPr>
        <w:jc w:val="both"/>
        <w:ind w:left="440" w:hanging="8"/>
        <w:spacing w:after="0" w:line="257" w:lineRule="auto"/>
        <w:tabs>
          <w:tab w:leader="none" w:pos="7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Waivers and Consents. The terms and provisions of this letter may be waived, or consent for the departure therefrom granted, only by written document executed by the party entitled to the benefits of such terms or provisions. No such waiver or consent will be deemed to be or will constitute a waiver or consent with respect to any other terms or provisions of this letter, whether or not similar. Each such waiver or consent will be effective only in the specific instance and for the purpose for which it was given, and will not constitute a continuing waiver or consent.</w:t>
      </w:r>
    </w:p>
    <w:p>
      <w:pPr>
        <w:spacing w:after="0" w:line="187" w:lineRule="exact"/>
        <w:rPr>
          <w:rFonts w:ascii="Arial" w:cs="Arial" w:eastAsia="Arial" w:hAnsi="Arial"/>
          <w:sz w:val="18"/>
          <w:szCs w:val="18"/>
          <w:color w:val="auto"/>
        </w:rPr>
      </w:pPr>
    </w:p>
    <w:p>
      <w:pPr>
        <w:jc w:val="both"/>
        <w:ind w:left="440" w:hanging="8"/>
        <w:spacing w:after="0" w:line="259" w:lineRule="auto"/>
        <w:tabs>
          <w:tab w:leader="none" w:pos="69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Assignment. The Company may assign its rights and obligations hereunder to any person or entity that succeeds to all or substantially all of the Company’s business or that aspect of the Company’s business in which you are principally involved. You may not assign your rights and obligations under this letter without the prior written consent of the Company and any such attempted assignment by you without the prior written consent of the Company will be void.</w:t>
      </w:r>
    </w:p>
    <w:p>
      <w:pPr>
        <w:spacing w:after="0" w:line="186" w:lineRule="exact"/>
        <w:rPr>
          <w:rFonts w:ascii="Arial" w:cs="Arial" w:eastAsia="Arial" w:hAnsi="Arial"/>
          <w:sz w:val="18"/>
          <w:szCs w:val="18"/>
          <w:color w:val="auto"/>
        </w:rPr>
      </w:pPr>
    </w:p>
    <w:p>
      <w:pPr>
        <w:jc w:val="both"/>
        <w:ind w:left="440" w:hanging="8"/>
        <w:spacing w:after="0" w:line="259" w:lineRule="auto"/>
        <w:tabs>
          <w:tab w:leader="none" w:pos="6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Benefit. All statements, representations, warranties, covenants and agreements in this letter will be binding on the parties hereto and will inure to the benefit of the respective successors and permitted assigns of each party hereto. Nothing in this letter will be construed to create any rights or obligations except between the Company and you, and no person or entity other than the Company will be regarded as a third party beneficiary of this letter.</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760" w:top="355" w:right="459" w:bottom="1440" w:gutter="0" w:footer="0" w:header="0"/>
        </w:sectPr>
      </w:pPr>
    </w:p>
    <w:bookmarkStart w:id="127" w:name="page128"/>
    <w:bookmarkEnd w:id="127"/>
    <w:p>
      <w:pPr>
        <w:ind w:left="8" w:hanging="8"/>
        <w:spacing w:after="0" w:line="277" w:lineRule="auto"/>
        <w:tabs>
          <w:tab w:leader="none" w:pos="2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Governing Law. This letter and the rights and obligations of the parties hereunder will be construed in accordance with and governed by the law of The Commonwealth of Massachusetts, without giving effect to the conflict of law principles thereof.</w:t>
      </w:r>
    </w:p>
    <w:p>
      <w:pPr>
        <w:spacing w:after="0" w:line="170" w:lineRule="exact"/>
        <w:rPr>
          <w:rFonts w:ascii="Arial" w:cs="Arial" w:eastAsia="Arial" w:hAnsi="Arial"/>
          <w:sz w:val="18"/>
          <w:szCs w:val="18"/>
          <w:color w:val="auto"/>
        </w:rPr>
      </w:pPr>
    </w:p>
    <w:p>
      <w:pPr>
        <w:jc w:val="both"/>
        <w:ind w:left="8" w:hanging="8"/>
        <w:spacing w:after="0" w:line="259" w:lineRule="auto"/>
        <w:tabs>
          <w:tab w:leader="none" w:pos="2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Jurisdiction, Venue and Service of Process. Any legal action or proceeding with respect to this letter will be brought in the courts of The Commonwealth of Massachusetts (or, if appropriate, a federal court located within The Commonwealth of Massachusetts). By execution and delivery of this letter, each of the parties hereto accepts for itself and in respect of its property, generally and unconditionally, the exclusive jurisdiction of the aforesaid courts.</w:t>
      </w:r>
    </w:p>
    <w:p>
      <w:pPr>
        <w:spacing w:after="0" w:line="186" w:lineRule="exact"/>
        <w:rPr>
          <w:rFonts w:ascii="Arial" w:cs="Arial" w:eastAsia="Arial" w:hAnsi="Arial"/>
          <w:sz w:val="18"/>
          <w:szCs w:val="18"/>
          <w:color w:val="auto"/>
        </w:rPr>
      </w:pPr>
    </w:p>
    <w:p>
      <w:pPr>
        <w:jc w:val="both"/>
        <w:ind w:left="8" w:hanging="8"/>
        <w:spacing w:after="0" w:line="263" w:lineRule="auto"/>
        <w:tabs>
          <w:tab w:leader="none" w:pos="2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WAIVER OF JURY TRIAL. ANY ACTION, DEMAND, CLAIM OR COUNTERCLAIM ARISING UNDER OR RELATING TO THIS AGREEMENT WILL BE RESOLVED BY A JUDGE ALONE AND EACH OF THE COMPANY AND YOU WAIVE ANY RIGHT TO A JURY TRIAL THEREOF.</w:t>
      </w:r>
    </w:p>
    <w:p>
      <w:pPr>
        <w:spacing w:after="0" w:line="183" w:lineRule="exact"/>
        <w:rPr>
          <w:rFonts w:ascii="Arial" w:cs="Arial" w:eastAsia="Arial" w:hAnsi="Arial"/>
          <w:sz w:val="18"/>
          <w:szCs w:val="18"/>
          <w:color w:val="auto"/>
        </w:rPr>
      </w:pPr>
    </w:p>
    <w:p>
      <w:pPr>
        <w:ind w:left="8" w:hanging="8"/>
        <w:spacing w:after="0" w:line="277" w:lineRule="auto"/>
        <w:tabs>
          <w:tab w:leader="none" w:pos="2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Counterparts. This letter may be executed in two or more counterparts, and by different parties hereto on separate counterparts, each of which will be deemed an original, but all of which together will constitute one and the same instrument.</w:t>
      </w:r>
    </w:p>
    <w:p>
      <w:pPr>
        <w:spacing w:after="0" w:line="170"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48"/>
          </w:cols>
          <w:pgMar w:left="1192" w:top="355" w:right="459" w:bottom="1440" w:gutter="0" w:footer="0" w:header="0"/>
        </w:sectPr>
      </w:pPr>
    </w:p>
    <w:bookmarkStart w:id="128" w:name="page129"/>
    <w:bookmarkEnd w:id="128"/>
    <w:p>
      <w:pPr>
        <w:ind w:right="40"/>
        <w:spacing w:after="0" w:line="259" w:lineRule="auto"/>
        <w:rPr>
          <w:sz w:val="20"/>
          <w:szCs w:val="20"/>
          <w:color w:val="auto"/>
        </w:rPr>
      </w:pPr>
      <w:r>
        <w:rPr>
          <w:rFonts w:ascii="Arial" w:cs="Arial" w:eastAsia="Arial" w:hAnsi="Arial"/>
          <w:sz w:val="18"/>
          <w:szCs w:val="18"/>
          <w:color w:val="auto"/>
        </w:rPr>
        <w:t>You may accept this offer of employment and the terms and conditions thereof by signing the enclosed additional copy of this letter and each of the Related Agreements, which execution will evidence your agreement with the terms and conditions set forth herein and therein, and returning them to the Company; provided that the provisions of this offer of employment are contingent upon completion of a background check and receipt of appropriate documentation of your work status.</w:t>
      </w: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SYNLOGIC, INC.</w:t>
      </w:r>
    </w:p>
    <w:p>
      <w:pPr>
        <w:spacing w:after="0" w:line="211"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Thomas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Adam J. Thomas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Chief Human Resources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Antoine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 Antoine Awad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5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10.14.2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Synlogic,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301 Binney Street, Suite 402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Cambridge, MA 02142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Antoine Awad</w:t>
      </w:r>
    </w:p>
    <w:p>
      <w:pPr>
        <w:spacing w:after="0" w:line="200" w:lineRule="exact"/>
        <w:rPr>
          <w:sz w:val="20"/>
          <w:szCs w:val="20"/>
          <w:color w:val="auto"/>
        </w:rPr>
      </w:pPr>
    </w:p>
    <w:p>
      <w:pPr>
        <w:sectPr>
          <w:pgSz w:w="11900" w:h="16838" w:orient="portrait"/>
          <w:cols w:equalWidth="0" w:num="2">
            <w:col w:w="240" w:space="420"/>
            <w:col w:w="10580"/>
          </w:cols>
          <w:pgMar w:left="320" w:top="337"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July 21, 2020</w:t>
      </w:r>
    </w:p>
    <w:p>
      <w:pPr>
        <w:spacing w:after="0" w:line="200" w:lineRule="exact"/>
        <w:rPr>
          <w:sz w:val="20"/>
          <w:szCs w:val="20"/>
          <w:color w:val="auto"/>
        </w:rPr>
      </w:pPr>
    </w:p>
    <w:p>
      <w:pPr>
        <w:sectPr>
          <w:pgSz w:w="11900" w:h="16838" w:orient="portrait"/>
          <w:cols w:equalWidth="0" w:num="2">
            <w:col w:w="400" w:space="260"/>
            <w:col w:w="10580"/>
          </w:cols>
          <w:pgMar w:left="320" w:top="337"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Promotion to COO</w:t>
      </w:r>
    </w:p>
    <w:p>
      <w:pPr>
        <w:spacing w:after="0" w:line="200" w:lineRule="exact"/>
        <w:rPr>
          <w:sz w:val="20"/>
          <w:szCs w:val="20"/>
          <w:color w:val="auto"/>
        </w:rPr>
      </w:pPr>
    </w:p>
    <w:p>
      <w:pPr>
        <w:sectPr>
          <w:pgSz w:w="11900" w:h="16838" w:orient="portrait"/>
          <w:cols w:equalWidth="0" w:num="2">
            <w:col w:w="260" w:space="400"/>
            <w:col w:w="10580"/>
          </w:cols>
          <w:pgMar w:left="320" w:top="337"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Dear Tony,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delighted to confirm your promotion to COO, effective July 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recognition of your promotion your compensation will be adjusted as follows:</w:t>
      </w:r>
    </w:p>
    <w:p>
      <w:pPr>
        <w:spacing w:after="0" w:line="237" w:lineRule="exact"/>
        <w:rPr>
          <w:sz w:val="20"/>
          <w:szCs w:val="20"/>
          <w:color w:val="auto"/>
        </w:rPr>
      </w:pPr>
    </w:p>
    <w:p>
      <w:pPr>
        <w:ind w:left="440" w:hanging="432"/>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 salary:  $376,000</w:t>
      </w:r>
    </w:p>
    <w:p>
      <w:pPr>
        <w:ind w:left="440" w:hanging="432"/>
        <w:spacing w:after="0" w:line="219"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Target Bonus: 40%</w:t>
      </w:r>
    </w:p>
    <w:p>
      <w:pPr>
        <w:ind w:left="440" w:hanging="432"/>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Promotion Equity Grant: 70,000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your terms and conditions remains unchanged and are therefore not re-stated here. Please note:</w:t>
      </w:r>
    </w:p>
    <w:p>
      <w:pPr>
        <w:spacing w:after="0" w:line="239" w:lineRule="exact"/>
        <w:rPr>
          <w:sz w:val="20"/>
          <w:szCs w:val="20"/>
          <w:color w:val="auto"/>
        </w:rPr>
      </w:pPr>
    </w:p>
    <w:p>
      <w:pPr>
        <w:ind w:left="440" w:right="140" w:hanging="432"/>
        <w:spacing w:after="0" w:line="228"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Annual bonuses are discretionary and not guaranteed. To be eligible for any such bonus, you must be employed by the Company in good standing at the time such bonus is paid.</w:t>
      </w:r>
    </w:p>
    <w:p>
      <w:pPr>
        <w:ind w:left="440" w:right="140" w:hanging="432"/>
        <w:spacing w:after="0" w:line="233"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Equity awards are subject to the terms of the Company’s then applicable equity incentive plan (“Incentive Plan”) and form of option agreement, and subject to approval by the Board of Directors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contribution to Synlogic.</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Best wishes,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SYNLOGIC, INC.</w:t>
      </w:r>
    </w:p>
    <w:p>
      <w:pPr>
        <w:spacing w:after="0" w:line="18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Aoife Brennan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Aoife Brennan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&amp; CEO</w:t>
            </w:r>
          </w:p>
        </w:tc>
      </w:tr>
    </w:tbl>
    <w:p>
      <w:pPr>
        <w:sectPr>
          <w:pgSz w:w="11900" w:h="16838" w:orient="portrait"/>
          <w:cols w:equalWidth="0" w:num="1">
            <w:col w:w="11240"/>
          </w:cols>
          <w:pgMar w:left="320" w:top="337"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21.1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40" w:type="dxa"/>
            <w:vAlign w:val="bottom"/>
            <w:gridSpan w:val="3"/>
          </w:tcPr>
          <w:p>
            <w:pPr>
              <w:ind w:left="400"/>
              <w:spacing w:after="0"/>
              <w:rPr>
                <w:sz w:val="20"/>
                <w:szCs w:val="20"/>
                <w:color w:val="auto"/>
              </w:rPr>
            </w:pPr>
            <w:r>
              <w:rPr>
                <w:rFonts w:ascii="Arial" w:cs="Arial" w:eastAsia="Arial" w:hAnsi="Arial"/>
                <w:sz w:val="22"/>
                <w:szCs w:val="22"/>
                <w:b w:val="1"/>
                <w:bCs w:val="1"/>
                <w:color w:val="auto"/>
                <w:w w:val="97"/>
              </w:rPr>
              <w:t>SUBSIDIARIES OF SYNLOGIC, INC.</w:t>
            </w:r>
          </w:p>
        </w:tc>
      </w:tr>
      <w:tr>
        <w:trPr>
          <w:trHeight w:val="408"/>
        </w:trPr>
        <w:tc>
          <w:tcPr>
            <w:tcW w:w="3400" w:type="dxa"/>
            <w:vAlign w:val="bottom"/>
            <w:gridSpan w:val="2"/>
          </w:tcPr>
          <w:p>
            <w:pPr>
              <w:spacing w:after="0"/>
              <w:rPr>
                <w:sz w:val="20"/>
                <w:szCs w:val="20"/>
                <w:color w:val="auto"/>
              </w:rPr>
            </w:pPr>
            <w:r>
              <w:rPr>
                <w:rFonts w:ascii="Arial" w:cs="Arial" w:eastAsia="Arial" w:hAnsi="Arial"/>
                <w:sz w:val="22"/>
                <w:szCs w:val="22"/>
                <w:b w:val="1"/>
                <w:bCs w:val="1"/>
                <w:color w:val="auto"/>
              </w:rPr>
              <w:t>Subsidiary</w:t>
            </w:r>
          </w:p>
        </w:tc>
        <w:tc>
          <w:tcPr>
            <w:tcW w:w="22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22"/>
                <w:szCs w:val="22"/>
                <w:b w:val="1"/>
                <w:bCs w:val="1"/>
                <w:color w:val="auto"/>
              </w:rPr>
              <w:t>Jurisdiction</w:t>
            </w:r>
          </w:p>
        </w:tc>
      </w:tr>
      <w:tr>
        <w:trPr>
          <w:trHeight w:val="20"/>
        </w:trPr>
        <w:tc>
          <w:tcPr>
            <w:tcW w:w="10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72"/>
        </w:trPr>
        <w:tc>
          <w:tcPr>
            <w:tcW w:w="3400" w:type="dxa"/>
            <w:vAlign w:val="bottom"/>
            <w:gridSpan w:val="2"/>
          </w:tcPr>
          <w:p>
            <w:pPr>
              <w:spacing w:after="0"/>
              <w:rPr>
                <w:sz w:val="20"/>
                <w:szCs w:val="20"/>
                <w:color w:val="auto"/>
              </w:rPr>
            </w:pPr>
            <w:r>
              <w:rPr>
                <w:rFonts w:ascii="Arial" w:cs="Arial" w:eastAsia="Arial" w:hAnsi="Arial"/>
                <w:sz w:val="22"/>
                <w:szCs w:val="22"/>
                <w:color w:val="auto"/>
              </w:rPr>
              <w:t>Synlogic IBDCo, Inc.</w:t>
            </w:r>
          </w:p>
        </w:tc>
        <w:tc>
          <w:tcPr>
            <w:tcW w:w="22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43"/>
        </w:trPr>
        <w:tc>
          <w:tcPr>
            <w:tcW w:w="3400" w:type="dxa"/>
            <w:vAlign w:val="bottom"/>
            <w:gridSpan w:val="2"/>
          </w:tcPr>
          <w:p>
            <w:pPr>
              <w:spacing w:after="0" w:line="243" w:lineRule="exact"/>
              <w:rPr>
                <w:sz w:val="20"/>
                <w:szCs w:val="20"/>
                <w:color w:val="auto"/>
              </w:rPr>
            </w:pPr>
            <w:r>
              <w:rPr>
                <w:rFonts w:ascii="Arial" w:cs="Arial" w:eastAsia="Arial" w:hAnsi="Arial"/>
                <w:sz w:val="22"/>
                <w:szCs w:val="22"/>
                <w:color w:val="auto"/>
              </w:rPr>
              <w:t>Synlogic Operating Company, Inc.</w:t>
            </w:r>
          </w:p>
        </w:tc>
        <w:tc>
          <w:tcPr>
            <w:tcW w:w="2220" w:type="dxa"/>
            <w:vAlign w:val="bottom"/>
          </w:tcPr>
          <w:p>
            <w:pPr>
              <w:spacing w:after="0"/>
              <w:rPr>
                <w:sz w:val="21"/>
                <w:szCs w:val="21"/>
                <w:color w:val="auto"/>
              </w:rPr>
            </w:pPr>
          </w:p>
        </w:tc>
        <w:tc>
          <w:tcPr>
            <w:tcW w:w="1820" w:type="dxa"/>
            <w:vAlign w:val="bottom"/>
            <w:gridSpan w:val="2"/>
          </w:tcPr>
          <w:p>
            <w:pPr>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3400" w:type="dxa"/>
            <w:vAlign w:val="bottom"/>
            <w:gridSpan w:val="2"/>
          </w:tcPr>
          <w:p>
            <w:pPr>
              <w:spacing w:after="0"/>
              <w:rPr>
                <w:sz w:val="20"/>
                <w:szCs w:val="20"/>
                <w:color w:val="auto"/>
              </w:rPr>
            </w:pPr>
            <w:r>
              <w:rPr>
                <w:rFonts w:ascii="Arial" w:cs="Arial" w:eastAsia="Arial" w:hAnsi="Arial"/>
                <w:sz w:val="22"/>
                <w:szCs w:val="22"/>
                <w:color w:val="auto"/>
              </w:rPr>
              <w:t>Synlogic Securities Corporation</w:t>
            </w:r>
          </w:p>
        </w:tc>
        <w:tc>
          <w:tcPr>
            <w:tcW w:w="2220" w:type="dxa"/>
            <w:vAlign w:val="bottom"/>
          </w:tcPr>
          <w:p>
            <w:pPr>
              <w:spacing w:after="0"/>
              <w:rPr>
                <w:sz w:val="23"/>
                <w:szCs w:val="23"/>
                <w:color w:val="auto"/>
              </w:rPr>
            </w:pPr>
          </w:p>
        </w:tc>
        <w:tc>
          <w:tcPr>
            <w:tcW w:w="1820" w:type="dxa"/>
            <w:vAlign w:val="bottom"/>
            <w:gridSpan w:val="2"/>
          </w:tcPr>
          <w:p>
            <w:pPr>
              <w:spacing w:after="0"/>
              <w:rPr>
                <w:sz w:val="20"/>
                <w:szCs w:val="20"/>
                <w:color w:val="auto"/>
              </w:rPr>
            </w:pPr>
            <w:r>
              <w:rPr>
                <w:rFonts w:ascii="Arial" w:cs="Arial" w:eastAsia="Arial" w:hAnsi="Arial"/>
                <w:sz w:val="22"/>
                <w:szCs w:val="22"/>
                <w:color w:val="auto"/>
              </w:rPr>
              <w:t>Massachusetts</w:t>
            </w:r>
          </w:p>
        </w:tc>
      </w:tr>
    </w:tbl>
    <w:p>
      <w:pPr>
        <w:sectPr>
          <w:pgSz w:w="11900" w:h="16838" w:orient="portrait"/>
          <w:cols w:equalWidth="0" w:num="1">
            <w:col w:w="11240"/>
          </w:cols>
          <w:pgMar w:left="320" w:top="11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23.1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Synlogic, Inc.</w:t>
      </w:r>
    </w:p>
    <w:p>
      <w:pPr>
        <w:spacing w:after="0" w:line="20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We consent to the incorporation by reference in the registration statements (Nos. 333-207299, 333-210466, 333-220841, 333-223798, 333-230224, 333-237104 and 333-237105) on Form S-8 and (Nos. 333-220948, 333-226730, and 333-233139) on Form S-3 of Synlogic, Inc. and subsidiaries of our report dated March 25, 2021, with respect to the consolidated balance sheets of Synlogic, Inc. and subsidiaries as of December 31, 2020 and 2019, the related consolidated statements of operations and comprehensive loss, stockholders’ equity, and cash flows for the years then ended, and the related notes (collectively, the consolidated financial statements), which report appears in the December 31, 2020 annual report on Form 10-K of Synlogic, Inc. and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38" w:lineRule="auto"/>
        <w:rPr>
          <w:sz w:val="20"/>
          <w:szCs w:val="20"/>
          <w:color w:val="auto"/>
        </w:rPr>
      </w:pPr>
      <w:r>
        <w:rPr>
          <w:rFonts w:ascii="Arial" w:cs="Arial" w:eastAsia="Arial" w:hAnsi="Arial"/>
          <w:sz w:val="22"/>
          <w:szCs w:val="22"/>
          <w:color w:val="auto"/>
        </w:rPr>
        <w:t>Boston, Massachusetts</w:t>
      </w:r>
    </w:p>
    <w:p>
      <w:pPr>
        <w:spacing w:after="0"/>
        <w:rPr>
          <w:sz w:val="20"/>
          <w:szCs w:val="20"/>
          <w:color w:val="auto"/>
        </w:rPr>
      </w:pPr>
      <w:r>
        <w:rPr>
          <w:rFonts w:ascii="Arial" w:cs="Arial" w:eastAsia="Arial" w:hAnsi="Arial"/>
          <w:sz w:val="22"/>
          <w:szCs w:val="22"/>
          <w:color w:val="auto"/>
        </w:rPr>
        <w:t>March 25, 2021</w:t>
      </w:r>
    </w:p>
    <w:p>
      <w:pPr>
        <w:sectPr>
          <w:pgSz w:w="11900" w:h="16838" w:orient="portrait"/>
          <w:cols w:equalWidth="0" w:num="1">
            <w:col w:w="11240"/>
          </w:cols>
          <w:pgMar w:left="320" w:top="355" w:right="339" w:bottom="1440" w:gutter="0" w:footer="0" w:header="0"/>
        </w:sectPr>
      </w:pPr>
    </w:p>
    <w:bookmarkStart w:id="132" w:name="page133"/>
    <w:bookmarkEnd w:id="13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980" w:hanging="223"/>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Synlogic, Inc.;</w:t>
      </w:r>
    </w:p>
    <w:p>
      <w:pPr>
        <w:spacing w:after="0" w:line="225" w:lineRule="exact"/>
        <w:rPr>
          <w:rFonts w:ascii="Arial" w:cs="Arial" w:eastAsia="Arial" w:hAnsi="Arial"/>
          <w:sz w:val="18"/>
          <w:szCs w:val="18"/>
          <w:color w:val="auto"/>
        </w:rPr>
      </w:pPr>
    </w:p>
    <w:p>
      <w:pPr>
        <w:jc w:val="both"/>
        <w:ind w:firstLine="757"/>
        <w:spacing w:after="0" w:line="342" w:lineRule="auto"/>
        <w:tabs>
          <w:tab w:leader="none" w:pos="974"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757"/>
        <w:spacing w:after="0" w:line="308" w:lineRule="auto"/>
        <w:tabs>
          <w:tab w:leader="none" w:pos="974"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60" w:firstLine="757"/>
        <w:spacing w:after="0" w:line="291" w:lineRule="auto"/>
        <w:tabs>
          <w:tab w:leader="none" w:pos="971"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right="80" w:firstLine="757"/>
        <w:spacing w:after="0" w:line="263" w:lineRule="auto"/>
        <w:tabs>
          <w:tab w:leader="none" w:pos="979"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757"/>
        <w:spacing w:after="0" w:line="263" w:lineRule="auto"/>
        <w:tabs>
          <w:tab w:leader="none" w:pos="989"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620" w:firstLine="757"/>
        <w:spacing w:after="0" w:line="342" w:lineRule="auto"/>
        <w:tabs>
          <w:tab w:leader="none" w:pos="934" w:val="left"/>
        </w:tabs>
        <w:numPr>
          <w:ilvl w:val="0"/>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60" w:firstLine="757"/>
        <w:spacing w:after="0" w:line="263" w:lineRule="auto"/>
        <w:tabs>
          <w:tab w:leader="none" w:pos="9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20" w:firstLine="757"/>
        <w:spacing w:after="0" w:line="342" w:lineRule="auto"/>
        <w:tabs>
          <w:tab w:leader="none" w:pos="9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820" w:firstLine="757"/>
        <w:spacing w:after="0" w:line="308" w:lineRule="auto"/>
        <w:tabs>
          <w:tab w:leader="none" w:pos="979"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500" w:firstLine="757"/>
        <w:spacing w:after="0" w:line="277" w:lineRule="auto"/>
        <w:tabs>
          <w:tab w:leader="none" w:pos="9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160" w:val="left"/>
          <w:tab w:leader="none" w:pos="758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Aoife Brennan</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133" w:name="page134"/>
    <w:bookmarkEnd w:id="13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225" w:lineRule="exact"/>
        <w:rPr>
          <w:sz w:val="20"/>
          <w:szCs w:val="20"/>
          <w:color w:val="auto"/>
        </w:rPr>
      </w:pPr>
    </w:p>
    <w:p>
      <w:pPr>
        <w:ind w:left="980" w:hanging="223"/>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Synlogic, Inc.;</w:t>
      </w:r>
    </w:p>
    <w:p>
      <w:pPr>
        <w:spacing w:after="0" w:line="225" w:lineRule="exact"/>
        <w:rPr>
          <w:rFonts w:ascii="Arial" w:cs="Arial" w:eastAsia="Arial" w:hAnsi="Arial"/>
          <w:sz w:val="18"/>
          <w:szCs w:val="18"/>
          <w:color w:val="auto"/>
        </w:rPr>
      </w:pPr>
    </w:p>
    <w:p>
      <w:pPr>
        <w:jc w:val="both"/>
        <w:ind w:firstLine="757"/>
        <w:spacing w:after="0" w:line="342" w:lineRule="auto"/>
        <w:tabs>
          <w:tab w:leader="none" w:pos="974"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757"/>
        <w:spacing w:after="0" w:line="308" w:lineRule="auto"/>
        <w:tabs>
          <w:tab w:leader="none" w:pos="974"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60" w:firstLine="757"/>
        <w:spacing w:after="0" w:line="291" w:lineRule="auto"/>
        <w:tabs>
          <w:tab w:leader="none" w:pos="97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right="80" w:firstLine="757"/>
        <w:spacing w:after="0" w:line="263" w:lineRule="auto"/>
        <w:tabs>
          <w:tab w:leader="none" w:pos="9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757"/>
        <w:spacing w:after="0" w:line="263" w:lineRule="auto"/>
        <w:tabs>
          <w:tab w:leader="none" w:pos="989"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620" w:firstLine="757"/>
        <w:spacing w:after="0" w:line="342" w:lineRule="auto"/>
        <w:tabs>
          <w:tab w:leader="none" w:pos="934" w:val="left"/>
        </w:tabs>
        <w:numPr>
          <w:ilvl w:val="0"/>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60" w:firstLine="757"/>
        <w:spacing w:after="0" w:line="263" w:lineRule="auto"/>
        <w:tabs>
          <w:tab w:leader="none" w:pos="9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20" w:firstLine="757"/>
        <w:spacing w:after="0" w:line="342" w:lineRule="auto"/>
        <w:tabs>
          <w:tab w:leader="none" w:pos="971"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820" w:firstLine="757"/>
        <w:spacing w:after="0" w:line="308" w:lineRule="auto"/>
        <w:tabs>
          <w:tab w:leader="none" w:pos="979"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500" w:firstLine="757"/>
        <w:spacing w:after="0" w:line="277" w:lineRule="auto"/>
        <w:tabs>
          <w:tab w:leader="none" w:pos="9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160" w:val="left"/>
          <w:tab w:leader="none" w:pos="764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i w:val="1"/>
          <w:iCs w:val="1"/>
          <w:color w:val="auto"/>
        </w:rPr>
        <w:t>Interim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7"/>
          <w:szCs w:val="17"/>
          <w:b w:val="1"/>
          <w:bCs w:val="1"/>
          <w:i w:val="1"/>
          <w:iCs w:val="1"/>
          <w:color w:val="auto"/>
        </w:rPr>
        <w:t>(Principal Financial Officer and Principal Accounting Officer)</w:t>
      </w:r>
    </w:p>
    <w:p>
      <w:pPr>
        <w:sectPr>
          <w:pgSz w:w="11900" w:h="16838" w:orient="portrait"/>
          <w:cols w:equalWidth="0" w:num="1">
            <w:col w:w="11240"/>
          </w:cols>
          <w:pgMar w:left="320" w:top="35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connection with the Annual Report of Synlogic, Inc. (the “Company”) on Form 10-K for the period ending December 31, 2020 as filed with the Securities and Exchange Commission on the date hereof (the “Report”), I, Aoife Brennan, President and Chief Executive Officer of the Company,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In connection with the Annual Report of Synlogic, Inc. (the “Company”) on Form 10-K for the period ending December 31, 2020 as filed with the Securities and Exchange Commission on the date hereof (the “Report”), I, Gregg Beloff, Interim Chief Financial Officer,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i w:val="1"/>
          <w:iCs w:val="1"/>
          <w:color w:val="auto"/>
        </w:rPr>
        <w:t>Interim Chief Financial Officer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7"/>
          <w:szCs w:val="17"/>
          <w:b w:val="1"/>
          <w:bCs w:val="1"/>
          <w:i w:val="1"/>
          <w:iCs w:val="1"/>
          <w:color w:val="auto"/>
        </w:rPr>
        <w:t>(Principal Financial Officer and Principal Accounting Officer)</w:t>
      </w:r>
    </w:p>
    <w:p>
      <w:pPr>
        <w:spacing w:after="0" w:line="23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1)"/>
      <w:numFmt w:val="decimal"/>
      <w:start w:val="1"/>
    </w:lvl>
    <w:lvl w:ilvl="1">
      <w:lvlJc w:val="left"/>
      <w:lvlText w:val="•"/>
      <w:numFmt w:val="bullet"/>
      <w:start w:val="1"/>
    </w:lvl>
  </w:abstractNum>
  <w:abstractNum w:abstractNumId="4">
    <w:nsid w:val="684A481A"/>
    <w:multiLevelType w:val="hybridMultilevel"/>
    <w:lvl w:ilvl="0">
      <w:lvlJc w:val="left"/>
      <w:lvlText w:val="(%1)"/>
      <w:numFmt w:val="decimal"/>
      <w:start w:val="1"/>
    </w:lvl>
    <w:lvl w:ilvl="1">
      <w:lvlJc w:val="left"/>
      <w:lvlText w:val="•"/>
      <w:numFmt w:val="bullet"/>
      <w:start w:val="1"/>
    </w:lvl>
  </w:abstractNum>
  <w:abstractNum w:abstractNumId="5">
    <w:nsid w:val="579478FE"/>
    <w:multiLevelType w:val="hybridMultilevel"/>
    <w:lvl w:ilvl="0">
      <w:lvlJc w:val="left"/>
      <w:lvlText w:val="•"/>
      <w:numFmt w:val="bullet"/>
      <w:start w:val="1"/>
    </w:lvl>
    <w:lvl w:ilvl="1">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lvl w:ilvl="1">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2"/>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lowerRoman"/>
      <w:start w:val="2"/>
    </w:lvl>
  </w:abstractNum>
  <w:abstractNum w:abstractNumId="48">
    <w:nsid w:val="799D0247"/>
    <w:multiLevelType w:val="hybridMultilevel"/>
    <w:lvl w:ilvl="0">
      <w:lvlJc w:val="left"/>
      <w:lvlText w:val="(%1)"/>
      <w:numFmt w:val="decimal"/>
      <w:start w:val="3"/>
    </w:lvl>
  </w:abstractNum>
  <w:abstractNum w:abstractNumId="49">
    <w:nsid w:val="6B94764"/>
    <w:multiLevelType w:val="hybridMultilevel"/>
    <w:lvl w:ilvl="0">
      <w:lvlJc w:val="left"/>
      <w:lvlText w:val="(%1)"/>
      <w:numFmt w:val="decimal"/>
      <w:start w:val="4"/>
    </w:lvl>
  </w:abstractNum>
  <w:abstractNum w:abstractNumId="50">
    <w:nsid w:val="42C296BD"/>
    <w:multiLevelType w:val="hybridMultilevel"/>
    <w:lvl w:ilvl="0">
      <w:lvlJc w:val="left"/>
      <w:lvlText w:val="(%1)"/>
      <w:numFmt w:val="decimal"/>
      <w:start w:val="5"/>
    </w:lvl>
  </w:abstractNum>
  <w:abstractNum w:abstractNumId="51">
    <w:nsid w:val="168E121F"/>
    <w:multiLevelType w:val="hybridMultilevel"/>
    <w:lvl w:ilvl="0">
      <w:lvlJc w:val="left"/>
      <w:lvlText w:val="(%1)"/>
      <w:numFmt w:val="decimal"/>
      <w:start w:val="6"/>
    </w:lvl>
  </w:abstractNum>
  <w:abstractNum w:abstractNumId="52">
    <w:nsid w:val="1EBA5D23"/>
    <w:multiLevelType w:val="hybridMultilevel"/>
    <w:lvl w:ilvl="0">
      <w:lvlJc w:val="left"/>
      <w:lvlText w:val="(%1)"/>
      <w:numFmt w:val="decimal"/>
      <w:start w:val="7"/>
    </w:lvl>
  </w:abstractNum>
  <w:abstractNum w:abstractNumId="53">
    <w:nsid w:val="661E3F1E"/>
    <w:multiLevelType w:val="hybridMultilevel"/>
    <w:lvl w:ilvl="0">
      <w:lvlJc w:val="left"/>
      <w:lvlText w:val="(%1)"/>
      <w:numFmt w:val="decimal"/>
      <w:start w:val="8"/>
    </w:lvl>
    <w:lvl w:ilvl="1">
      <w:lvlJc w:val="left"/>
      <w:lvlText w:val="•"/>
      <w:numFmt w:val="bullet"/>
      <w:start w:val="1"/>
    </w:lvl>
  </w:abstractNum>
  <w:abstractNum w:abstractNumId="54">
    <w:nsid w:val="5DC79EA8"/>
    <w:multiLevelType w:val="hybridMultilevel"/>
    <w:lvl w:ilvl="0">
      <w:lvlJc w:val="left"/>
      <w:lvlText w:val="(%1)"/>
      <w:numFmt w:val="decimal"/>
      <w:start w:val="9"/>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decimal"/>
      <w:start w:val="10"/>
    </w:lvl>
  </w:abstractNum>
  <w:abstractNum w:abstractNumId="57">
    <w:nsid w:val="51D9C564"/>
    <w:multiLevelType w:val="hybridMultilevel"/>
    <w:lvl w:ilvl="0">
      <w:lvlJc w:val="left"/>
      <w:lvlText w:val="(%1)"/>
      <w:numFmt w:val="decimal"/>
      <w:start w:val="11"/>
    </w:lvl>
  </w:abstractNum>
  <w:abstractNum w:abstractNumId="58">
    <w:nsid w:val="613EFDC5"/>
    <w:multiLevelType w:val="hybridMultilevel"/>
    <w:lvl w:ilvl="0">
      <w:lvlJc w:val="left"/>
      <w:lvlText w:val="(%1)"/>
      <w:numFmt w:val="decimal"/>
      <w:start w:val="12"/>
    </w:lvl>
  </w:abstractNum>
  <w:abstractNum w:abstractNumId="59">
    <w:nsid w:val="BF72B14"/>
    <w:multiLevelType w:val="hybridMultilevel"/>
    <w:lvl w:ilvl="0">
      <w:lvlJc w:val="left"/>
      <w:lvlText w:val="(%1)"/>
      <w:numFmt w:val="decimal"/>
      <w:start w:val="13"/>
    </w:lvl>
  </w:abstractNum>
  <w:abstractNum w:abstractNumId="60">
    <w:nsid w:val="11447B73"/>
    <w:multiLevelType w:val="hybridMultilevel"/>
    <w:lvl w:ilvl="0">
      <w:lvlJc w:val="left"/>
      <w:lvlText w:val="(%1)"/>
      <w:numFmt w:val="decimal"/>
      <w:start w:val="14"/>
    </w:lvl>
  </w:abstractNum>
  <w:abstractNum w:abstractNumId="61">
    <w:nsid w:val="42963E5A"/>
    <w:multiLevelType w:val="hybridMultilevel"/>
    <w:lvl w:ilvl="0">
      <w:lvlJc w:val="left"/>
      <w:lvlText w:val="(%1)"/>
      <w:numFmt w:val="decimal"/>
      <w:start w:val="15"/>
    </w:lvl>
  </w:abstractNum>
  <w:abstractNum w:abstractNumId="62">
    <w:nsid w:val="A0382C5"/>
    <w:multiLevelType w:val="hybridMultilevel"/>
    <w:lvl w:ilvl="0">
      <w:lvlJc w:val="left"/>
      <w:lvlText w:val="(%1)"/>
      <w:numFmt w:val="decimal"/>
      <w:start w:val="16"/>
    </w:lvl>
  </w:abstractNum>
  <w:abstractNum w:abstractNumId="63">
    <w:nsid w:val="8F2B15E"/>
    <w:multiLevelType w:val="hybridMultilevel"/>
    <w:lvl w:ilvl="0">
      <w:lvlJc w:val="left"/>
      <w:lvlText w:val="(%1)"/>
      <w:numFmt w:val="decimal"/>
      <w:start w:val="17"/>
    </w:lvl>
  </w:abstractNum>
  <w:abstractNum w:abstractNumId="64">
    <w:nsid w:val="1A32234B"/>
    <w:multiLevelType w:val="hybridMultilevel"/>
    <w:lvl w:ilvl="0">
      <w:lvlJc w:val="left"/>
      <w:lvlText w:val="%1."/>
      <w:numFmt w:val="decimal"/>
      <w:start w:val="1"/>
    </w:lvl>
    <w:lvl w:ilvl="1">
      <w:lvlJc w:val="left"/>
      <w:lvlText w:val="(%2)"/>
      <w:numFmt w:val="lowerLetter"/>
      <w:start w:val="1"/>
    </w:lvl>
  </w:abstractNum>
  <w:abstractNum w:abstractNumId="65">
    <w:nsid w:val="3B0FD379"/>
    <w:multiLevelType w:val="hybridMultilevel"/>
    <w:lvl w:ilvl="0">
      <w:lvlJc w:val="left"/>
      <w:lvlText w:val="%1."/>
      <w:numFmt w:val="decimal"/>
      <w:start w:val="4"/>
    </w:lvl>
    <w:lvl w:ilvl="1">
      <w:lvlJc w:val="left"/>
      <w:lvlText w:val="(%2)"/>
      <w:numFmt w:val="lowerLetter"/>
      <w:start w:val="1"/>
    </w:lvl>
  </w:abstractNum>
  <w:abstractNum w:abstractNumId="66">
    <w:nsid w:val="68EB2F63"/>
    <w:multiLevelType w:val="hybridMultilevel"/>
    <w:lvl w:ilvl="0">
      <w:lvlJc w:val="left"/>
      <w:lvlText w:val="%1"/>
      <w:numFmt w:val="decimal"/>
      <w:start w:val="1"/>
    </w:lvl>
    <w:lvl w:ilvl="1">
      <w:lvlJc w:val="left"/>
      <w:lvlText w:val="(%2)"/>
      <w:numFmt w:val="lowerLetter"/>
      <w:start w:val="2"/>
    </w:lvl>
  </w:abstractNum>
  <w:abstractNum w:abstractNumId="67">
    <w:nsid w:val="4962813B"/>
    <w:multiLevelType w:val="hybridMultilevel"/>
    <w:lvl w:ilvl="0">
      <w:lvlJc w:val="left"/>
      <w:lvlText w:val="%1."/>
      <w:numFmt w:val="decimal"/>
      <w:start w:val="6"/>
    </w:lvl>
    <w:lvl w:ilvl="1">
      <w:lvlJc w:val="left"/>
      <w:lvlText w:val="(%2)"/>
      <w:numFmt w:val="lowerLetter"/>
      <w:start w:val="1"/>
    </w:lvl>
  </w:abstractNum>
  <w:abstractNum w:abstractNumId="68">
    <w:nsid w:val="60B6DF70"/>
    <w:multiLevelType w:val="hybridMultilevel"/>
    <w:lvl w:ilvl="0">
      <w:lvlJc w:val="left"/>
      <w:lvlText w:val="(%1)"/>
      <w:numFmt w:val="lowerLetter"/>
      <w:start w:val="4"/>
    </w:lvl>
  </w:abstractNum>
  <w:abstractNum w:abstractNumId="69">
    <w:nsid w:val="6A5EE64"/>
    <w:multiLevelType w:val="hybridMultilevel"/>
    <w:lvl w:ilvl="0">
      <w:lvlJc w:val="left"/>
      <w:lvlText w:val="%1"/>
      <w:numFmt w:val="decimal"/>
      <w:start w:val="1"/>
    </w:lvl>
    <w:lvl w:ilvl="1">
      <w:lvlJc w:val="left"/>
      <w:lvlText w:val="(%2)"/>
      <w:numFmt w:val="lowerLetter"/>
      <w:start w:val="7"/>
    </w:lvl>
  </w:abstractNum>
  <w:abstractNum w:abstractNumId="70">
    <w:nsid w:val="14330624"/>
    <w:multiLevelType w:val="hybridMultilevel"/>
    <w:lvl w:ilvl="0">
      <w:lvlJc w:val="left"/>
      <w:lvlText w:val="%1."/>
      <w:numFmt w:val="decimal"/>
      <w:start w:val="8"/>
    </w:lvl>
    <w:lvl w:ilvl="1">
      <w:lvlJc w:val="left"/>
      <w:lvlText w:val="(%2)"/>
      <w:numFmt w:val="lowerLetter"/>
      <w:start w:val="1"/>
    </w:lvl>
  </w:abstractNum>
  <w:abstractNum w:abstractNumId="71">
    <w:nsid w:val="7FFFCA11"/>
    <w:multiLevelType w:val="hybridMultilevel"/>
    <w:lvl w:ilvl="0">
      <w:lvlJc w:val="left"/>
      <w:lvlText w:val="(%1)"/>
      <w:numFmt w:val="lowerLetter"/>
      <w:start w:val="3"/>
    </w:lvl>
  </w:abstractNum>
  <w:abstractNum w:abstractNumId="72">
    <w:nsid w:val="1A27709E"/>
    <w:multiLevelType w:val="hybridMultilevel"/>
    <w:lvl w:ilvl="0">
      <w:lvlJc w:val="left"/>
      <w:lvlText w:val="(%1)"/>
      <w:numFmt w:val="lowerLetter"/>
      <w:start w:val="9"/>
    </w:lvl>
  </w:abstractNum>
  <w:abstractNum w:abstractNumId="73">
    <w:nsid w:val="71EA1109"/>
    <w:multiLevelType w:val="hybridMultilevel"/>
    <w:lvl w:ilvl="0">
      <w:lvlJc w:val="left"/>
      <w:lvlText w:val="%1."/>
      <w:numFmt w:val="decimal"/>
      <w:start w:val="1"/>
    </w:lvl>
    <w:lvl w:ilvl="1">
      <w:lvlJc w:val="left"/>
      <w:lvlText w:val="(%2)"/>
      <w:numFmt w:val="lowerLetter"/>
      <w:start w:val="1"/>
    </w:lvl>
  </w:abstractNum>
  <w:abstractNum w:abstractNumId="74">
    <w:nsid w:val="100F59DC"/>
    <w:multiLevelType w:val="hybridMultilevel"/>
    <w:lvl w:ilvl="0">
      <w:lvlJc w:val="left"/>
      <w:lvlText w:val="%1."/>
      <w:numFmt w:val="decimal"/>
      <w:start w:val="4"/>
    </w:lvl>
    <w:lvl w:ilvl="1">
      <w:lvlJc w:val="left"/>
      <w:lvlText w:val="(%2)"/>
      <w:numFmt w:val="lowerLetter"/>
      <w:start w:val="1"/>
    </w:lvl>
  </w:abstractNum>
  <w:abstractNum w:abstractNumId="75">
    <w:nsid w:val="7FB7E0AA"/>
    <w:multiLevelType w:val="hybridMultilevel"/>
    <w:lvl w:ilvl="0">
      <w:lvlJc w:val="left"/>
      <w:lvlText w:val="%1."/>
      <w:numFmt w:val="decimal"/>
      <w:start w:val="5"/>
    </w:lvl>
    <w:lvl w:ilvl="1">
      <w:lvlJc w:val="left"/>
      <w:lvlText w:val="(%2)"/>
      <w:numFmt w:val="lowerLetter"/>
      <w:start w:val="1"/>
    </w:lvl>
  </w:abstractNum>
  <w:abstractNum w:abstractNumId="76">
    <w:nsid w:val="6EB5BD4"/>
    <w:multiLevelType w:val="hybridMultilevel"/>
    <w:lvl w:ilvl="0">
      <w:lvlJc w:val="left"/>
      <w:lvlText w:val="(%1)"/>
      <w:numFmt w:val="lowerLetter"/>
      <w:start w:val="4"/>
    </w:lvl>
  </w:abstractNum>
  <w:abstractNum w:abstractNumId="77">
    <w:nsid w:val="6F6DD9AC"/>
    <w:multiLevelType w:val="hybridMultilevel"/>
    <w:lvl w:ilvl="0">
      <w:lvlJc w:val="left"/>
      <w:lvlText w:val="%1"/>
      <w:numFmt w:val="decimal"/>
      <w:start w:val="1"/>
    </w:lvl>
    <w:lvl w:ilvl="1">
      <w:lvlJc w:val="left"/>
      <w:lvlText w:val="(%2)"/>
      <w:numFmt w:val="lowerLetter"/>
      <w:start w:val="7"/>
    </w:lvl>
  </w:abstractNum>
  <w:abstractNum w:abstractNumId="78">
    <w:nsid w:val="94211F2"/>
    <w:multiLevelType w:val="hybridMultilevel"/>
    <w:lvl w:ilvl="0">
      <w:lvlJc w:val="left"/>
      <w:lvlText w:val="%1."/>
      <w:numFmt w:val="decimal"/>
      <w:start w:val="8"/>
    </w:lvl>
    <w:lvl w:ilvl="1">
      <w:lvlJc w:val="left"/>
      <w:lvlText w:val="(%2)"/>
      <w:numFmt w:val="lowerLetter"/>
      <w:start w:val="1"/>
    </w:lvl>
  </w:abstractNum>
  <w:abstractNum w:abstractNumId="79">
    <w:nsid w:val="885E1B"/>
    <w:multiLevelType w:val="hybridMultilevel"/>
    <w:lvl w:ilvl="0">
      <w:lvlJc w:val="left"/>
      <w:lvlText w:val="%1."/>
      <w:numFmt w:val="decimal"/>
      <w:start w:val="9"/>
    </w:lvl>
    <w:lvl w:ilvl="1">
      <w:lvlJc w:val="left"/>
      <w:lvlText w:val="(%2)"/>
      <w:numFmt w:val="lowerLetter"/>
      <w:start w:val="1"/>
    </w:lvl>
  </w:abstractNum>
  <w:abstractNum w:abstractNumId="80">
    <w:nsid w:val="76272110"/>
    <w:multiLevelType w:val="hybridMultilevel"/>
    <w:lvl w:ilvl="0">
      <w:lvlJc w:val="left"/>
      <w:lvlText w:val="(%1)"/>
      <w:numFmt w:val="lowerLetter"/>
      <w:start w:val="7"/>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decimal"/>
      <w:start w:val="5"/>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decimal"/>
      <w:start w:val="5"/>
    </w:lvl>
  </w:abstractNum>
  <w:abstractNum w:abstractNumId="90">
    <w:nsid w:val="39EE015C"/>
    <w:multiLevelType w:val="hybridMultilevel"/>
    <w:lvl w:ilvl="0">
      <w:lvlJc w:val="left"/>
      <w:lvlText w:val="%1)"/>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27"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98" Type="http://schemas.openxmlformats.org/officeDocument/2006/relationships/hyperlink" Target="http://www.sec.gov/Archives/edgar/data/1527599/000110465917032941/a17-13113_1ex2d1.htm" TargetMode="External"/><Relationship Id="rId99" Type="http://schemas.openxmlformats.org/officeDocument/2006/relationships/hyperlink" Target="http://www.sec.gov/Archives/edgar/data/1527599/000110465915069368/a15-14644_8ex3d1.htm" TargetMode="External"/><Relationship Id="rId100" Type="http://schemas.openxmlformats.org/officeDocument/2006/relationships/hyperlink" Target="http://www.sec.gov/Archives/edgar/data/1527599/000119312517270395/d431294dex31.htm" TargetMode="External"/><Relationship Id="rId101" Type="http://schemas.openxmlformats.org/officeDocument/2006/relationships/hyperlink" Target="http://www.sec.gov/Archives/edgar/data/1527599/000119312517270395/d431294dex32.htm" TargetMode="External"/><Relationship Id="rId102" Type="http://schemas.openxmlformats.org/officeDocument/2006/relationships/hyperlink" Target="http://www.sec.gov/Archives/edgar/data/1527599/000110465915069368/a15-14644_8ex3d2.htm" TargetMode="External"/><Relationship Id="rId103" Type="http://schemas.openxmlformats.org/officeDocument/2006/relationships/hyperlink" Target="http://www.sec.gov/Archives/edgar/data/1527599/000104746915007386/a2226006zex-4_2.htm" TargetMode="External"/><Relationship Id="rId104" Type="http://schemas.openxmlformats.org/officeDocument/2006/relationships/hyperlink" Target="http://www.sec.gov/Archives/edgar/data/1527599/000119312519170721/d766098dex41.htm" TargetMode="External"/><Relationship Id="rId105" Type="http://schemas.openxmlformats.org/officeDocument/2006/relationships/hyperlink" Target="http://www.sec.gov/Archives/edgar/data/1527599/000156459018006323/sybx-ex101_397.htm" TargetMode="External"/><Relationship Id="rId106" Type="http://schemas.openxmlformats.org/officeDocument/2006/relationships/hyperlink" Target="http://www.sec.gov/Archives/edgar/data/1527599/000104746915007251/a2225898zex-10_9b.htm" TargetMode="External"/><Relationship Id="rId107" Type="http://schemas.openxmlformats.org/officeDocument/2006/relationships/hyperlink" Target="http://www.sec.gov/Archives/edgar/data/1527599/000104746915007251/a2225898zex-10_9c.htm" TargetMode="External"/><Relationship Id="rId108" Type="http://schemas.openxmlformats.org/officeDocument/2006/relationships/hyperlink" Target="http://www.sec.gov/Archives/edgar/data/1527599/000156459018006323/sybx-ex104_396.htm" TargetMode="External"/><Relationship Id="rId109" Type="http://schemas.openxmlformats.org/officeDocument/2006/relationships/hyperlink" Target="http://www.sec.gov/Archives/edgar/data/1527599/000119312517340965/d458814dex1017.htm" TargetMode="External"/><Relationship Id="rId110" Type="http://schemas.openxmlformats.org/officeDocument/2006/relationships/hyperlink" Target="http://www.sec.gov/Archives/edgar/data/1527599/000156459018006323/sybx-ex106_235.htm" TargetMode="External"/><Relationship Id="rId111" Type="http://schemas.openxmlformats.org/officeDocument/2006/relationships/hyperlink" Target="http://www.sec.gov/Archives/edgar/data/1527599/000104746915007251/a2225898zex-10_13.htm" TargetMode="External"/><Relationship Id="rId114" Type="http://schemas.openxmlformats.org/officeDocument/2006/relationships/hyperlink" Target="http://www.sec.gov/Archives/edgar/data/1527599/000119312517270395/d431294dex106.htm" TargetMode="External"/><Relationship Id="rId115" Type="http://schemas.openxmlformats.org/officeDocument/2006/relationships/hyperlink" Target="http://www.sec.gov/Archives/edgar/data/1527599/000119312517270395/d431294dex107.htm" TargetMode="External"/><Relationship Id="rId116" Type="http://schemas.openxmlformats.org/officeDocument/2006/relationships/hyperlink" Target="http://www.sec.gov/Archives/edgar/data/1527599/000119312517270395/d431294dex108.htm" TargetMode="External"/><Relationship Id="rId117" Type="http://schemas.openxmlformats.org/officeDocument/2006/relationships/hyperlink" Target="http://www.sec.gov/Archives/edgar/data/1527599/000156459018020755/sybx-ex101_100.htm" TargetMode="External"/><Relationship Id="rId118" Type="http://schemas.openxmlformats.org/officeDocument/2006/relationships/hyperlink" Target="http://www.sec.gov/Archives/edgar/data/1527599/000156459018029326/sybx-ex101_305.htm" TargetMode="External"/><Relationship Id="rId119" Type="http://schemas.openxmlformats.org/officeDocument/2006/relationships/hyperlink" Target="http://www.sec.gov/Archives/edgar/data/1527599/000119312517270395/d431294dex1012.htm" TargetMode="External"/><Relationship Id="rId120" Type="http://schemas.openxmlformats.org/officeDocument/2006/relationships/hyperlink" Target="http://www.sec.gov/Archives/edgar/data/1527599/000156459018029326/sybx-ex102_304.htm" TargetMode="External"/><Relationship Id="rId121" Type="http://schemas.openxmlformats.org/officeDocument/2006/relationships/hyperlink" Target="http://www.sec.gov/Archives/edgar/data/1527599/000156459019007367/sybx-ex1025_537.htm" TargetMode="External"/><Relationship Id="rId122" Type="http://schemas.openxmlformats.org/officeDocument/2006/relationships/hyperlink" Target="http://www.sec.gov/Archives/edgar/data/1527599/000119312517270395/d431294dex1013.htm" TargetMode="External"/><Relationship Id="rId123" Type="http://schemas.openxmlformats.org/officeDocument/2006/relationships/hyperlink" Target="http://www.sec.gov/Archives/edgar/data/1527599/000119312517310897/d671201dex11.htm" TargetMode="External"/><Relationship Id="rId124" Type="http://schemas.openxmlformats.org/officeDocument/2006/relationships/hyperlink" Target="http://www.sec.gov/Archives/edgar/data/1527599/000119312518109307/d564416dex101.htm" TargetMode="External"/><Relationship Id="rId125" Type="http://schemas.openxmlformats.org/officeDocument/2006/relationships/hyperlink" Target="http://www.sec.gov/Archives/edgar/data/1527599/000156459019007367/sybx-ex1029_621.htm" TargetMode="External"/><Relationship Id="rId126" Type="http://schemas.openxmlformats.org/officeDocument/2006/relationships/hyperlink" Target="http://www.sec.gov/Archives/edgar/data/1527599/000156459019007367/sybx-ex1030_620.htm" TargetMode="External"/><Relationship Id="rId128" Type="http://schemas.openxmlformats.org/officeDocument/2006/relationships/hyperlink" Target="http://www.sec.gov/Archives/edgar/data/1527599/000156459019007367/sybx-ex1031_660.htm" TargetMode="External"/><Relationship Id="rId129" Type="http://schemas.openxmlformats.org/officeDocument/2006/relationships/hyperlink" Target="http://www.sec.gov/Archives/edgar/data/1527599/000119312519170721/d766098dex101.htm" TargetMode="External"/><Relationship Id="rId130" Type="http://schemas.openxmlformats.org/officeDocument/2006/relationships/hyperlink" Target="http://www.sec.gov/Archives/edgar/data/1527599/000156459019030838/sybx-ex102_134.htm" TargetMode="External"/><Relationship Id="rId131" Type="http://schemas.openxmlformats.org/officeDocument/2006/relationships/hyperlink" Target="http://www.sec.gov/Archives/edgar/data/1527599/000119312519273622/d820489dex101.htm" TargetMode="External"/><Relationship Id="rId132" Type="http://schemas.openxmlformats.org/officeDocument/2006/relationships/hyperlink" Target="http://www.sec.gov/Archives/edgar/data/1527599/000119312519321039/d85386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2021-03-25T20:23:08Z</dcterms:created>
  <dcterms:modified xsi:type="dcterms:W3CDTF">2021-03-25T20:23:08Z</dcterms:modified>
</cp:coreProperties>
</file>