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65405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080" w:hanging="3912"/>
        <w:spacing w:after="0" w:line="303" w:lineRule="auto"/>
        <w:tabs>
          <w:tab w:leader="none" w:pos="3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52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ectPr>
          <w:pgSz w:w="11900" w:h="16838" w:orient="portrait"/>
          <w:cols w:equalWidth="0" w:num="1">
            <w:col w:w="11240"/>
          </w:cols>
          <w:pgMar w:left="320" w:top="457" w:right="339" w:bottom="1440" w:gutter="0" w:footer="0" w:header="0"/>
        </w:sectPr>
      </w:pPr>
    </w:p>
    <w:p>
      <w:pPr>
        <w:spacing w:after="0" w:line="3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36"/>
          <w:szCs w:val="36"/>
          <w:b w:val="1"/>
          <w:bCs w:val="1"/>
          <w:color w:val="auto"/>
        </w:rPr>
        <w:t>SYNLOGIC, INC.</w:t>
      </w:r>
    </w:p>
    <w:p>
      <w:pPr>
        <w:spacing w:after="0" w:line="4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4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26-1824804</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7" w:lineRule="exact"/>
        <w:rPr>
          <w:sz w:val="24"/>
          <w:szCs w:val="24"/>
          <w:color w:val="auto"/>
        </w:rPr>
      </w:pPr>
    </w:p>
    <w:p>
      <w:pPr>
        <w:sectPr>
          <w:pgSz w:w="11900" w:h="16838" w:orient="portrait"/>
          <w:cols w:equalWidth="0" w:num="2">
            <w:col w:w="7240" w:space="700"/>
            <w:col w:w="3300"/>
          </w:cols>
          <w:pgMar w:left="320" w:top="457" w:right="339" w:bottom="1440" w:gutter="0" w:footer="0" w:header="0"/>
          <w:type w:val="continuous"/>
        </w:sectPr>
      </w:pPr>
    </w:p>
    <w:tbl>
      <w:tblPr>
        <w:tblLayout w:type="fixed"/>
        <w:tblInd w:w="10" w:type="dxa"/>
        <w:tblCellMar>
          <w:top w:w="0" w:type="dxa"/>
          <w:left w:w="0" w:type="dxa"/>
          <w:bottom w:w="0" w:type="dxa"/>
          <w:right w:w="0" w:type="dxa"/>
        </w:tblCellMar>
      </w:tblPr>
      <w:tr>
        <w:trPr>
          <w:trHeight w:val="203"/>
        </w:trPr>
        <w:tc>
          <w:tcPr>
            <w:tcW w:w="6440" w:type="dxa"/>
            <w:vAlign w:val="bottom"/>
            <w:gridSpan w:val="4"/>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rPr>
              <w:t>301 Binney St., Suite 402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tcPr>
          <w:p>
            <w:pPr>
              <w:jc w:val="center"/>
              <w:ind w:left="2005"/>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60" w:type="dxa"/>
            <w:vAlign w:val="bottom"/>
            <w:gridSpan w:val="2"/>
          </w:tcPr>
          <w:p>
            <w:pPr>
              <w:jc w:val="right"/>
              <w:ind w:right="2525"/>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79"/>
        </w:trPr>
        <w:tc>
          <w:tcPr>
            <w:tcW w:w="6440" w:type="dxa"/>
            <w:vAlign w:val="bottom"/>
            <w:gridSpan w:val="4"/>
          </w:tcPr>
          <w:p>
            <w:pPr>
              <w:jc w:val="center"/>
              <w:ind w:right="72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40" w:type="dxa"/>
            <w:vAlign w:val="bottom"/>
          </w:tcPr>
          <w:p>
            <w:pPr>
              <w:jc w:val="center"/>
              <w:ind w:right="1805"/>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53"/>
        </w:trPr>
        <w:tc>
          <w:tcPr>
            <w:tcW w:w="3500" w:type="dxa"/>
            <w:vAlign w:val="bottom"/>
          </w:tcPr>
          <w:p>
            <w:pPr>
              <w:spacing w:after="0"/>
              <w:rPr>
                <w:sz w:val="22"/>
                <w:szCs w:val="22"/>
                <w:color w:val="auto"/>
              </w:rPr>
            </w:pPr>
          </w:p>
        </w:tc>
        <w:tc>
          <w:tcPr>
            <w:tcW w:w="2940" w:type="dxa"/>
            <w:vAlign w:val="bottom"/>
            <w:gridSpan w:val="3"/>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(617) 401-9975</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80" w:type="dxa"/>
            <w:vAlign w:val="bottom"/>
            <w:gridSpan w:val="6"/>
          </w:tcPr>
          <w:p>
            <w:pPr>
              <w:jc w:val="center"/>
              <w:ind w:right="366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391"/>
        </w:trPr>
        <w:tc>
          <w:tcPr>
            <w:tcW w:w="3500" w:type="dxa"/>
            <w:vAlign w:val="bottom"/>
          </w:tcPr>
          <w:p>
            <w:pPr>
              <w:spacing w:after="0"/>
              <w:rPr>
                <w:sz w:val="24"/>
                <w:szCs w:val="24"/>
                <w:color w:val="auto"/>
              </w:rPr>
            </w:pPr>
          </w:p>
        </w:tc>
        <w:tc>
          <w:tcPr>
            <w:tcW w:w="7740" w:type="dxa"/>
            <w:vAlign w:val="bottom"/>
            <w:gridSpan w:val="7"/>
          </w:tcPr>
          <w:p>
            <w:pPr>
              <w:jc w:val="center"/>
              <w:ind w:right="342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44"/>
        </w:trPr>
        <w:tc>
          <w:tcPr>
            <w:tcW w:w="3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500" w:type="dxa"/>
            <w:vAlign w:val="bottom"/>
            <w:tcBorders>
              <w:left w:val="single" w:sz="8" w:color="auto"/>
              <w:bottom w:val="single" w:sz="8" w:color="auto"/>
            </w:tcBorders>
          </w:tcPr>
          <w:p>
            <w:pPr>
              <w:jc w:val="center"/>
              <w:ind w:left="185"/>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color w:val="auto"/>
              </w:rPr>
              <w:t>Trading Symbol</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203"/>
        </w:trPr>
        <w:tc>
          <w:tcPr>
            <w:tcW w:w="3500" w:type="dxa"/>
            <w:vAlign w:val="bottom"/>
            <w:tcBorders>
              <w:left w:val="single" w:sz="8" w:color="auto"/>
              <w:bottom w:val="single" w:sz="8" w:color="auto"/>
            </w:tcBorders>
          </w:tcPr>
          <w:p>
            <w:pPr>
              <w:jc w:val="center"/>
              <w:ind w:left="185"/>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6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rPr>
              <w:t>SYBX</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313"/>
        </w:trPr>
        <w:tc>
          <w:tcPr>
            <w:tcW w:w="3500" w:type="dxa"/>
            <w:vAlign w:val="bottom"/>
          </w:tcPr>
          <w:p>
            <w:pPr>
              <w:spacing w:after="0"/>
              <w:rPr>
                <w:sz w:val="24"/>
                <w:szCs w:val="24"/>
                <w:color w:val="auto"/>
              </w:rPr>
            </w:pPr>
          </w:p>
        </w:tc>
        <w:tc>
          <w:tcPr>
            <w:tcW w:w="7740" w:type="dxa"/>
            <w:vAlign w:val="bottom"/>
            <w:gridSpan w:val="7"/>
          </w:tcPr>
          <w:p>
            <w:pPr>
              <w:jc w:val="center"/>
              <w:ind w:right="342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None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500" w:type="dxa"/>
            <w:vAlign w:val="bottom"/>
            <w:gridSpan w:val="3"/>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40" w:type="dxa"/>
            <w:vAlign w:val="bottom"/>
            <w:vMerge w:val="restart"/>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260" w:type="dxa"/>
            <w:vAlign w:val="bottom"/>
            <w:gridSpan w:val="2"/>
            <w:vMerge w:val="restart"/>
          </w:tcPr>
          <w:p>
            <w:pPr>
              <w:ind w:left="80"/>
              <w:spacing w:after="0" w:line="175" w:lineRule="exact"/>
              <w:rPr>
                <w:sz w:val="20"/>
                <w:szCs w:val="20"/>
                <w:color w:val="auto"/>
              </w:rPr>
            </w:pPr>
            <w:r>
              <w:rPr>
                <w:rFonts w:ascii="Times New Roman" w:cs="Times New Roman" w:eastAsia="Times New Roman" w:hAnsi="Times New Roman"/>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174"/>
        </w:trPr>
        <w:tc>
          <w:tcPr>
            <w:tcW w:w="6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YES</w:t>
            </w:r>
          </w:p>
        </w:tc>
        <w:tc>
          <w:tcPr>
            <w:tcW w:w="240" w:type="dxa"/>
            <w:vAlign w:val="bottom"/>
            <w:vMerge w:val="continue"/>
          </w:tcPr>
          <w:p>
            <w:pPr>
              <w:spacing w:after="0"/>
              <w:rPr>
                <w:sz w:val="15"/>
                <w:szCs w:val="15"/>
                <w:color w:val="auto"/>
              </w:rPr>
            </w:pPr>
          </w:p>
        </w:tc>
        <w:tc>
          <w:tcPr>
            <w:tcW w:w="4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  YES</w:t>
            </w:r>
          </w:p>
        </w:tc>
        <w:tc>
          <w:tcPr>
            <w:tcW w:w="30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NO</w:t>
            </w:r>
          </w:p>
        </w:tc>
        <w:tc>
          <w:tcPr>
            <w:tcW w:w="4260" w:type="dxa"/>
            <w:vAlign w:val="bottom"/>
            <w:gridSpan w:val="2"/>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ind w:right="160"/>
        <w:spacing w:after="0" w:line="169" w:lineRule="exact"/>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3"/>
          <w:szCs w:val="13"/>
          <w:color w:val="auto"/>
        </w:rPr>
        <w:t>ndicate by check mark whether the registrant: (1) has filed all reports required to be filed by Section 13 or 15(d) of the Securities Exchange Act of 1934 during the preceding 12 months (or for such shorter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 xml:space="preserve">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18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0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10"/>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0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 reporting company</w:t>
            </w:r>
          </w:p>
        </w:tc>
        <w:tc>
          <w:tcPr>
            <w:tcW w:w="62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10"/>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4" w:lineRule="exact"/>
        <w:rPr>
          <w:sz w:val="24"/>
          <w:szCs w:val="24"/>
          <w:color w:val="auto"/>
        </w:rPr>
      </w:pPr>
    </w:p>
    <w:p>
      <w:pPr>
        <w:ind w:right="16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 w:lineRule="exact"/>
        <w:rPr>
          <w:sz w:val="24"/>
          <w:szCs w:val="24"/>
          <w:color w:val="auto"/>
        </w:rPr>
      </w:pPr>
    </w:p>
    <w:p>
      <w:pPr>
        <w:ind w:right="20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00"/>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ind w:right="120"/>
        <w:spacing w:after="0" w:line="169"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tabs>
          <w:tab w:leader="none" w:pos="6260" w:val="left"/>
          <w:tab w:leader="none" w:pos="68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ab/>
        <w:t xml:space="preserve">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of the registrant as of June 30, 2022, the last business day of the registrant’s most recently completed second quarter, was $41.5 million, computed based on the closing price of $1.15 per share on June 30, 2022.</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22, 2023 there were 67,728,025 shares of the registrant’s common stock, par value $0.001 per share, outstanding.</w:t>
      </w:r>
    </w:p>
    <w:p>
      <w:pPr>
        <w:spacing w:after="0" w:line="4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0" w:lineRule="exact"/>
        <w:rPr>
          <w:sz w:val="24"/>
          <w:szCs w:val="24"/>
          <w:color w:val="auto"/>
        </w:rPr>
      </w:pPr>
    </w:p>
    <w:p>
      <w:pPr>
        <w:ind w:right="280"/>
        <w:spacing w:after="0" w:line="252" w:lineRule="auto"/>
        <w:rPr>
          <w:sz w:val="20"/>
          <w:szCs w:val="20"/>
          <w:color w:val="auto"/>
        </w:rPr>
      </w:pPr>
      <w:r>
        <w:rPr>
          <w:rFonts w:ascii="Times New Roman" w:cs="Times New Roman" w:eastAsia="Times New Roman" w:hAnsi="Times New Roman"/>
          <w:sz w:val="13"/>
          <w:szCs w:val="13"/>
          <w:color w:val="auto"/>
        </w:rPr>
        <w:t>The following documents (or parts thereof) are incorporated by reference into the following parts of this Form 10-K: Certain information required in Part III of this Annual Report on Form 10-K is incorporated from the registrant’s definitive proxy statement for the 2023 annual meeting of stockholders to be filed pursuant to Regulation 14A with the Securities and Exchange Commission within 120 days of the registrant’s fiscal year ended December 31, 2022.</w:t>
      </w:r>
    </w:p>
    <w:p>
      <w:pPr>
        <w:ind w:left="100"/>
        <w:spacing w:after="0"/>
        <w:tabs>
          <w:tab w:leader="none" w:pos="1460" w:val="left"/>
          <w:tab w:leader="none" w:pos="3340" w:val="left"/>
          <w:tab w:leader="none" w:pos="4720" w:val="left"/>
          <w:tab w:leader="none" w:pos="6960" w:val="left"/>
          <w:tab w:leader="none" w:pos="846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185</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KPMG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3"/>
          <w:szCs w:val="13"/>
          <w:color w:val="auto"/>
        </w:rPr>
        <w:t>Boston, Massachusetts,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0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44"/>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50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44"/>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344"/>
        </w:trPr>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4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75" w:lineRule="exact"/>
        <w:rPr>
          <w:sz w:val="20"/>
          <w:szCs w:val="20"/>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17" w:lineRule="exact"/>
        <w:rPr>
          <w:rFonts w:ascii="Times New Roman" w:cs="Times New Roman" w:eastAsia="Times New Roman" w:hAnsi="Times New Roman"/>
          <w:sz w:val="18"/>
          <w:szCs w:val="18"/>
          <w:color w:val="auto"/>
        </w:rPr>
      </w:pPr>
    </w:p>
    <w:p>
      <w:pPr>
        <w:ind w:left="1340" w:right="260" w:hanging="37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53"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 if approved;</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 if approved;</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340" w:right="160" w:hanging="37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340" w:right="580" w:hanging="37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(COVID-19) or by other health epidemics or pandemics; and</w:t>
      </w:r>
    </w:p>
    <w:p>
      <w:pPr>
        <w:spacing w:after="0" w:line="53"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2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 late-stage clinical biotechnology company advancing the design and development of biotherapeutics based on synthetic biology. Synthetic biology is the application of engineering principles in the design of biological systems, genetic circuits and molecular components. We apply the power of synthetic biology to medicine, combining precision engineering with rational drug development to produce Synthetic Biotics: living probiotics genetically engineered to deliver therapeutic benefit.</w:t>
      </w:r>
    </w:p>
    <w:p>
      <w:pPr>
        <w:spacing w:after="0" w:line="22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believe that this approach confers advantages in the design, development and commercialization of new medicines. Our drug candidates are designed through precise engineering to target validated biological pathways known in the pathophysiology of a given disease. Our current pipeline includes drug candidates that are all orally administered, based on the probiotic chassis of Escherichia coli Nissle 1917, which has more than one hundred years of human dosing experience. The activity of our drug candidates is restricted to the gastrointestinal (GI) tract, avoiding systemic exposure and associated risks that limit the success of other modalities. Our drug candidates are also designed to be non-colonizing, and fully reversible via GI clearance. These attributes have allowed us to advance the development of potential medicines for both rare and common diseases, with a focus on metabolic and immunological indications. Our platform leverages manufacturing processes with familiar foundations, including fermentation and lyophilization, facilitating process design and scale-up, combined with unique and proprietary innovations tailored to our unique products.</w:t>
      </w:r>
    </w:p>
    <w:p>
      <w:pPr>
        <w:spacing w:after="0" w:line="21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Since our founding, based upon technology from the Massachusetts Institute of Technology (MIT) in 2014, we have progressed our Synthetic Biotics to a pipeline of multiple drug candidates across different stages, including:</w:t>
      </w:r>
    </w:p>
    <w:p>
      <w:pPr>
        <w:spacing w:after="0" w:line="54" w:lineRule="exact"/>
        <w:rPr>
          <w:sz w:val="20"/>
          <w:szCs w:val="20"/>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SYNB1934 has successfully completed its Phase 2 study. We expect to start a pivotal, Phase 3 study of SYNB1934 for the treatment of patients with phenylketonuria (PKU) in the first half of 2023;</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SYNB8802, a potential treatment for enteric hyperoxaluria, a well-recognized cause of recurrent kidney stones, has demonstrated clinical proof of concept through a Phase 1b study in patients who have undergone Roux-en-Y gastric bypass surgery;</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SYNB1353, which was designed to consume methionine as a potential treatment for homocystinuria (HCU), has achieved proof of mechanism in a Phase 1 study in healthy volunteers and will be advancing towards a Phase 2 study;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SYNB2081, which was announced as a drug candidate for gout this year, and is currently in IND-enabling studies;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research focusing on immunological opportunities such as inflammatory bowel disease (IBD).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154305</wp:posOffset>
            </wp:positionV>
            <wp:extent cx="4225925" cy="2451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2592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mission is to treat diseases underserved by other modalities by researching, developing and commercializing a new class of medicines through the application of synthetic biology to therapeutics. We intend to become a differentiated, global biopharmaceutical company through our approach to Synthetic Biotics. Our near-term priorities include advancing SYNB1934 through Synpheny-3, our pivotal, Phase 3 trial. We are also advancing our earlier-stage pipeline, while continually optimizing our approach to drug discovery, development and manufacturing.</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Elements of our strategy include:</w:t>
      </w:r>
    </w:p>
    <w:p>
      <w:pPr>
        <w:spacing w:after="0" w:line="127" w:lineRule="exact"/>
        <w:rPr>
          <w:sz w:val="20"/>
          <w:szCs w:val="20"/>
          <w:color w:val="auto"/>
        </w:rPr>
      </w:pPr>
    </w:p>
    <w:p>
      <w:pPr>
        <w:ind w:left="900" w:right="100" w:hanging="383"/>
        <w:spacing w:after="0" w:line="25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our rare metabolic portfolio, including SYNB1934 for PKU and SYNB1353 for HCU, through clinical development, registration and commercialization. </w:t>
      </w:r>
      <w:r>
        <w:rPr>
          <w:rFonts w:ascii="Times New Roman" w:cs="Times New Roman" w:eastAsia="Times New Roman" w:hAnsi="Times New Roman"/>
          <w:sz w:val="18"/>
          <w:szCs w:val="18"/>
          <w:color w:val="auto"/>
        </w:rPr>
        <w:t>Since our formation, we have established expertise in rare metabolic disorders, and specifically inborn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errors of metabolism. Designing our Synthetic Biotics has entailed increasing knowledge of disease biology in diseases like PKU and HCU. Through our development work to date, we have established strong connections with the patient and clinician communities, a crucial requirement in drug development and commercialization in rare diseases. Given this investment, we believe that we are best suited to lead activities for late-stage development through commercialization for our rare metabolic portfolio. For PKU, this includes initiation and execution of Synpheny-3, a pivotal Phase 3 study for SYNB1934, and for HCU, this includes advancing SYNB1353 to a Phase 2 study.</w:t>
      </w:r>
    </w:p>
    <w:p>
      <w:pPr>
        <w:spacing w:after="0" w:line="88" w:lineRule="exact"/>
        <w:rPr>
          <w:rFonts w:ascii="Times New Roman" w:cs="Times New Roman" w:eastAsia="Times New Roman" w:hAnsi="Times New Roman"/>
          <w:sz w:val="18"/>
          <w:szCs w:val="18"/>
          <w:color w:val="auto"/>
        </w:rPr>
      </w:pPr>
    </w:p>
    <w:p>
      <w:pPr>
        <w:ind w:left="900" w:hanging="383"/>
        <w:spacing w:after="0" w:line="25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Progressing additional programs through clinical development via strategic partnerships: </w:t>
      </w:r>
      <w:r>
        <w:rPr>
          <w:rFonts w:ascii="Times New Roman" w:cs="Times New Roman" w:eastAsia="Times New Roman" w:hAnsi="Times New Roman"/>
          <w:sz w:val="18"/>
          <w:szCs w:val="18"/>
          <w:color w:val="auto"/>
        </w:rPr>
        <w:t>In 2022, we achieved proof of concept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SYNB8802, in development for enteric hyperoxaluria, a well-recognized cause of recurrent kidney stones. During 2022 we also announced the naming of SYNB2081, a Synthetic Biotic designed to metabolize uric acid as a potential biotherapeutic for gout, which is currently in IND-enabling studies. We believe that both of these product candidates present compelling opportunities to help patients in significant need of new treatment options. We also believe that the programs would be best enabled in partnership with organizations with clinical and regulatory experience and expertise in relevant therapeutic areas, which would be complementary to our expertise on the Synthetic Biotic platform, and benefit from the progress we continue to make in the rare metabolic space.</w:t>
      </w:r>
    </w:p>
    <w:p>
      <w:pPr>
        <w:spacing w:after="0" w:line="88" w:lineRule="exact"/>
        <w:rPr>
          <w:rFonts w:ascii="Times New Roman" w:cs="Times New Roman" w:eastAsia="Times New Roman" w:hAnsi="Times New Roman"/>
          <w:sz w:val="18"/>
          <w:szCs w:val="18"/>
          <w:color w:val="auto"/>
        </w:rPr>
      </w:pPr>
    </w:p>
    <w:p>
      <w:pPr>
        <w:ind w:left="900" w:right="20" w:hanging="383"/>
        <w:spacing w:after="0" w:line="25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Optimizing the potential of Synthetic Biotics: </w:t>
      </w:r>
      <w:r>
        <w:rPr>
          <w:rFonts w:ascii="Times New Roman" w:cs="Times New Roman" w:eastAsia="Times New Roman" w:hAnsi="Times New Roman"/>
          <w:sz w:val="18"/>
          <w:szCs w:val="18"/>
          <w:color w:val="auto"/>
        </w:rPr>
        <w:t>We continually build on our leadership position in biotherapeutics based on synthetic biology.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add to our expertise in design, optimization, and manufacturing to ensure that we are advancing the best possible Synthetic Biotics to address serious medical needs. We pursue this internally, and through select collaborations such as those currently in place with F. Hoffmann-La Roche Ltd. (Roche Basel) and Hoffmann-La Roche Inc. (Roche US, and together with Roche Basel, Roche) and Ginkgo Bioworks, Inc. (Ginkgo). In 2019, we entered a collaboration with Ginkgo to discover additional preclinical assets, combining our approach to Synthetic Biotics with Ginkgo’s Codebase and Foundry services. This collaboration has since resulted in SYNB1353 for HCU and SYNB2081 for gout. In 2021, we entered into a Pilot Collaboration and Option Agreement with Roche for the discovery of a novel Synthetic Biotic for an undisclosed novel target in IBD. During 2021, we received the upfront, nonrefundable technology access fee due under the terms of the agreement and achieved the first milestone payment for the completion of the research and development services for the first phase of the research plan. During 2022, we received a second milestone payment. We may opportunistically enter into collaborations around certain targets, product candidates or disease areas to maximize their market potential and expand our capabilities.</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supported by our Board of Directors and our Scientific Advisory Board, each of which offers complementary experience in drug discovery and development, as well as expertise in building public companies, management, commercialization, and business development. Our founding science came from the laboratories of MIT professors James Collins and Timothy Lu, who remain engaged in guiding development and application of our product engine as members of our Scientific Advisory Board.</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Pipeline: Synthetic Biotics in Clinical Development</w:t>
      </w:r>
    </w:p>
    <w:p>
      <w:pPr>
        <w:spacing w:after="0" w:line="13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current clinical-stage pipeline consists of drug candidates targeting significant medical needs caused by an underlying metabolic disorder. These include SYNB1934, which we expect to enter a pivotal, Phase 3 study in PKU in the first half of 2023, and drug candidates designed to treat HCU, enteric hyperoxaluria, and gout. Our preclinical work includes additional metabolic disease research, target exploration, and focused efforts on immunology, specifically IBD.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125730</wp:posOffset>
            </wp:positionV>
            <wp:extent cx="5237480" cy="264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748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Pipeline: Metabolic Diseases</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Metabolic diseases are disorders resulting from defects or alterations in how our bodies break down or produce important metabolites or molecules. These can be caused by a genetic mutation, such as PKU or HCU, or organ dysfunction, such as enteric hyperoxaluria, or a combination of genetic predisposition and environmental factors, as is the case with gout. In patients with these diseases, the absence of certain enzymes causes metabolites to accumulate in the GI tract and systemically throughout the body. In patients with PKU and HCU, these metabolites can build up to toxic levels, resulting in life-threatening medical risks and/or serious complications.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PKU Program</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October 2022, based on the positive findings of the Synpheny-1 Phase 2 study, we confirmed that SYNB1934 would be the drug candidate to enter Synpheny-3, a pivotal, Phase 3 study expected to commence in the first half of 2023. SYNB1934 is an orally administered, non-systemically absorbed drug candidate based on the probiotic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genetically engineered to metabolize Phe. Findings to date support SYNB1934’s potential to be an efficacious, safe, convenient, orally-administered medical option that can be used regardless of age, or genotype of PKU and can be used for both monotherapy or adjunctive treatment option. In January 2023, we announced that SYNB1934 was granted Rare Pediatric Drug Designation (RPDD) by the FDA. Prior to confirming SYNB1934 as the lead candidate, we developed a first-generation PKU drug candidate, SYNB1618, through Phase 2 studies. SYNB1618 received both Orphan Drug and Fast Track designations by the FDA, and a positive opinion for orphan designation from the European Medicines Agency (EMA). We expect to receive these designations for SYNB1934 given its similarity as a more potent version of SYNB1618.</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Science of PKU</w:t>
      </w:r>
    </w:p>
    <w:p>
      <w:pPr>
        <w:spacing w:after="0" w:line="13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PKU is an inherited metabolic disease that causes the amino acid phenylalanine (Phe) to build up in the body. Phe is found in the natural protein contained in foods including all meat and dairy products, most beans, grains and potatoes, as well as some artificial sweeteners. People with PKU have inherited genetic defects in the phenylalanine hydroxylase (PAH) enzyme, which is required to break down Phe, resulting in potentially neurotoxic levels. Uncontrolled Phe levels during childhood can interfere with normal brain development, causing permanent developmental disabilities, and severely elevated Phe levels at any age can result in neurocognitive symptoms such as slower cognition, difficulty concentrating or “brain fog.”</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To reduce the risk of complications in PKU patients requires lifelong control of Phe levels. During the 1960’s, countries began newborn screening to ensure that Phe control was implemented immediately through a highly restrictive, low-Phe diet to avoid permanent, severe intellectual disability. Per EU and U.S. guidelines, any newborn infant with a plasma Phe concentration of &gt;400–600 μM should be started on a low-Phe diet as soon as possible. The diet includes extreme restrictions of natural foods to keep daily protein at levels that can be as low as 4-6 grams per day, This generally includes elimination of all sources of animal protein and dairy, legumes and nuts, and limited intake of bread, pasta, rice and some vegetables. Low-protein bread and pasta products made from starch are used to provide needed energy. The dietary regimen required also includes the addition of amino acid-based, Phe-free formula or other specific medical foods to provide adequate protein, vitamins, minerals and energy.</w:t>
      </w:r>
    </w:p>
    <w:p>
      <w:pPr>
        <w:spacing w:after="0" w:line="21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It is extremely challenging to adhere to this restricted diet. Particular challenges arise during times of increasing independence during adolescence. Access to low protein foods can pose difficulties as they are costlier and less nutritious than their higher protein, non-modified equivalents, and the needed formula can also be costly or otherwise difficult to access. As a result, the vast majority of people living with PKU, and especially adults living independently, have Phe levels well above the recognized targets.</w:t>
      </w:r>
    </w:p>
    <w:p>
      <w:pPr>
        <w:spacing w:after="0" w:line="22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It is estimated that there are more than 150,000 people diagnosed with PKU living across the United States, Europe and Asia. They are typically diagnosed through newborn screening. Of these, the vast majority remain untreated, reflecting limitations of current treatment options.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 PKU Treatment Options</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are currently two medications that have been approved by the FDA, EMA, and other regulatory agencies globally as medical treatments for PKU based on safety and efficacy in reduction of plasma Phe levels. These approved medications provide precedents for clinical development and regulatory processes, yet have different limitations that we believe leave significant need for a new medical treatment approach for PKU, as outlined below:</w:t>
      </w:r>
    </w:p>
    <w:p>
      <w:pPr>
        <w:spacing w:after="0" w:line="81" w:lineRule="exact"/>
        <w:rPr>
          <w:sz w:val="20"/>
          <w:szCs w:val="20"/>
          <w:color w:val="auto"/>
        </w:rPr>
      </w:pPr>
    </w:p>
    <w:p>
      <w:pPr>
        <w:ind w:left="900" w:right="60" w:hanging="383"/>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Sapropterin dihydrochloride (Kuvan®), a biopterin, was approved by the FDA in 20117, and is now as a generic in the United States and other markets in tablet and sachet formulations. Prior to genericization, Kuvan generated ~$500 million per year globally for Biomarin, despite use by only an estimated 15% of U.S. patients. Now, where available, a trial of sapropterin is standard of care for infants diagnosed with PKU, and those that respond with a sufficient reduction in Phe will remain on lifelong sapropterin treatment. However, we believe a significant proportion of sapropterin-responsive patients would still benefit from additional Phe-lowering, and we see this segment as an important opportunity for SYNB1934 as an adjunctive medical treatment option.</w:t>
      </w:r>
    </w:p>
    <w:p>
      <w:pPr>
        <w:spacing w:after="0" w:line="92" w:lineRule="exact"/>
        <w:rPr>
          <w:rFonts w:ascii="Times New Roman" w:cs="Times New Roman" w:eastAsia="Times New Roman" w:hAnsi="Times New Roman"/>
          <w:sz w:val="18"/>
          <w:szCs w:val="18"/>
          <w:color w:val="auto"/>
        </w:rPr>
      </w:pPr>
    </w:p>
    <w:p>
      <w:pPr>
        <w:ind w:left="900" w:right="20" w:hanging="383"/>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Palynziq® Injection (pegvaliase-pqpz) was approved by the FDA in 2018 for adult patients with PKU and uncontrolled blood Phe. Due to instability and other complexities, the PAH enzyme that is impaired in PKU is not a viable candidate for enzyme replacement therapy. Palynziq is a pegylated form of recombinant phenylalanine ammonia lyase (PAL), a non-mammalian enzyme that also metabolizes Phe. Safety considerations include risk of severe allergic reactions, including a 10% risk of anaphylaxis, resulting in FDA labeling that includes a boxed warning and requirement to carry auto-injectable epinephrine at all times while they are taking the medication. Despite these challenges, Palynziq generated $255 million in 2022, largely from the United States, despite maintaining an estimated ~10% market share.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 w:name="page8"/>
    <w:bookmarkEnd w:id="7"/>
    <w:p>
      <w:pPr>
        <w:ind w:firstLine="509"/>
        <w:spacing w:after="0" w:line="261" w:lineRule="auto"/>
        <w:rPr>
          <w:sz w:val="20"/>
          <w:szCs w:val="20"/>
          <w:color w:val="auto"/>
        </w:rPr>
      </w:pPr>
      <w:r>
        <w:rPr>
          <w:rFonts w:ascii="Times New Roman" w:cs="Times New Roman" w:eastAsia="Times New Roman" w:hAnsi="Times New Roman"/>
          <w:sz w:val="18"/>
          <w:szCs w:val="18"/>
          <w:color w:val="auto"/>
        </w:rPr>
        <w:t>Given the limitations of sapropterin in terms of responder rates, and the safety challenges of Palynziq, we believe the approved therapies’ limitations leave a large majority of those living with PKU in need of an orally-administered medical treatment option that provides Phe-lowering efficacy with an acceptable safety and tolerability profile. We believe that SYNB1934, as a potentially safe, orally dosed product that provides significant and sustained reductions in Phe levels, and as both a monotherapy or adjunctive medical treatment option, could meet that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SYNB1934 for PKU</w:t>
      </w:r>
    </w:p>
    <w:p>
      <w:pPr>
        <w:spacing w:after="0" w:line="13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Our approach to designing a Synthetic Biotic to metabolize Phe is based on a strain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engineered to metabolize Phe as it transits through the GI tract, thereby targeting both Phe from dietary sources, and Phe that has circulated to the GI tract via enterorecirculation. Phe metabolism is done through the addition of Phe-consuming L-amino acid deaminase (LAAD) and phenylalanine ammonia lyase (PAL) enzymes. The strains were also designed to produce a Phe transporter, PheP, which brings Phe into the cell, where it is metabolized by PAL. It is provided to patients as a sachet containing a lyophilized powder formulation, to be mixed with water and taken with meals, three times a day. This product presentation is familiar to PKU patients, as sapropterin is provided as a sachet, and often their nutritional supplemental formula requires mixing with liquid.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SYNB1934 was engineered as a next-generation version of first-generation PKU drug candidate SYNB1618, by modifying five amino acids in PAL, which increased productivity of PAL’s conversion of Phe to the metabolic byproduct trans-Cinnamic acid (TCA). A detailed description of the engineering of SYNB1618 and data from preclinical studies in an animal model of disease and healthy non-human primates was published in 2018 (</w:t>
      </w:r>
      <w:r>
        <w:rPr>
          <w:rFonts w:ascii="Times New Roman" w:cs="Times New Roman" w:eastAsia="Times New Roman" w:hAnsi="Times New Roman"/>
          <w:sz w:val="17"/>
          <w:szCs w:val="17"/>
          <w:i w:val="1"/>
          <w:iCs w:val="1"/>
          <w:color w:val="auto"/>
        </w:rPr>
        <w:t>Nat. Biotechnol</w:t>
      </w:r>
      <w:r>
        <w:rPr>
          <w:rFonts w:ascii="Times New Roman" w:cs="Times New Roman" w:eastAsia="Times New Roman" w:hAnsi="Times New Roman"/>
          <w:sz w:val="17"/>
          <w:szCs w:val="17"/>
          <w:color w:val="auto"/>
        </w:rPr>
        <w:t>. 36, 857–864 (2018)), and an overview of the engineering and early development of SYNB1934 was published in 2021 (</w:t>
      </w:r>
      <w:r>
        <w:rPr>
          <w:rFonts w:ascii="Times New Roman" w:cs="Times New Roman" w:eastAsia="Times New Roman" w:hAnsi="Times New Roman"/>
          <w:sz w:val="17"/>
          <w:szCs w:val="17"/>
          <w:i w:val="1"/>
          <w:iCs w:val="1"/>
          <w:color w:val="auto"/>
        </w:rPr>
        <w:t>Nat Commun</w:t>
      </w:r>
      <w:r>
        <w:rPr>
          <w:rFonts w:ascii="Times New Roman" w:cs="Times New Roman" w:eastAsia="Times New Roman" w:hAnsi="Times New Roman"/>
          <w:sz w:val="17"/>
          <w:szCs w:val="17"/>
          <w:color w:val="auto"/>
        </w:rPr>
        <w:t>. 12, 6215 (2021)).</w:t>
      </w:r>
    </w:p>
    <w:p>
      <w:pPr>
        <w:spacing w:after="0" w:line="21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Phase 1 studies of healthy volunteers, both SYNB1618 and SYNB1934 have been found to be safe and well-tolerated at doses up to 2x10</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8"/>
          <w:szCs w:val="18"/>
          <w:color w:val="auto"/>
        </w:rPr>
        <w:t xml:space="preserve"> live cells administered three times a day for seven days. Higher doses were associated with mild to moderate gastrointestinal symptoms, mainly nausea and vomiting. In July 2019, we announced data that demonstrated that SYNB1618 was safe and well-tolerated and achieved proof-of-mechanism of strain activity in both healthy volunteers and patients with PKU. Improved tolerability of the lyophilized SYNB1618 over the early liquid formulation enabled us to determine a maximally tolerated dose (MTD) to take forward to test in patients. In September 2021, we announced that Phase 1 results in healthy volunteers and predictive modeling indicate SYNB1934 may have greater potency than SYNB1618.</w:t>
      </w:r>
    </w:p>
    <w:p>
      <w:pPr>
        <w:spacing w:after="0" w:line="23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October 2022, we shared positive top-line results from the Phase 2 Synpheny-1 study that demonstrated proof of concept in PKU patients for both candidates, and confirmed greater potency of SYNB1934 in PKU patients, the candidate that we have selected to advance to pivotal Phase 3 studies. The complete results were presented at the Society for Inherited Metabolic Disorders (SIMD) Annual Meeting in March 2023. Results presented included successfully meeting the primary endpoint (change in area under the curve of D5-Phe following a meal challenge) for SYNB1618 and SYNB1934. The study also confirmed greater activity in PKU patients for SYNB1934, the next-generation Synthetic Biotic designed to consume Phe, as compared to first-generation candidate SYNB1618. Results for SYNB1934 included a -40% mean reduction in plasma Phe levels for SYNB1934, and -53% among those considered responders (with &gt;20% reduction from baseline). 60% of patients achieved the &gt;20% criteria for Phe reduction considered the threshold for a clinically meaningful response. The study also included experience with both candidates when provided in combination for patients who were already taking sapropterin (Kuvan) at baseline, indicating the potential for adjunctive medical treatment. Safety and tolerability findings were consistent with prior experience and favorable, with no serious adverse events (SAE) across the PKU program, and those adverse events that did occur being predominantly GI in nature.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320040</wp:posOffset>
            </wp:positionV>
            <wp:extent cx="5940425" cy="3086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94042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date, the PKU program has included &gt;240 individuals dosed across four clinical trials. We anticipate starting Synpheny-3, the pivotal Phase 3 study of SYNB1934 as a potential treatment for PKU, in the first half of 2023. We expect that the design for this trial will build on the successful precedents provided by the two therapeutics that have already been approved by regulators as treatments for Phe-lowering in PKU. Both of those currently approved medicines were approved based on a single, registrational study, with Phe-reduction as a primary endpoint, and share a similar, three-part structure to the design of their Phase 3 trials. Synpheny-3 is expected to include both adults and adolescent patients between ages 12-18 years of age. We anticipate a separate study will be needed to support use in patients under 12 years of age.</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pursuing broad US and Ex-US patent protection for SYNB1934, including composition of matter patent exclusivity to 2041, composition of matter directed to the engineered bacterium and its drug formulation, and methods of treatment and administration &amp; manufacturing methods. Coverage will continue to grow as the program progresses.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HCU Program</w:t>
      </w:r>
    </w:p>
    <w:p>
      <w:pPr>
        <w:spacing w:after="0" w:line="13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November 2021 we announced the nomination of SYNB1353, a novel, orally administered, non-systemically absorbed drug candidate designed to lower plasma levels of homocysteine (Hcy) in patients with HCU by consuming methionine, a precursor to Hcy, in the GI tract. We also shared at that time that mechanistic modeling data suggests that SYNB1353 may lower plasma Hcy by up to 58% and may increase protein intake in HCU patients.</w:t>
      </w:r>
    </w:p>
    <w:p>
      <w:pPr>
        <w:spacing w:after="0" w:line="20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November 2022, we announced that proof of mechanism was achieved with SYNB1353 through positive results in the Phase 1 study of healthy volunteers using a dietary model of HCU. SYNB1353 has received Fast Track, Orphan Drug, and Rare Pediatric Disease Designations from the FDA as a potential treatment for HCU.</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of HCU</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HCU is a rare inherited metabolic disorder that affects the metabolism of the amino acid methionine (Met), a protein found in many foods including meat, fish, and dairy products. HCU is caused by a genetic defect which results in the absence of an enzyme known as cystathionine beta-synthase (CBS). When CBS is absent, Hcy and other toxic chemicals and their byproducts, including Met, build up in the blood and urine. In HCU, elevated total homocysteine (tHcy) levels are associated with a multisystem disorder, including impairments of the eye (ectopia lentis and/or severe myopia), skeletal system (excessive height, long limbs, scoliosis, pectus excavatum), vascular system (thromboembolism), and CNS (development delay and intellectual disability). The goal in treating HCU is to reduce and control levels of tHcy, thereby reducing risk of acute, potentially life-threatening blood clots and chronic, multisystem complications.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131445</wp:posOffset>
            </wp:positionV>
            <wp:extent cx="6172200" cy="3154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is currently no cure for HCU and treatment options are limited. Patients must follow a rigid diet low in protein to avoid dietary Met intake. Other therapeutic approaches include vitamin supplements to minimize some of the disease side effects. Approximately 5,000 individuals in the United States and Europe suffer from CBS or “Classical” HCU.</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 HCU Treatments</w:t>
      </w:r>
    </w:p>
    <w:p>
      <w:pPr>
        <w:spacing w:after="0" w:line="135" w:lineRule="exact"/>
        <w:rPr>
          <w:sz w:val="20"/>
          <w:szCs w:val="20"/>
          <w:color w:val="auto"/>
        </w:rPr>
      </w:pPr>
    </w:p>
    <w:p>
      <w:pPr>
        <w:jc w:val="both"/>
        <w:ind w:right="320" w:firstLine="509"/>
        <w:spacing w:after="0" w:line="255" w:lineRule="auto"/>
        <w:rPr>
          <w:sz w:val="20"/>
          <w:szCs w:val="20"/>
          <w:color w:val="auto"/>
        </w:rPr>
      </w:pPr>
      <w:r>
        <w:rPr>
          <w:rFonts w:ascii="Times New Roman" w:cs="Times New Roman" w:eastAsia="Times New Roman" w:hAnsi="Times New Roman"/>
          <w:sz w:val="18"/>
          <w:szCs w:val="18"/>
          <w:color w:val="auto"/>
        </w:rPr>
        <w:t>Approved pharmacological treatment options for HCU are limited due to efficacy and tolerability. People with more mild phenotypes of HCU typically respond effectively to, and are sufficiently managed by, taking Vitamin B6 (also known as pyridoxine-responsive). Non-responders require a combination of betaine (brand name Cystadane®) and a moderate to severe dietary Met restriction. The severely protein-restricted diet is complex and challenging to adhere to. Compliance with treatment often deteriorates, particularly in adolescence, as in other disorders requiring dietary adherence.</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Patients report significant challenges with the burden of the low protein diet, intake of amino acid mixtures, and the palatability of protein substitutes as well as betaine. Reaching tHcy treatment targets remains a challenge despite existing pharmacotherapies.</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SYNB1353 for HCU</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 diet low in Met, a precursor to Hcy, is standard treatment for lowering tHcy levels in patients with HCU. This dietary model provided the scientific rationale for SYNB1353, which was engineered to produce an enzymatic pathway to metabolize Met, and thus lower plasma levels of tHcy. SYNB1353 metabolizes Met via the methionine decarboxylase (MetDC) enzymatic pathway, which prevents the conversion of Met into Hcy, thereby lowering tHcy in HCU patients and reducing risk of complications. SYNB1353 is taken as an orally administered, non-systemically absorbed live biotherapeutic drug candidate that, like our PKU drug candidates, is provided as a lyophilized powder in a sachet, to be orally administered with meals three times a day. We hold worldwide development and commercialization rights to SYNB1353, which was developed as part of our research collaboration with Ginkgo.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88265</wp:posOffset>
            </wp:positionV>
            <wp:extent cx="6052185" cy="3429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5218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we announced that proof of mechanism was achieved with SYNB1353 through positive results in the Phase 1 study of healthy volunteers using a dietary model of HCU. Top-line results demonstrated that SYNB1353 reduced in plasma Met when measured over 24 hours as area under the curve (AUC) following a Met meal challenge. SYNB1353 was generally well tolerated, and adverse events (AEs) were all mild to moderate, transient, and predominantly GI in nature. The frequency and severity of GI-related AEs were similar in the active and control group. During 2023, we plan to continue to progress development of SYNB1353 towards a Phase 2 study in patients with HCU.</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Enteric Hyperoxaluria Program</w:t>
      </w:r>
    </w:p>
    <w:p>
      <w:pPr>
        <w:spacing w:after="0" w:line="13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SYNB8802 is a novel, orally administered, non-systemically absorbed drug candidate being developed for the treatment of enteric hyperoxaluria, a chronic, progressive disease characterized by high levels of urinary oxalate (Uox), a well-recognized cause of recurrent kidney stones.</w:t>
      </w:r>
    </w:p>
    <w:p>
      <w:pPr>
        <w:spacing w:after="0" w:line="20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Enteric hyperoxaluria often occurs as a result of a primary insult to the bowel, such as Crohn’s disease, short bowel syndrome, or surgical procedures such as Roux-en-Y bariatric weight-loss surgery. This results in GI malabsorption, causing increased absorption of oxalate across the GI tract into the circulation. Oxalate crystals can damage kidneys, leading to chronic kidney disease and end-stage renal disease (ESRD). There are no approved treatments for enteric hyperoxaluria. SYNB8802 was designed using precision genetic engineering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lower Uox levels by consuming oxalate through the addition of three different enzymes, which together convert oxalate to the byproduct formate. In 2021, we reported positive proof-of-mechanism for SYNB8802 from a Phase 1b study that demonstrated lowering of urinary and fecal oxalate levels in healthy volunteers with diet-induced hyperoxaluria, and in December 2022, we announced proof of concept based on the lowering of Uox in patients who have undergone Roux-en-Y gastric bypass surgery.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of Enteric Hyperoxaluria</w:t>
      </w:r>
    </w:p>
    <w:p>
      <w:pPr>
        <w:spacing w:after="0" w:line="13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Hyperoxaluria is a disease which results from excessive levels of oxalate in the body. Oxalate can be found naturally in the body or in foods with high oxalate levels such as leafy greens, potatoes, almonds, coffee, and beans. Humans do not have an inherent physiological need for oxalate and it is normally excreted through the kidney. Excessive levels of oxalate, when present in the urine, bind with calcium in the kidney and lead to nephrolithiasis (kidney stone formation), nephrocalcinosis, chronic kidney complications and renal disease.</w:t>
      </w:r>
    </w:p>
    <w:p>
      <w:pPr>
        <w:spacing w:after="0" w:line="20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is a direct link between elevated Uox and increased probability of kidney stone events or other renal adverse outcomes in patients with enteric hyperoxaluria. Even modest reductions in Uox can reduce the odds of developing a kidney stone. A recent epidemiological study conducted in 297 patients with enteric hyperoxaluria demonstrated that a 20% reduction in Uox resulted in as much as a 25% reduction in the annual risk of having a kidney stone in the subsequent year in patients with recurrent kidney stones (D’Costa, Nephrol Dial Transplant 2020).</w:t>
      </w:r>
    </w:p>
    <w:p>
      <w:pPr>
        <w:spacing w:after="0" w:line="22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vast majority of hyperoxaluria cases are idiopathic, or of unknown origin. A small percentage are caused by rare, genetic disorders, and an estimated 12% of highly recurrent kidney stone formers generate oxalate stones due to a clear enteric etiology. Conditions that commonly result in enteric hyperoxaluria include inflammatory bowel disease, certain kinds of bariatric surgery, short bowel syndrome, cystic fibrosis and celiac disease.</w:t>
      </w:r>
    </w:p>
    <w:p>
      <w:pPr>
        <w:spacing w:after="0" w:line="2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currently few approved treatments for primary hyperoxaluria, a rare genetic disease wherein the liver produces excessive levels of oxalate. Approved treatments for primary hyperoxaluria target the liver, and thus are not beneficial to patients with enteric hyperoxaluria, given its etiology is in GI malabsorption, and not hepatic over-production.</w:t>
      </w:r>
    </w:p>
    <w:p>
      <w:pPr>
        <w:spacing w:after="0" w:line="203"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Based on qualitative market research and analyses using real world evidence, we estimate that there are 200,000 to 300,000 patients with recurrent kidney stones due to enteric hyperoxaluria in the United States. Currently there are no approved pharmacological therapies for the reduction of oxalate levels in the urine in patients with enteric hyperoxaluria. Existing treatment options are generally non-specific and include high fluid intake to increase urine output to more than two to three liters per day, a diet low in salt and oxalate, oral citrate and/or calcium and/or magnesium supplementation. We believe a clear need exists for therapies that lower dangerously high levels of Uox to reduce the risk of recurrent kidney stones in this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144145</wp:posOffset>
            </wp:positionV>
            <wp:extent cx="5280660" cy="2820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806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SYNB8802 and Enteric Hyperoxaluria</w:t>
      </w:r>
    </w:p>
    <w:p>
      <w:pPr>
        <w:spacing w:after="0" w:line="13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In May 2020, we announced the nomination of a clinical candidate for enteric hyperoxaluria, SYNB8802, which was designed using precision genetic engineering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lower Uox levels by consuming oxalate throughout the GI tract.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3" w:name="page14"/>
    <w:bookmarkEnd w:id="13"/>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vivo studies in both mice and non-human primates demonstrated that SYNB8802 decreased Uox levels in an acute model of hyperoxaluria induced by dietary intervention. A detailed description of the engineering of SYNB8802 and data from these preclinical studies in an animal model of disease and healthy non-human primates was published in Molecular Systems Biology (Lubkowicz et al 2022).</w:t>
      </w:r>
    </w:p>
    <w:p>
      <w:pPr>
        <w:spacing w:after="0" w:line="20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2021, we reported positive proof-of-mechanism for SYNB8802 from a Phase 1a study that demonstrated -29% lowering of Uox and significant fecal oxalate lowering in healthy volunteers with diet-induced hyperoxaluria. In December 2022, we shared data confirming that SYNB8802 demonstrated proof of concept through clinically significant -38% lowering of Uox in a Phase 1b study in patients with a history of gastric bypass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123190</wp:posOffset>
            </wp:positionV>
            <wp:extent cx="5940425" cy="3634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042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SYNB8802 has the potential to be the first approved medical treatment for enteric hyperoxaluria. Our approach will be to target an enriched, high risk patient population who represent the greatest unmet medical need due to a history of highly recurrent kidney stones due to enteric hyperoxaluria. Our focus in 2023 is to advance development activities with a focus on formulation and dose frequency evaluation, prior to a future registrational Phase 3 study utilizing a clinical endpoint that incorporates kidney stone formation and/or events.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Gout Program</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SYNB2081 is a Synthetic Biotic designed to consume uric acid in the GI tract with the goal of lowering systemic uric acid levels as a potential treatment for gout, a complex form of inflammatory arthritis. Current treatment options present limitations in both safety and efficacy. SYNB2081 presents a novel, orally administered, non-systemically absorbed drug candidate created through our research collaboration with Ginkgo, the leading horizontal platform for cell programming.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of Gout</w:t>
      </w:r>
    </w:p>
    <w:p>
      <w:pPr>
        <w:spacing w:after="0" w:line="135"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Gout occurs when excess uric acid in the body forms crystals in the joints. Patients can experience symptoms such as intense joint pain, inflammation and redness, and limited range of motion in the affected joints due to excessive levels of uric acid. In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14" w:name="page15"/>
    <w:bookmarkEnd w:id="14"/>
    <w:p>
      <w:pPr>
        <w:ind w:right="140"/>
        <w:spacing w:after="0" w:line="282" w:lineRule="auto"/>
        <w:rPr>
          <w:sz w:val="20"/>
          <w:szCs w:val="20"/>
          <w:color w:val="auto"/>
        </w:rPr>
      </w:pPr>
      <w:r>
        <w:rPr>
          <w:rFonts w:ascii="Times New Roman" w:cs="Times New Roman" w:eastAsia="Times New Roman" w:hAnsi="Times New Roman"/>
          <w:sz w:val="18"/>
          <w:szCs w:val="18"/>
          <w:color w:val="auto"/>
        </w:rPr>
        <w:t>addition, gout is a recognized risk factor in chronic kidney disease. Due to present limitations in current treatment options, we believe that there is a clear need for a new approach.</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Gout Development Plan</w:t>
      </w:r>
    </w:p>
    <w:p>
      <w:pPr>
        <w:spacing w:after="0" w:line="13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2022 we announced SYNB2081 as our drug candidate for the potential treatment of gout and the second product to advance to clinical development through our collaboration with Ginkgo. Our plan is to continue moving SYNB2081 to the next stage of our drug development pipeline. SYNB2081 is currently in IND-enabling studies.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Programs in Metabolic &amp; Immunological Diseases</w:t>
      </w:r>
    </w:p>
    <w:p>
      <w:pPr>
        <w:spacing w:after="0" w:line="135"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The Synthetic Biotic approach is well-suited for disease targets that are associated with validated biological pathways in metabolic and immunological diseases. For metabolic diseases, we have applied learnings across our programs in PKU, HCU, enteric hyperoxaluria and gout. In immunological diseases, we are focused on opportunities to address the significant need for new treatment modalities in IBD.</w:t>
      </w:r>
    </w:p>
    <w:p>
      <w:pPr>
        <w:spacing w:after="0" w:line="21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allows for the effective programming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execute these functions, including the metabolic production of factors such as short chain fatty acids to enhance barrier function, and secreting proteins, such as immunomodulatory cytokines.</w:t>
      </w:r>
    </w:p>
    <w:p>
      <w:pPr>
        <w:spacing w:after="0" w:line="2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Current approaches to treat IBD are focused on therapeutics that modulate the immune system and suppress inflammation. These therapies include steroids, such as prednisone, and tumor necrosis factor inhibitors, such as Humira®(adalimumab). However, these approaches are associated with systemic immunosuppression, which includes greater susceptibility to infectious diseases and cancer. According to the CDC, in 2015 an estimated three million adults in the United States are reported as being diagnosed with IBD. In June 2021, we entered into a research collaboration agreement with Roche for the discovery of a novel Synthetic Biotic for the treatment of IBD. In addition, we continue to advance additional, wholly-owned preclinical research efforts in IBD.</w:t>
      </w:r>
    </w:p>
    <w:p>
      <w:pPr>
        <w:spacing w:after="0" w:line="21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26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developed a portfolio of Synthetic Biotics to treat certain cancers which were designed to modify the tumor microenvironment, activate the immune system and result in tumor reduction. These Synthetic Biotics could be used in combination with other cancer therapies such as checkpoint inhibitors. Our Synthetic Biotic clinical immuno-oncology (IO) candidate was SYNB1891, an intratumorally administered Synthetic Biotic medicine engineered to act as a dual innate and adaptive immune activator. On November 10, 2021, we announced that our Phase 1 trial of SYNB1891 in combination with PD-L1 checkpoint inhibitor patients with advanced solid tumors or lymphoma had completed enrollment. No further studies are planned for SYNB1891 and we are focusing our research and development efforts specifically on metabolic and immunological diseases.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Designing and Developing Synthetic Biotics</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Synthetic Biotics have unique advantages as potentially safe, effective, orally administered biotherapeutics. Engineered microbes can be programmed to carry out functions that cannot be performed by conventional drug treatments, such as small molecules or antibodies. Unlike other targeted approaches such as gene or RNA-targeted therapies, Synthetic Biotics are reversible, as they are engineered to be non-colonizing and are rapidly cleared via excretion. They have a reduced risk of adverse events due to the lack of systemic absorption.</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Using Synthetic Biology to Generate Synthetic Biotics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Bacteria have evolved over millions of years to adapt, survive, and actively metabolize to consume or produce metabolites in the human body. They are also amenable to genetic manipulation. To confer a therapeutic effect, we use basic biological properties of bacteria and the tools of synthetic biology to develop Synthetic Biotics from non-pathogenic microbes, focusing initially on a single strain of the bacteria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w:t>
      </w:r>
    </w:p>
    <w:p>
      <w:pPr>
        <w:spacing w:after="0" w:line="20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scientists genetically engineer probiotic, non-pathogenic bacteria to create biological circuits to direct cellular processes in a manner analogous to designing electrical circuits. We aim to precisely and appropriately control the amount, location and activity of our Synthetic Biotics to address specific diseases and target biology of interest.</w:t>
      </w:r>
    </w:p>
    <w:p>
      <w:pPr>
        <w:spacing w:after="0" w:line="21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critical parts of an engineered Synthetic Biotic medicine include (1) the “chassis,” or non-pathogenic bacterium, (2) the effector module, which is a gene or pathway encoding the core biological activity that provides the therapeutic function, and (3) tunable switches to precisely determine the circumstances under which the effector module will be active, as well as the potency, performance and output of the effectors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123190</wp:posOffset>
            </wp:positionV>
            <wp:extent cx="3883025" cy="2202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8302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hanging="383"/>
        <w:spacing w:after="0" w:line="255"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Chassis</w:t>
      </w:r>
      <w:r>
        <w:rPr>
          <w:rFonts w:ascii="Times New Roman" w:cs="Times New Roman" w:eastAsia="Times New Roman" w:hAnsi="Times New Roman"/>
          <w:sz w:val="18"/>
          <w:szCs w:val="18"/>
          <w:color w:val="auto"/>
        </w:rPr>
        <w:t>: Our Synthetic Biotic platform starts with a well-characterized probiotic to serve as the chassis upon which we build our living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medicines. Our research and development programs use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which is one of many non-pathogenic probiotics isolated from the human microbiota.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is non-colonizing and has been used as a probiotic bacterial supplement for many years to promote gut health. Clinical studies have demonstrated that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is rapidly cleared from most individuals with no significant safety issues (Clin. Transl. Sci. (2017) 00, 1—8). We also observed complete clearance from subjects in our Phase 1 clinical trial of SYNB1618 in healthy volunteers (Puurunen et al 2021 Nature Metabolism 3; 1125-1132). We believe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Nissle's widespread use as a probiotic is evidence of its utility as a safe background chassis to apply synthetic biology to confer a therapeutic benefit. There are several additional features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organism that makes it an attractive chassis for our platform:</w:t>
      </w:r>
    </w:p>
    <w:p>
      <w:pPr>
        <w:spacing w:after="0" w:line="92" w:lineRule="exact"/>
        <w:rPr>
          <w:rFonts w:ascii="Times New Roman" w:cs="Times New Roman" w:eastAsia="Times New Roman" w:hAnsi="Times New Roman"/>
          <w:sz w:val="18"/>
          <w:szCs w:val="18"/>
          <w:b w:val="1"/>
          <w:bCs w:val="1"/>
          <w:color w:val="auto"/>
        </w:rPr>
      </w:pPr>
    </w:p>
    <w:p>
      <w:pPr>
        <w:ind w:left="1900" w:right="280" w:hanging="364"/>
        <w:spacing w:after="0" w:line="284" w:lineRule="auto"/>
        <w:tabs>
          <w:tab w:leader="none" w:pos="1900"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 coli </w:t>
      </w:r>
      <w:r>
        <w:rPr>
          <w:rFonts w:ascii="Times New Roman" w:cs="Times New Roman" w:eastAsia="Times New Roman" w:hAnsi="Times New Roman"/>
          <w:sz w:val="18"/>
          <w:szCs w:val="18"/>
          <w:color w:val="auto"/>
        </w:rPr>
        <w:t>Nissle’s genetic and metabolic machinery are well understood and provide a robust cellular context into which genetic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can be introduced with high efficiency and little or no damage to the fitness of the bacterium.</w:t>
      </w:r>
    </w:p>
    <w:p>
      <w:pPr>
        <w:spacing w:after="0" w:line="63" w:lineRule="exact"/>
        <w:rPr>
          <w:rFonts w:ascii="Times New Roman" w:cs="Times New Roman" w:eastAsia="Times New Roman" w:hAnsi="Times New Roman"/>
          <w:sz w:val="18"/>
          <w:szCs w:val="18"/>
          <w:i w:val="1"/>
          <w:iCs w:val="1"/>
          <w:color w:val="auto"/>
        </w:rPr>
      </w:pPr>
    </w:p>
    <w:p>
      <w:pPr>
        <w:ind w:left="1900" w:right="340" w:hanging="364"/>
        <w:spacing w:after="0" w:line="284" w:lineRule="auto"/>
        <w:tabs>
          <w:tab w:leader="none" w:pos="1900"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The advanced nature of the synthetic biology toolkit available for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enables rapid iterative design, assembly, and testing of prototype product candidates and remains unique among other bacterial and cellular engineering approaches.</w:t>
      </w:r>
    </w:p>
    <w:p>
      <w:pPr>
        <w:spacing w:after="0" w:line="160" w:lineRule="exact"/>
        <w:rPr>
          <w:rFonts w:ascii="Times New Roman" w:cs="Times New Roman" w:eastAsia="Times New Roman" w:hAnsi="Times New Roman"/>
          <w:sz w:val="18"/>
          <w:szCs w:val="18"/>
          <w:i w:val="1"/>
          <w:iCs w:val="1"/>
          <w:color w:val="auto"/>
        </w:rPr>
      </w:pPr>
    </w:p>
    <w:p>
      <w:pPr>
        <w:ind w:left="1900" w:hanging="364"/>
        <w:spacing w:after="0"/>
        <w:tabs>
          <w:tab w:leader="none" w:pos="1900"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Starting from known principles of manufacturing helps de-risk Synlogic’s proprietary large-scale manufacturing platform.</w:t>
      </w:r>
    </w:p>
    <w:p>
      <w:pPr>
        <w:spacing w:after="0" w:line="115" w:lineRule="exact"/>
        <w:rPr>
          <w:rFonts w:ascii="Times New Roman" w:cs="Times New Roman" w:eastAsia="Times New Roman" w:hAnsi="Times New Roman"/>
          <w:sz w:val="18"/>
          <w:szCs w:val="18"/>
          <w:i w:val="1"/>
          <w:iCs w:val="1"/>
          <w:color w:val="auto"/>
        </w:rPr>
      </w:pPr>
    </w:p>
    <w:p>
      <w:pPr>
        <w:ind w:left="1900" w:hanging="364"/>
        <w:spacing w:after="0"/>
        <w:tabs>
          <w:tab w:leader="none" w:pos="1900"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As a Gram-negative bacterium, with a protective outer wall,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survives well in the human GI tract.</w:t>
      </w:r>
    </w:p>
    <w:p>
      <w:pPr>
        <w:spacing w:after="0" w:line="236" w:lineRule="exact"/>
        <w:rPr>
          <w:rFonts w:ascii="Times New Roman" w:cs="Times New Roman" w:eastAsia="Times New Roman" w:hAnsi="Times New Roman"/>
          <w:sz w:val="18"/>
          <w:szCs w:val="18"/>
          <w:i w:val="1"/>
          <w:iCs w:val="1"/>
          <w:color w:val="auto"/>
        </w:rPr>
      </w:pPr>
    </w:p>
    <w:p>
      <w:pPr>
        <w:ind w:left="900" w:hanging="383"/>
        <w:spacing w:after="0" w:line="286"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Effector Module or Circuit: </w:t>
      </w:r>
      <w:r>
        <w:rPr>
          <w:rFonts w:ascii="Times New Roman" w:cs="Times New Roman" w:eastAsia="Times New Roman" w:hAnsi="Times New Roman"/>
          <w:sz w:val="18"/>
          <w:szCs w:val="18"/>
          <w:color w:val="auto"/>
        </w:rPr>
        <w:t>Synthetic Biotics have the advantage that they can be designed with multiple pathway components.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engineered integration systems to direct stable insertion of multiple genetic circuits and pathways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16" w:name="page17"/>
    <w:bookmarkEnd w:id="16"/>
    <w:p>
      <w:pPr>
        <w:ind w:left="900" w:right="100"/>
        <w:spacing w:after="0" w:line="261" w:lineRule="auto"/>
        <w:rPr>
          <w:sz w:val="20"/>
          <w:szCs w:val="20"/>
          <w:color w:val="auto"/>
        </w:rPr>
      </w:pPr>
      <w:r>
        <w:rPr>
          <w:rFonts w:ascii="Times New Roman" w:cs="Times New Roman" w:eastAsia="Times New Roman" w:hAnsi="Times New Roman"/>
          <w:sz w:val="18"/>
          <w:szCs w:val="18"/>
          <w:color w:val="auto"/>
        </w:rPr>
        <w:t xml:space="preserve">into optimal chromosomal locations, or “landing pads,”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This enables efficient and stable expression of multiple genes encoding enzymes and other proteins. Our approach allows us to engineer two types of mechanistic activities into our Synthetic Biotics: 1) we can engineer Synthetic Biotics capable of metabolic transformations that can substitute or compensate for missing or defective pathways in a patient, and 2) we can engineer Synthetic Biotics to produce therapeutically beneficial molecules.</w:t>
      </w:r>
    </w:p>
    <w:p>
      <w:pPr>
        <w:spacing w:after="0" w:line="182" w:lineRule="exact"/>
        <w:rPr>
          <w:sz w:val="20"/>
          <w:szCs w:val="20"/>
          <w:color w:val="auto"/>
        </w:rPr>
      </w:pPr>
    </w:p>
    <w:p>
      <w:pPr>
        <w:ind w:left="900" w:hanging="59"/>
        <w:spacing w:after="0" w:line="258" w:lineRule="auto"/>
        <w:rPr>
          <w:sz w:val="20"/>
          <w:szCs w:val="20"/>
          <w:color w:val="auto"/>
        </w:rPr>
      </w:pPr>
      <w:r>
        <w:rPr>
          <w:rFonts w:ascii="Times New Roman" w:cs="Times New Roman" w:eastAsia="Times New Roman" w:hAnsi="Times New Roman"/>
          <w:sz w:val="18"/>
          <w:szCs w:val="18"/>
          <w:color w:val="auto"/>
        </w:rPr>
        <w:t xml:space="preserve">The enzymatic pathways needed to produce or consume molecules are protected from the harsh GI environment by their location within the cell cytoplasm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allowing them the potential to function throughout the GI tract. We have leveraged proprietary tools, know-how and intellectual property to build multiple Synthetic Biotics that produce therapeutically relevant effects in pre-clinical experiments. Progression of these product candidates in diseases with high unmet need is based on prioritizing those with feasible drug development paths in terms of availability of informative animal models and existence of biomarkers to guide efficient clinical development.</w:t>
      </w:r>
    </w:p>
    <w:p>
      <w:pPr>
        <w:spacing w:after="0" w:line="206" w:lineRule="exact"/>
        <w:rPr>
          <w:sz w:val="20"/>
          <w:szCs w:val="20"/>
          <w:color w:val="auto"/>
        </w:rPr>
      </w:pPr>
    </w:p>
    <w:p>
      <w:pPr>
        <w:ind w:left="900" w:right="20" w:hanging="383"/>
        <w:spacing w:after="0" w:line="256" w:lineRule="auto"/>
        <w:tabs>
          <w:tab w:leader="none" w:pos="9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Tunable Switches: </w:t>
      </w:r>
      <w:r>
        <w:rPr>
          <w:rFonts w:ascii="Times New Roman" w:cs="Times New Roman" w:eastAsia="Times New Roman" w:hAnsi="Times New Roman"/>
          <w:sz w:val="18"/>
          <w:szCs w:val="18"/>
          <w:color w:val="auto"/>
        </w:rPr>
        <w:t>We also design and engineer proprietary switches to control the activity of the genetic pathways we introduce into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Synthetic Biotics, with the goal of controlling the engineered circuit or its therapeutic output. To optimize the fitness and activity of a Synthetic Biotic, it is critical that the effector is activated at the appropriate time and place to mediate its function. Switches are based on engineering DNA elements called “inducible promoters” that are designed to respond to disease states, specific environmental signals, or exogenously added inducing molecules. Our goal is to design and develop Synthetic Biotics programmed with switches to produce therapeutic effects at precisely the right time and location such as the anaerobic environment of the gut, or in the context of local inflammation or other pathogenic factors.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Advantages of Synthetic Biotic Biotherapeutics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Synthetic Biotics will provide safe and effective therapies given the following attributes:</w:t>
      </w:r>
    </w:p>
    <w:p>
      <w:pPr>
        <w:spacing w:after="0" w:line="32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Synthetic Biotics Have Potential to Address Unmet Needs Not Possible with Other Modalities</w:t>
      </w:r>
    </w:p>
    <w:p>
      <w:pPr>
        <w:spacing w:after="0" w:line="134" w:lineRule="exact"/>
        <w:rPr>
          <w:rFonts w:ascii="Times New Roman" w:cs="Times New Roman" w:eastAsia="Times New Roman" w:hAnsi="Times New Roman"/>
          <w:sz w:val="18"/>
          <w:szCs w:val="18"/>
          <w:b w:val="1"/>
          <w:bCs w:val="1"/>
          <w:color w:val="auto"/>
        </w:rPr>
      </w:pPr>
    </w:p>
    <w:p>
      <w:pPr>
        <w:ind w:left="102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Degrading Toxic Metabolites:</w:t>
      </w:r>
      <w:r>
        <w:rPr>
          <w:rFonts w:ascii="Times New Roman" w:cs="Times New Roman" w:eastAsia="Times New Roman" w:hAnsi="Times New Roman"/>
          <w:sz w:val="18"/>
          <w:szCs w:val="18"/>
          <w:color w:val="auto"/>
        </w:rPr>
        <w:t xml:space="preserve"> Unlike other therapeutic approaches, Synthetic Biotics can be programmed with a unique mechanistic activity. In internal metabolic programs, we are engineering Synthetic Biotics with entire pathways designed to degrade or “consume” toxic metabolites. We believe that using a metabolizing pathway is advantageous compared to gene, RNA or enzyme replacement therapies because the latter are limited to targeting a single gene or protein defect and may require several unique drug products to address genetically heterogeneous patient populations. Compensating with an entire pathway delivered in bacteria Synthetic Biotics may provide a safe, therapeutic solution to broader disease populations as a single engineered therapeutic. Our clinical stage programs, SYNB1934, SYNB8802 and SYNB1353, are examples of Synthetic Biotics designed and engineered to eliminate metabolites from the GI tract and prevent their absorption. Learnings from these programs are being applied to additional preclinical programs where metabolite dysregulation is relevant to disease.</w:t>
      </w:r>
    </w:p>
    <w:p>
      <w:pPr>
        <w:spacing w:after="0" w:line="215" w:lineRule="exact"/>
        <w:rPr>
          <w:rFonts w:ascii="Times New Roman" w:cs="Times New Roman" w:eastAsia="Times New Roman" w:hAnsi="Times New Roman"/>
          <w:sz w:val="18"/>
          <w:szCs w:val="18"/>
          <w:b w:val="1"/>
          <w:bCs w:val="1"/>
          <w:color w:val="auto"/>
        </w:rPr>
      </w:pPr>
    </w:p>
    <w:p>
      <w:pPr>
        <w:ind w:left="102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Production of Therapeutic Molecules:</w:t>
      </w:r>
      <w:r>
        <w:rPr>
          <w:rFonts w:ascii="Times New Roman" w:cs="Times New Roman" w:eastAsia="Times New Roman" w:hAnsi="Times New Roman"/>
          <w:sz w:val="18"/>
          <w:szCs w:val="18"/>
          <w:color w:val="auto"/>
        </w:rPr>
        <w:t xml:space="preserve"> Synthetic Biotics can also be programmed to produce beneficial molecules, such as bacterial metabolites that may improve disease or proteins that can be secreted from the bacteria into the local environment. Examples of this approach include production of short chain fatty acids (Reeves et al. DDW 2022), aryl hydrocarbon (AHR) agonists (Shu et al. DDW2022) and secretion of human IL-22 protein (Reeves et al. DDW 2022).</w:t>
      </w:r>
    </w:p>
    <w:p>
      <w:pPr>
        <w:spacing w:after="0" w:line="220" w:lineRule="exact"/>
        <w:rPr>
          <w:rFonts w:ascii="Times New Roman" w:cs="Times New Roman" w:eastAsia="Times New Roman" w:hAnsi="Times New Roman"/>
          <w:sz w:val="18"/>
          <w:szCs w:val="18"/>
          <w:b w:val="1"/>
          <w:bCs w:val="1"/>
          <w:color w:val="auto"/>
        </w:rPr>
      </w:pPr>
    </w:p>
    <w:p>
      <w:pPr>
        <w:ind w:left="102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Combinations of Mechanisms:</w:t>
      </w:r>
      <w:r>
        <w:rPr>
          <w:rFonts w:ascii="Times New Roman" w:cs="Times New Roman" w:eastAsia="Times New Roman" w:hAnsi="Times New Roman"/>
          <w:sz w:val="18"/>
          <w:szCs w:val="18"/>
          <w:color w:val="auto"/>
        </w:rPr>
        <w:t xml:space="preserve"> By incorporating multiple effectors or enzymes into a single strain, Synthetic Biotics have the potential to address multifactorial disease biology more effectively. For example, Synthetic Biotics can be engineered with multiple enzymes which consume toxic metabolites more effectively than a single effector could otherwise provide. Alternatively, pathways that degrade a metabolite of interest can be engineered into a Synthetic Biotic that also produces one or more therapeutic molecules.</w:t>
      </w:r>
    </w:p>
    <w:p>
      <w:pPr>
        <w:spacing w:after="0" w:line="28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Synthetic Biotics Have Potential to Reduce Safety Risks by Providing Local Therapeutic Delivery</w:t>
      </w:r>
    </w:p>
    <w:p>
      <w:pPr>
        <w:spacing w:after="0" w:line="134" w:lineRule="exact"/>
        <w:rPr>
          <w:rFonts w:ascii="Times New Roman" w:cs="Times New Roman" w:eastAsia="Times New Roman" w:hAnsi="Times New Roman"/>
          <w:sz w:val="18"/>
          <w:szCs w:val="18"/>
          <w:b w:val="1"/>
          <w:bCs w:val="1"/>
          <w:color w:val="auto"/>
        </w:rPr>
      </w:pPr>
    </w:p>
    <w:p>
      <w:pPr>
        <w:ind w:left="1020" w:right="2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believe that when delivered locally, Synthetic Biotics have the potential to avoid the risks often associated with systemic therapies, especially when combinations of systemic therapies are required. Our Synthetic Biotic drug candidates are orally administered, and act locally while transiting through the gut. Consequently, they decrease toxic metabolite levels in the blood to provide a systemic therapeutic benefit to the patient. Given the potential for chronic oral dosing, Synthetic Biotics may have benefits in terms of dose prediction and reversibility of activity.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7" w:name="page18"/>
    <w:bookmarkEnd w:id="17"/>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Synthetic Biotic Approach is a Favorable Engine for Pharmacology</w:t>
      </w:r>
    </w:p>
    <w:p>
      <w:pPr>
        <w:spacing w:after="0" w:line="134" w:lineRule="exact"/>
        <w:rPr>
          <w:rFonts w:ascii="Times New Roman" w:cs="Times New Roman" w:eastAsia="Times New Roman" w:hAnsi="Times New Roman"/>
          <w:sz w:val="18"/>
          <w:szCs w:val="18"/>
          <w:b w:val="1"/>
          <w:bCs w:val="1"/>
          <w:color w:val="auto"/>
        </w:rPr>
      </w:pPr>
    </w:p>
    <w:p>
      <w:pPr>
        <w:ind w:left="1020" w:right="3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Features of our Synthetic Biotic product engine enable a highly efficient drug discovery and development with the potential of advancing clinical candidates more rapidly and efficiently than traditional approaches. We have demonstrated the ability to move a program from concept to clinical development within a year, and also to apply learnings across programs to facilitate development. Reasons for this include:</w:t>
      </w:r>
    </w:p>
    <w:p>
      <w:pPr>
        <w:spacing w:after="0" w:line="69" w:lineRule="exact"/>
        <w:rPr>
          <w:rFonts w:ascii="Times New Roman" w:cs="Times New Roman" w:eastAsia="Times New Roman" w:hAnsi="Times New Roman"/>
          <w:sz w:val="18"/>
          <w:szCs w:val="18"/>
          <w:b w:val="1"/>
          <w:bCs w:val="1"/>
          <w:color w:val="auto"/>
        </w:rPr>
      </w:pPr>
    </w:p>
    <w:p>
      <w:pPr>
        <w:ind w:left="1400" w:right="120" w:hanging="374"/>
        <w:spacing w:after="0" w:line="256"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 coli Nissle </w:t>
      </w:r>
      <w:r>
        <w:rPr>
          <w:rFonts w:ascii="Times New Roman" w:cs="Times New Roman" w:eastAsia="Times New Roman" w:hAnsi="Times New Roman"/>
          <w:sz w:val="18"/>
          <w:szCs w:val="18"/>
          <w:color w:val="auto"/>
        </w:rPr>
        <w:t>chassis is used across programs. Because our lead programs are based on</w:t>
      </w:r>
      <w:r>
        <w:rPr>
          <w:rFonts w:ascii="Times New Roman" w:cs="Times New Roman" w:eastAsia="Times New Roman" w:hAnsi="Times New Roman"/>
          <w:sz w:val="18"/>
          <w:szCs w:val="18"/>
          <w:i w:val="1"/>
          <w:iCs w:val="1"/>
          <w:color w:val="auto"/>
        </w:rPr>
        <w:t xml:space="preserve"> E. coli </w:t>
      </w:r>
      <w:r>
        <w:rPr>
          <w:rFonts w:ascii="Times New Roman" w:cs="Times New Roman" w:eastAsia="Times New Roman" w:hAnsi="Times New Roman"/>
          <w:sz w:val="18"/>
          <w:szCs w:val="18"/>
          <w:color w:val="auto"/>
        </w:rPr>
        <w:t>Nissle, experience can be leveraged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broadly across the portfolio to further optimize the efficiency and reproducibility of discovery, development and manufacturing efforts. The non-colonizing nature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can be combined with engineering approaches to enhance safety in terms of impact on the patient and the environment.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can be engineered to require a specific exogenous nutrient supplement for growth, which limits the ability to replicate in the human body and environment. By controlling replication, we can control the number of cells being administered to a patient, which limits patient-to-patient variability. Also, dependence on an essential nutritional supplement not available in the environment reduces biocontainment risk.</w:t>
      </w:r>
    </w:p>
    <w:p>
      <w:pPr>
        <w:spacing w:after="0" w:line="76" w:lineRule="exact"/>
        <w:rPr>
          <w:rFonts w:ascii="Times New Roman" w:cs="Times New Roman" w:eastAsia="Times New Roman" w:hAnsi="Times New Roman"/>
          <w:sz w:val="18"/>
          <w:szCs w:val="18"/>
          <w:color w:val="auto"/>
        </w:rPr>
      </w:pPr>
    </w:p>
    <w:p>
      <w:pPr>
        <w:ind w:left="1400" w:hanging="374"/>
        <w:spacing w:after="0" w:line="261"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pharmacology and biomarkers. Synthetic Biotic programs are designed to achieve a target activity and support an iterative design-build-test cycle to improve performance for achieving this target. For example, Synthetic Biotic programs can be optimized by including multiple copies or regulated control of certain genes, by adding transporters for particular substrates or by optimizing enzymes for basic bacterial metabolism. These tools enable rational and iterative engineering cycles in the discovery phase.</w:t>
      </w:r>
    </w:p>
    <w:p>
      <w:pPr>
        <w:spacing w:after="0" w:line="71" w:lineRule="exact"/>
        <w:rPr>
          <w:rFonts w:ascii="Times New Roman" w:cs="Times New Roman" w:eastAsia="Times New Roman" w:hAnsi="Times New Roman"/>
          <w:sz w:val="18"/>
          <w:szCs w:val="18"/>
          <w:color w:val="auto"/>
        </w:rPr>
      </w:pPr>
    </w:p>
    <w:p>
      <w:pPr>
        <w:ind w:left="1400" w:right="60" w:hanging="374"/>
        <w:spacing w:after="0" w:line="261"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as indicators of mechanistic and clinical activity may also be engineered into Synthetic Biotics to drive optimization and decision-making. By assessing the activities of our Synthetic Biotic programs using in vitro and in vivo preclinical models, we can model activity in humans. As we progress through clinical studies, we expect our predictive pharmacology models are further refined to inform dosing and development decisions for our additional programs.</w:t>
      </w:r>
    </w:p>
    <w:p>
      <w:pPr>
        <w:spacing w:after="0" w:line="71" w:lineRule="exact"/>
        <w:rPr>
          <w:rFonts w:ascii="Times New Roman" w:cs="Times New Roman" w:eastAsia="Times New Roman" w:hAnsi="Times New Roman"/>
          <w:sz w:val="18"/>
          <w:szCs w:val="18"/>
          <w:color w:val="auto"/>
        </w:rPr>
      </w:pPr>
    </w:p>
    <w:p>
      <w:pPr>
        <w:ind w:left="1400" w:right="140" w:hanging="374"/>
        <w:spacing w:after="0" w:line="258"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and manufacturing. Starting from known principles of manufacturing helps de-risk Synlogic’s proprietary large-scale manufacturing platform. Our lead Synthetic Biotic programs have advanced the platform by defining manufacturing processes that can be used for the entire portfolio. Our use of synthetic biology switches permits the precise control of engineered metabolic pathway activation. We use switches to suppress effector activity during manufacturing, enabling development of reproducible processes for biomass generation while maintaining robust and cost-efficient scale up of product candidates.</w:t>
      </w:r>
    </w:p>
    <w:p>
      <w:pPr>
        <w:spacing w:after="0" w:line="75" w:lineRule="exact"/>
        <w:rPr>
          <w:rFonts w:ascii="Times New Roman" w:cs="Times New Roman" w:eastAsia="Times New Roman" w:hAnsi="Times New Roman"/>
          <w:sz w:val="18"/>
          <w:szCs w:val="18"/>
          <w:color w:val="auto"/>
        </w:rPr>
      </w:pPr>
    </w:p>
    <w:p>
      <w:pPr>
        <w:ind w:left="1400" w:right="60" w:hanging="374"/>
        <w:spacing w:after="0" w:line="255"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campaigns have demonstrated production reproducibility and robustness at multiple scales. The stability profile of our material has translated through the development and scale up efforts, supporting the shelf life of our strains. The implemented late stage and scale up capabilities have enabled us to produce 10,000 to 15,000 drug product doses at multiple strengths. In March 2022, we invested to expand our current good manufacturing practices (cGMP) clean-room space at the Azzur Group, LLC. The expansion of our in-house manufacturing space allows us to produce scaled up drug substance to support late stage pivotal studies. Our solid formulation capabilities have enabled multiple drug product presentations. Depending on scale, we can manufacture drug product either internally within our in-house facility or externally at a large-scale fill finish CMO.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3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To accelerate the development and commercialization of Synthetic Biotics to patients, we have formed, and intend to seek, other opportunities to form strategic alliances with collaborators that can expand our pipeline of therapeutic development and product candidates. We also intend to seek additional opportunities to work with multiple academic, research and translational medicine organizations and entities to deepen our understanding and development of living medicines with the potential to treat disease and disorders.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3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June 2021, we entered into a Pilot Collaboration and Option Agreement (the Roche Collaboration and Option Agreement) with F. Hoffmann-La Roche Ltd (Roche Basel) and Hoffmann-La Roche Inc. (Roche US, and together with Roche Basel, Roche). Under the terms of the Roche Collaboration and Option Agreement, we and Roche will seek to collaborate to research and pre-clinically develop Synthetic Biotics for addressing an undisclosed novel target for the treatment of inflammatory bowel disease (the Product Candidate).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the Roche Collaboration and Option Agreement, Roche agreed to pay us an upfront, nonrefundable technology access fee of $1.0 million, which we received in July 2021. In August 2022, the Company completed the research and development services for the second phase of the research plan and achieved a milestone payment of $1.5 million, which was paid by Roche in October 2022. We are eligible to receive up to $5.0 million in milestone payments upon the achievement of certain success criteria. Following the research period, Roche holds an exclusive option right (the Option) to negotiate a definitive Collaboration and License Agreement (CLA) for further development and commercialization of the Product Candidate.</w:t>
      </w:r>
    </w:p>
    <w:p>
      <w:pPr>
        <w:spacing w:after="0" w:line="21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have established a Joint Research Committee (JRC) to oversee and manage the execution of the underlying study plan for the Roche Collaboration and Option Agreement.</w:t>
      </w:r>
    </w:p>
    <w:p>
      <w:pPr>
        <w:spacing w:after="0" w:line="22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Roche Collaboration and Option Agreement includes various representations, warranties, covenants, indemnities, and other customary provisions. Roche may terminate the Roche Collaboration and Option Agreement without cause immediately upon written notice where certain success criteria have been met for parts of the study plan, or upon ninety (90) days’ prior written notice to us. Either party may terminate the Roche Collaboration and Option Agreement in the event of an uncured material breach of the other party.</w:t>
      </w:r>
    </w:p>
    <w:p>
      <w:pPr>
        <w:spacing w:after="0" w:line="22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perform the research and development under the Roche Collaboration and Option Agreement. We have received and are eligible to receive milestone payments from Roche upon the achievement of success criteria for respective milestones.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Bioworks, Inc.</w:t>
      </w:r>
    </w:p>
    <w:p>
      <w:pPr>
        <w:spacing w:after="0" w:line="13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June 2019, we entered into an agreement with Ginkgo. The agreement provided an $80 million equity investment at a premium in Synlogic by Ginkgo and entry into a long-term strategic platform collaboration to expand and accelerate the development of Synlogic’s pipeline of Synthetic Biotics. We are using Ginkgo’s cell programming platform to build and test thousands of microbial strains to accelerate progression of early preclinical leads to drug candidates optimized for further clinical development.</w:t>
      </w:r>
    </w:p>
    <w:p>
      <w:pPr>
        <w:spacing w:after="0" w:line="20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part of the agreement, Ginkgo purchased 6,340,771 shares of our common stock and accompanying Pre-Funded Warrants (the Pre-Funded Warrants) to purchase up to 2,548,117 shares of our common stock, at a combined price of $9.00 per share and Pre-Funded Warrant. Gross proceeds were approximately $80 million. Under the agreement, we made a prepayment to Ginkgo of $30 million for its foundry services that are being provided to us over an initial term of five years which can be extended. Upon the expiration of such initial term and, if applicable, such additional period, any portion of our prepayment that has not been used to purchase services from Ginkgo will be retained by Ginkgo. We have exclusive rights to any Synthetic Biotics that we develop as part of the collaboration and to intellectual property covering such products.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Collaborations</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strategic alliances can be important drivers for accelerating our goal of developing Synthetic Biotics, and we will continue to seek collaborators who can help fund, develop and commercialize our novel therapeutic candidates, particularly in large metabolic and immunological indications. As the potential application of our Synthetic Biotics platform is extremely broad, we also plan to continue to identify academic, research and translational medicine organizations and entities that can contribute expertise and resources to our programs, to allow us to expand our impact more rapidly to broader patient populations.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Technology Licenses</w:t>
      </w:r>
    </w:p>
    <w:p>
      <w:pPr>
        <w:spacing w:after="0" w:line="13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certain jurisdictions outside of the United States related to our proprietary technology, inventions, improvements, and product candidates that are important to the development and implementation of our business.</w:t>
      </w:r>
    </w:p>
    <w:p>
      <w:pPr>
        <w:spacing w:after="0" w:line="21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synthetic biology. We additionally rely on data exclusivity, market exclusivity, and patent term extensions when available, and are seeking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t>plan to rely on additional regulatory protection afforded through orphan drug designations when applicable.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we are well positioned in terms of intellectual property because we:</w:t>
      </w:r>
    </w:p>
    <w:p>
      <w:pPr>
        <w:spacing w:after="0" w:line="131" w:lineRule="exact"/>
        <w:rPr>
          <w:sz w:val="20"/>
          <w:szCs w:val="20"/>
          <w:color w:val="auto"/>
        </w:rPr>
      </w:pPr>
    </w:p>
    <w:p>
      <w:pPr>
        <w:ind w:left="900" w:right="46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 and</w:t>
      </w:r>
    </w:p>
    <w:p>
      <w:pPr>
        <w:spacing w:after="0" w:line="67"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spacing w:after="0" w:line="21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our intellectual property portfolio provides broad coverage of our Synthetic Biotic platform and applicable disease-related technologies. As of March 22, 2023, we had 182 Synlogic-owned patents and patent applications in U.S. and foreign jurisdictions, of which 46 have been issued or allowed.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Synlogic Intellectual Property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Disease-related applications</w:t>
      </w:r>
    </w:p>
    <w:p>
      <w:pPr>
        <w:spacing w:after="0" w:line="13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disease-related applications in our intellectual property portfolio relate to certain pathological conditions including, but not limited to, hyperammonemia, hyperphenylalaninemia, hyperoxaluria, homocystinuria, hyperuricemia, certain other inherited metabolic diseases and conditions, metabolic disorders, diseases and conditions associated with an inflammatory state, diseases associated with gut inflammation, compromised gut mucosal barrier (leaky gut), and various autoimmune disorders and provide coverage for engineered bacteria having genetic circuitry designed to specifically address those conditions and the associated disease states. The intellectual property portfolio provides coverage for engineered bacterial strain compositions, related formulations, methods of making the bacterial strains, methods of measuring strain activity,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patents and patent applications have expiration dates ranging from December 2035 to December 2043, depending on the indication and excluding any patent term adjustments or extensions.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Technology Applications</w:t>
      </w:r>
    </w:p>
    <w:p>
      <w:pPr>
        <w:spacing w:after="0" w:line="13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disease-related technology, our intellectual property portfolio also includes applications directed to platform technologies developed internally by us. Exemplary platform technologies include bacterial chassis-related and genetic circuitry-related technological developments, including, for example, improvements in inducible gene regulation, control of bacterial cell growth, including autoregulation thereof, and systems for importing metabolites, as well as systems for prevention production of potentially genotoxic metabolites. These platform technologies, and our intellectual property coverage thereof, are broadly applicable to our therapeutic Synthetic Biotics.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Considerations</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(USPTO)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20" w:name="page21"/>
    <w:bookmarkEnd w:id="20"/>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registered trademark portfolio currently contains 35 registered trademarks, 5 allowance and 4 pending applications.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13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 keeping, promotion, advertising, distribution, marketing and export and import of products such as those we are developing. A new drug must be approved by the FDA through the New Drug Application (NDA) process and a new biologic must be approved by the FDA through the Biologics License Application (BLA), process before such products may be legally marketed in the United States.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and biologics under the Federal Food, Drug, and Cosmetic Act (FDCA) and in the case of biologics, also under the Public Health Service Act (PHSA) and implementing regulations. Our product candidates will be regulated by the FDA as biologics. The process of obtaining regulatory approvals and the subsequent compliance with applicable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license revocation,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 may be marketed in the United States generally involves the following:</w:t>
      </w:r>
    </w:p>
    <w:p>
      <w:pPr>
        <w:spacing w:after="0" w:line="94" w:lineRule="exact"/>
        <w:rPr>
          <w:sz w:val="20"/>
          <w:szCs w:val="20"/>
          <w:color w:val="auto"/>
        </w:rPr>
      </w:pPr>
    </w:p>
    <w:p>
      <w:pPr>
        <w:ind w:left="900" w:right="2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required preclinical (or nonclinical) laboratory tests, animal studies and formulation studies performed in accordance with Good Laboratory Practice (GLP) and other applicable regulations;</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shipment of investigational product for human clinical trials may begin;</w:t>
      </w:r>
    </w:p>
    <w:p>
      <w:pPr>
        <w:spacing w:after="0" w:line="6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trial site before each clinical trial may be initiated;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21" w:name="page22"/>
    <w:bookmarkEnd w:id="21"/>
    <w:p>
      <w:pPr>
        <w:ind w:left="900" w:right="20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performed in accordance with applicable IND regulations, Good Clinical Practice (GCP), and other clinical-trial related regulations to evaluate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Manufacturing Practice (GMP) to prepare a drug substance and drug product analyzed using validated analytical methods;</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approval of a companion diagnostic device, if the FDA or the sponsor believes that its use is essential for the safe and effective use of a corresponding product;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including payment of application user fees;</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biologic is produced to assess compliance with current Good Manufacturing Practice (cGMP) regulations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to assure compliance with GCP and the integrity of the clinical data submitted in support of the BLA; and</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satisfactory completion of an FDA advisory committee review of the product candidate, where appropriate or if applicable, prior to any commercial marketing or sale of the product in the United States.</w:t>
      </w:r>
    </w:p>
    <w:p>
      <w:pPr>
        <w:spacing w:after="0" w:line="20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Once a pharmaceutical candidate is identified for development, it enters the preclinical testing stage. Preclinical tests include laboratory evaluations of product chemistry and formulation, animal toxicity and pharmacology studies to assess the potential for adverse events and in some cases to establish a rationale for therapeutic use. The Consolidated Appropriations Act for 2023, signed into law on December 29, 2022, (P.L. 117-328) amended the FDCA and the Public Health Service Act to specify that nonclinical testing for drugs and biologics may, but is not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completing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 The conduct of preclinical studies is subject to federal regulations and requirements, including GLP regulations for safety/toxicology studies.</w:t>
      </w:r>
    </w:p>
    <w:p>
      <w:pPr>
        <w:spacing w:after="0" w:line="2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 IND sponsor must submit the results of the preclinical tests, together with manufacturing information and analytical data, to the FDA as part of the IND. In June 2016, the FDA issued an updated guidance for the industry entitled “Early Clinical Trials with Live Biotherapeutic Products: Chemistry, Manufacturing and Control Information,” which included recommendations from the FDA regarding the chemistry, manufacturing and control information that should be included in an IND for early clinical trials with live biotherapeutic products. This guidance reflects the FDA’s thinking on the topic at the time the guidance was issued and although it is not binding on the FDA or a sponsor, it provided us with additional information about what should be included in INDs for our Synthetic Biotic product candidates. The sponsor will also include in the IND a protocol detailing, among other things, the objectives of the clinical trial, the parameters to be used in monitoring safety, and the effectiveness criteria to be evaluated, if a first phase study lends itself to an efficacy evaluation. Some long-term preclinical testing, such as animal tests of reproductive adverse events and carcinogenicity, may continue after an IND for an investigational product candidate is submitted to the FDA and human clinical trials have been initiated.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22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and in accordance with GCP requirements. They must be conducted under protocols detailing the objectives of the trial, dosing procedures, subject selection and exclusion criteria and the safety and effectiveness criteria to be evaluated. Each protocol must be submitted to the FDA as part of the IND,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rules and regulations. Study subjects must sign the IRB-approved informed consent form in order to participate in the clinical trial.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an IRB representing each institution that is participating in the clinical trial must review and approve the plan for any clinical trial before it commences at that institution, and the IRB must conduct a continuing review and reapprove the trial at least annually. The IRB must review and approve, among other things, the trial protocol and informed consent information to be provided to clinical trial subjects. An IRB must operate in compliance with FDA regulations.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400" w:right="60" w:hanging="374"/>
        <w:spacing w:after="0" w:line="261"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and tested for safety, dosage tolerance, absorption, metabolism, distribution and excretion. In the case of some products for severe or life-threatening diseases, such as cancer, especially when the product candidate may be too inherently toxic to ethically administer to healthy volunteers, the initial human testing is usually conducted in patients.</w:t>
      </w:r>
    </w:p>
    <w:p>
      <w:pPr>
        <w:spacing w:after="0" w:line="71"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This phase involves clinical trials in a limited patient population to identify possible adverse effects and safety risks, to preliminarily evaluate the efficacy of the product candidate for specific targeted diseases and to determine dosage tolerance and optimal dosage.</w:t>
      </w:r>
    </w:p>
    <w:p>
      <w:pPr>
        <w:spacing w:after="0" w:line="6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Larger clinical trials are undertaken to further evaluate dosage, clinical efficacy and safety in an expanded patient population,</w:t>
      </w:r>
    </w:p>
    <w:p>
      <w:pPr>
        <w:spacing w:after="0" w:line="27" w:lineRule="exact"/>
        <w:rPr>
          <w:rFonts w:ascii="Times New Roman" w:cs="Times New Roman" w:eastAsia="Times New Roman" w:hAnsi="Times New Roman"/>
          <w:sz w:val="18"/>
          <w:szCs w:val="18"/>
          <w:color w:val="auto"/>
        </w:rPr>
      </w:pPr>
    </w:p>
    <w:p>
      <w:pPr>
        <w:ind w:left="140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often at geographically dispersed clinical study sites. These clinical trials are intended to establish the overall risk: 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w:t>
      </w:r>
    </w:p>
    <w:p>
      <w:pPr>
        <w:spacing w:after="0" w:line="229"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21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Consolidated Appropriations Act for 2023, Congress amended the FDCA to require sponsors of a Phase 3 clinical trial, or other “pivotal study” of a new drug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FDA by the time the sponsor submits the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FDA objects to a sponsor’s diversity action plan and requires the sponsor to amend the plan or take other actions, it may delay trial initiation.</w:t>
      </w:r>
    </w:p>
    <w:p>
      <w:pPr>
        <w:spacing w:after="0" w:line="21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cGMP or IRB requirements or if the product candidate has been associated with unexpected serious harm to patients. Additionally,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Phase 1, Phase 2, and Phase 3 clinical testing may not be completed successfully within any specified period, if at all.</w:t>
      </w:r>
    </w:p>
    <w:p>
      <w:pPr>
        <w:spacing w:after="0" w:line="20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During the development of a new biologic, sponsors have the opportunity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with the FDA and to present their plans for the pivotal Phase 3 clinical trial that they believe will support approval of the investigational biologic. If this type of discussion occurs, a sponsor may be able to request a Special Protocol Assessment (SPA), the purpose of which is to reach agreement with the FDA on the design of the Phase 3 clinical trial protocol design and analysis that will form the primary basis of an efficacy claim.</w:t>
      </w:r>
    </w:p>
    <w:p>
      <w:pPr>
        <w:spacing w:after="0" w:line="189"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the additional animal studies that may be required for approval and must also develop additional information about the chemistry and physical characteristics of the biologic and finalize a process for manufacturing the product in commercial quantities in accordance with cGMP requirements. The manufacturing process must be capable of consistently producing acceptable quality batches of the product candidate and, among other things the manufacturer must develop methods for testing the identity, strength, quality and purity of the final product. Additionally, appropriate packaging must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3" w:name="page24"/>
    <w:bookmarkEnd w:id="23"/>
    <w:p>
      <w:pPr>
        <w:ind w:right="140"/>
        <w:spacing w:after="0" w:line="282" w:lineRule="auto"/>
        <w:rPr>
          <w:sz w:val="20"/>
          <w:szCs w:val="20"/>
          <w:color w:val="auto"/>
        </w:rPr>
      </w:pPr>
      <w:r>
        <w:rPr>
          <w:rFonts w:ascii="Times New Roman" w:cs="Times New Roman" w:eastAsia="Times New Roman" w:hAnsi="Times New Roman"/>
          <w:sz w:val="18"/>
          <w:szCs w:val="18"/>
          <w:color w:val="auto"/>
        </w:rPr>
        <w:t>selected and tested and stability studies must be conducted to demonstrate that the product candidate does not undergo unacceptable deterioration over its shelf life.</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While the IND is active and before approval, progress reports must be submitted at least annually to the FDA, and written IND safety reports must be submitted to the FDA and investigators for serious and unexpected suspected adverse reactions,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The annual report is customarily submitted in the form of a Development Safety Update Report (DSUR) which is accepted as being equivalent to an IND Annual Report and also meets requirements of the EU (European Union) and International Conference on Harmonization (ICH).</w:t>
      </w:r>
    </w:p>
    <w:p>
      <w:pPr>
        <w:spacing w:after="0" w:line="22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trial results to public registries. Sponsors of most clinical trials of FDA-regulated products are required to register and disclose specified clinical trial information, which is publicly available atClinicalTrials.gov. Information related to the product, patient population, phase of investigation, trial sites and investigators and other aspects of the clinical trial is then made public as part of the registration. Sponsors are also obligated to submit the results of their clinical trials after completion, but disclosure of the results can be delayed in some cases for up to two years after the date of completion of the trial. Competitors may use this publicly available information to gain knowledge regarding the progress of development programs.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NIH and FDA recently began enforcing those requirements against non-compliant clinical trial sponsors.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3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nonclinical studies and clinical trials, along with detailed information relating to the product’s chemistry, manufacturing, and controls, stability, quality control and product release procedures, proposed labeling, and other relevant information are submitted to the FDA as part of a BLA, requesting approval to market the product for one or more indications. The submission of a BLA is subject to the payment of a significant user fee (for example, for FY2023 this application fee exceeds $3.2 million); although a waiver of such fee may be obtained under certain limited circumstances, including where the biologic has been designated as an orphan drug. The sponsor of an approved BLA is also subject to an annual program fee, currently more than $390,000 per program. These fees are typically increased annually, but exemptions and waivers may be available under certain circumstances (such as a waiver for the first human drug application submitted by a qualifying small business and exemptions for orphan products).</w:t>
      </w:r>
    </w:p>
    <w:p>
      <w:pPr>
        <w:spacing w:after="0" w:line="2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reviews all BLAs submitted to ensure that they are sufficiently complete for substantive review before it accepts them for filing. The FDA may request additional information rather than accept a BLA for filing. In this event, the BLA must be resubmitted with the additional information. The resubmitted application also is subject to review before the FDA accepts it for filing. Once the submission is accepted for filing, the FDA begins an in-depth substantive review.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and a sponsor’s process to respond to such inquiries. Specifically,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Before approving a BLA, the FDA will typically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These pre-approval inspections may cover all facilities associated with the BLA submission, including component manufacturing, finished product manufacturing, and control testing laboratories. The FDA also may inspect the sponsor and one or more clinical trial sites to assure compliance with GCP requirements and the integrity of the clinical data submitted to the FDA.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for example, determine the data generated by the clinical site should be excluded from the primary efficacy analyses provided in the BLA.</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24" w:name="page25"/>
    <w:bookmarkEnd w:id="2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may refer any BLA including applications for novel biologic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if so, under what conditions. The FDA is not bound by the recommendation of an advisory committee, but it considers such recommendations when making final decisions on approval.</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approval process is lengthy and often difficult, and the FDA may refuse to approve a BLA if the applicable regulatory criteria are not satisfied or may require additional clinical or other data and information. Even if such data and information are submitted, the FDA may ultimately decide that the BLA does not satisfy the criteria for approval. Data obtained from clinical trials are not always conclusive and the FDA may interpret data differently than we interpret the same data. After the FDA evaluates a BLA,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such as an additional pivotal Phase 3 trial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The FDA reviews a BLA to determine, among other things, whether the product is safe, pure, potent and effective and the facility in which it is manufactured, processed, packed or held meets standards designed to assure the product’s continued identity, strength, quality, potency and purity.</w:t>
      </w:r>
    </w:p>
    <w:p>
      <w:pPr>
        <w:spacing w:after="0" w:line="20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a product receives regulatory approval, the approval is limited to the conditions of use (e.g., patient population, indication) described in the BLA, which could restrict the commercial value of the product. Further, depending on the specific risk(s) to be addressed, the FDA may require that contraindications, warnings or precautions be included in the product labeling, require a sponsor to conduct Phase 4 testing which involves clinical trials designed to further assess a drug’s safety and effectiveness after BLA approval and may require testing and surveillance programs to monitor the safety of approved products which have been commercialized. The FDA may also place other conditions on approval including the requirement for a REMS (Risk Evaluation and Mitigation Strategies), to assure the safe use of the drug.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20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the Pediatric Research Equity Act (PREA), as amended, an initial BLA or certain supplements to a BLA for a novel product must contain data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pediatric data until after approval of the product for use in adults or full or partial waivers from the pediatric data requirement. Unless otherwise required by regulation, PREA does not typically apply to any therapeutic product for an indication for which orphan designation has been granted. The Food and Drug Administration Safety and Innovation Act (FDASIA), enacted in 2012, made permanent the PREA requirement that a sponsor who is planning to submit a marketing application for a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drugs, some of our U.S. patents may be eligible for limited patent term extension under the Drug Price Competition and Patent Term Restoration Act of 1984 (referred to as the Hatch Waxman Amendments). The Hatch 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BLA, plus the time between the submission date of a BLA and the approval of that application. Only one patent applicable to an approved drug is eligible for the extension, and the extension must be applied for, prior to expiration of the patent. The USPTO, in consultation with the FDA, reviews and approves the application for any patent term extension or restoration. In the future, we intend to apply for restorations of patent term for some of its currently-owned or licensed patents to add patent life beyond their current expiration date, depending on the expected length of clinical trials and other factors involved in the filing of the relevant BLA.</w:t>
      </w:r>
    </w:p>
    <w:p>
      <w:pPr>
        <w:spacing w:after="0" w:line="2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NDA/BLA sponsor submits clinical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the same drug/biologic. The issuance of a written request does not require the sponsor to undertake the described clinical trials. To date, we have not received or requested any FDA written requests.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 of 2009</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Affordability Reconciliation Act of 2010 (collectively, ACA), which included the Biologics Price Competition and Innovation Act (BPCIA), amended the PHSA to create an abbreviated approval pathway for biological products that are biosimilar to or interchangeable with an FDA-licensed reference biological product. A biosimilar product is defined as one that is highly similar to a reference product notwithstanding minor differences in clinically-inactive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p>
    <w:p>
      <w:pPr>
        <w:spacing w:after="0" w:line="235"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the BPCIA, a manufacturer may submit an abbreviated application for licensure of a biologic that is biosimilar to or interchangeable with an FDA-licensed reference biological product. This abbreviated approval pathway is intended to permit a biosimilar to come to market more quickly and less expensively than if a “full” BLA were submitted, by relying to some extent on the FDA’s previous review and approval of the reference biologic to which the proposed product is similar.</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Under the abbreviated approval pathway, the biosimilar applicant must demonstrate that the product is biosimilar based on data from (1) analytical studies showing that the biosimilar product is highly similar to the reference product; (2) animal studies (including toxicity); and (3) one or more clinical trials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224"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If pediatric studies are performed and accepted by the FDA as responsive to a Written Request, the 12-year exclusivity period will be extended for an additional six months.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26" w:name="page27"/>
    <w:bookmarkEnd w:id="26"/>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1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To date, the FDA has approved a number of biosimilars, and numerous biosimilars have been approved in Europe. The FDA has also issued several guidance documents outlining its approach to reviewing and approving biosimilars and interchangeable biosimilars.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defined as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 BLA. After the FDA grants orphan drug designation, the identity of the therapeutic agent and its potential orphan use will be disclosed publicly by the FDA; the posting will also indicate whether a drug is no longer designated as an orphan drug. More than one product candidate may receive an orphan drug designation for the same indication. The benefits of orphan drug designation include research and development tax credits and exemption from FDA prescription drug user fees. Orphan drug designation, however, does not convey any advantage in or shorten the duration of the regulatory review and approval process.</w:t>
      </w:r>
    </w:p>
    <w:p>
      <w:pPr>
        <w:spacing w:after="0" w:line="23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that receives orphan designation receives the first FDA approval for the orphan indication, the product is entitled to orphan drug exclusivity, which means that for seven years, the FDA is prohibited from approving any other applications to market the same drug or biological product for the same indication, except in limited circumstances described further below. Orphan exclusivity does not block the approval of a different drug or biologic for the same rare disease or condition, nor does it block the approval of the same drug or biologic for different conditions. As a result, even if one of our product candidates receive orphan exclusivity, the FDA can still approve different drugs or biologics for use in treating the same indication or disease, which could create a more competitive market for us. Additionally, if a drug or biologic designated as an orphan product receives marketing approval for an indication broader than what was designated, it may not be entitled to orphan drug exclusivity.</w:t>
      </w:r>
    </w:p>
    <w:p>
      <w:pPr>
        <w:spacing w:after="0" w:line="21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Orphan exclusivity will not bar approval of another product with the same drug or biologic for the same condition under certain circumstances, including if a subsequent product with the same drug or biologic for the same condition is shown to be clinically superior to the approved product on the basis of greater efficacy or safety or a major contribution to patient care, or if the company with orphan drug exclusivity cannot assure the availability of sufficient quantities of the drug or biologic to meet the needs of persons with the disease or condition for which the drug or biologic was designated. Thus, orphan drug exclusivity could also block the approval of one of our products for seven years if a competitor obtains approval of the same drug, as defined by the FDA, and we are not able to show the clinical superiority of our drug or if our product candidate is determined to be contained within the competitor’s product for the same indication or disease.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Recent court cases have challenged FDA’s approach to determining the scope of orphan drug exclusivity; however, at this time the agency continues to apply its long-standing interpretation of the governing regulations and has stated that it does not plan to change any orphan drug implementing regulations.</w:t>
      </w:r>
    </w:p>
    <w:p>
      <w:pPr>
        <w:spacing w:after="0" w:line="21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October 2017, the FDA granted SYNB1618 Orphan Drug designation for the treatment of PKU and in November 2022, the FDA granted SYNB1353 Orphan Drug designation for the treatment of HCU.</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Breakthrough Therapy, Rare Pediatric Disease and Priority Review Designations</w:t>
      </w:r>
    </w:p>
    <w:p>
      <w:pPr>
        <w:spacing w:after="0" w:line="13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20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from the request of a sponsor, based on preclinical studies,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in the clinical trial process.</w:t>
      </w:r>
    </w:p>
    <w:p>
      <w:pPr>
        <w:spacing w:after="0" w:line="2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with the enactment of FDASIA in 2012, Congress created a new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23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Finally, the FDA may designate a product for priority review if it is a drug or biologic that treats a serious condition and, if approved, would provide a significant improvement in safety or effectiveness. The FDA determines at the time that the 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an NDA for a new molecular entity from the date of filing.</w:t>
      </w:r>
    </w:p>
    <w:p>
      <w:pPr>
        <w:spacing w:after="0" w:line="2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grants Rare Pediatric Disease Designation (RPDD) for serious and life-threatening diseases that primarily affect individuals from birth to 18 years old and fewer than 200,000 persons in the U.S. Under this program, a sponsor who receives an approval for a drug or biologic for a “rare pediatric disease” designation may qualify for a pediatric priority review voucher (pPRV) that can be redeemed to receive a priority review of a subsequent marketing application for a different product. The Rare Pediatric Disease Priority Review Voucher program was reauthorized in the Creating Hope Reauthorization Act in December 2020, allowing a product that is designated as a product for a rare pediatric disease prior to October 1, 2024 to be eligible to receive a Priority Review Voucher upon approval of a qualifying NDA or BLA prior to October 1, 2026.</w:t>
      </w:r>
    </w:p>
    <w:p>
      <w:pPr>
        <w:spacing w:after="0" w:line="25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and priority review do not change the standards for approval and may not ultimately expedite the development or approval process.</w:t>
      </w:r>
    </w:p>
    <w:p>
      <w:pPr>
        <w:spacing w:after="0" w:line="21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April 2018, the FDA granted Fast Track designation for the use of SYNB1618 for the treatment of PKU. In August 2022, the FDA granted Fast Track designation for the use of SYNB1353 for the treatment of HCU. We expect to also receive Fast Track designation for SYNB1934, given prior receipt for SYNB1618 and regulatory interactions to date. In January of 2023, Synlogic announced the FDA’s granting of RPDD for SYNB1353 for HCU and for SYNB1934 for PKU.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21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22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drug. All promotional materials for product candidates being considered and approved under the accelerated approval program are subject to prior review by the FDA.</w:t>
      </w:r>
    </w:p>
    <w:p>
      <w:pPr>
        <w:spacing w:after="0" w:line="2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part of the Consolidated Appropriations Act for 2023, Congress provided FDA additional statutory authority to mitigate potential risks to patients from continued marketing of ineffective drugs previously granted accelerated approval. Under the act’s amendments to the FDCA,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biologics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9" w:name="page30"/>
    <w:bookmarkEnd w:id="29"/>
    <w:p>
      <w:pPr>
        <w:ind w:firstLine="509"/>
        <w:spacing w:after="0" w:line="252"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cGMPs. The cGMP regulations include requirements relating to organization of personnel, buildings and facilities, equipment, control of components and finished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satisfy the FDA or comparable foreign regulatory authorities before any product is approved and our commercial products can be manufactured.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prescheduled or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 and regulatory sanctions as described below.</w:t>
      </w:r>
    </w:p>
    <w:p>
      <w:pPr>
        <w:spacing w:after="0" w:line="223"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standards is not maintained or if problems occur or are discovered after the product reaches the market. Later discovery of previously unknown problems with a product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8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130" w:lineRule="exact"/>
        <w:rPr>
          <w:rFonts w:ascii="Times New Roman" w:cs="Times New Roman" w:eastAsia="Times New Roman" w:hAnsi="Times New Roman"/>
          <w:sz w:val="18"/>
          <w:szCs w:val="18"/>
          <w:color w:val="auto"/>
        </w:rPr>
      </w:pPr>
    </w:p>
    <w:p>
      <w:pPr>
        <w:ind w:left="760" w:right="74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NDAs/BLAs or supplements to approved NDAs/BLAs, or suspension or revocation of product approvals;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30"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202"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that is expected to culminate in November 2023.</w:t>
      </w:r>
    </w:p>
    <w:p>
      <w:pPr>
        <w:spacing w:after="0" w:line="24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legislation is drafted, introduced and passed in Congress that could significantly change the statutory provisions governing the approval, manufacturing and marketing of products regulated by the FDA. It is impossible to predict whether further legislative changes will be enacted, or FDA regulations, guidance or interpretations will be changed or what the impact of such changes, if any, may be.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the performance of clinical trials outside the United States and commercial sales and distribution of our products outside of the United States. Whether or not we obtain FDA approval for a product candidate,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European Union drug development, review and approval</w:t>
      </w:r>
    </w:p>
    <w:p>
      <w:pPr>
        <w:spacing w:after="0" w:line="13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21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new Clinical Trials Regulation, (EU) No 536/2014, which took effect on January 31, 2022, aims to simplify and streamline the approval of clinical trials in the European Union. The main characteristics of the regulation include: a streamlined application procedure via a single entry point, the “EU clinical trial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European Union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in the United States, similar requirements for posting clinical trial information are described in the European Union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w:t>
      </w:r>
    </w:p>
    <w:p>
      <w:pPr>
        <w:spacing w:after="0" w:line="24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To obtain a marketing authorization of a drug in the European Union, we may submit marketing authorization applications, or MAA, either under the so-called centralized or national authorization procedures.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Centralized procedure</w:t>
      </w:r>
    </w:p>
    <w:p>
      <w:pPr>
        <w:spacing w:after="0" w:line="13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following a favorable opinion by the European Medicines Agency (the EMA) that is valid in all EU member states, as well as Iceland, Liechtenstein and Norway. The centralized procedure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may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National authorization procedures</w:t>
      </w:r>
    </w:p>
    <w:p>
      <w:pPr>
        <w:spacing w:after="0" w:line="13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1" w:name="page32"/>
    <w:bookmarkEnd w:id="31"/>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21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Conditional approval</w:t>
      </w:r>
    </w:p>
    <w:p>
      <w:pPr>
        <w:spacing w:after="0" w:line="13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risk-benefit balance of the product candidate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Pediatric studies</w:t>
      </w:r>
    </w:p>
    <w:p>
      <w:pPr>
        <w:spacing w:after="0" w:line="13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applicants have to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set forth in Regulation (EC) No 1901/2006, which is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23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European Union regulatory exclusivity</w:t>
      </w:r>
    </w:p>
    <w:p>
      <w:pPr>
        <w:spacing w:after="0" w:line="13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European Union, new products authorized for marketing (i.e.,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European Union during a period of eight years from the date on which the reference product was first authorized in the European Union.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European Union orphan designation and exclusivity</w:t>
      </w:r>
    </w:p>
    <w:p>
      <w:pPr>
        <w:spacing w:after="0" w:line="13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2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1"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consents to a second orphan medicinal product application; or</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cannot supply enough orphan medicinal product.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PRIME designation</w:t>
      </w:r>
    </w:p>
    <w:p>
      <w:pPr>
        <w:spacing w:after="0" w:line="13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EMA grants access to the Priority Medicines, or PRIME, program to investigational medicines for which it determines there to be preliminary clinical data available showing the potential to address an unmet medical need and bring a major therapeutic advantage to patients.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Kingdom Regulation</w:t>
      </w:r>
    </w:p>
    <w:p>
      <w:pPr>
        <w:spacing w:after="0" w:line="13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spacing w:after="0" w:line="203"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order to market medicines in the United Kingdom, manufacturers must hold a United Kingdom authorization. On January 1, 2021, all European Union marketing authorizations were converted to United Kingdom marketing authorizations subject to a manufacturer opt-out. For a transitional period, Great Britain will adopt decisions taken by the European Commission on the approval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3" w:name="page34"/>
    <w:bookmarkEnd w:id="33"/>
    <w:p>
      <w:pPr>
        <w:ind w:right="20"/>
        <w:spacing w:after="0" w:line="261" w:lineRule="auto"/>
        <w:rPr>
          <w:sz w:val="20"/>
          <w:szCs w:val="20"/>
          <w:color w:val="auto"/>
        </w:rPr>
      </w:pPr>
      <w:r>
        <w:rPr>
          <w:rFonts w:ascii="Times New Roman" w:cs="Times New Roman" w:eastAsia="Times New Roman" w:hAnsi="Times New Roman"/>
          <w:sz w:val="18"/>
          <w:szCs w:val="18"/>
          <w:color w:val="auto"/>
        </w:rPr>
        <w:t>of new marketing authorizations in the community marketing authorization procedure. Such applications must include all information provided to the EMA during the relevant licensing procedure including the final CHMP opinion. The MHRA’s guidance states that the United Kingdom will have the power to take into account marketing authorizations made under the European Union decentralized and mutual recognition procedures. In addition, the MHRA’s guidance has been updated to refer to new national licensing procedures including new routes of evaluation for novel and biotechnological products.</w:t>
      </w:r>
    </w:p>
    <w:p>
      <w:pPr>
        <w:spacing w:after="0" w:line="20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United Kingdom medicines legislation is subject to future regulatory change under the Medicines and Medical Devices Act 2021. This act sets out a new framework for the adoption of medicines regulation.</w:t>
      </w:r>
    </w:p>
    <w:p>
      <w:pPr>
        <w:spacing w:after="0" w:line="20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Different rules will apply in Northern Ireland following implementation of the Northern Ireland Protocol. In Northern Ireland, European Union central marketing applications will continue to apply.</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Trade and Cooperation Agreement contains an Annex in relation to medicinal products with the objective of facilitating availability of medicines, promotion of public health and consumer protection in respect of medicinal products between the United Kingdom and the European Union. The Annex provides for mutual recognition of Good Manufacturing Practice (GMP)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United Kingdom importers and wholesales to recognize certain certification and regulatory standards. The European Commission has not adopted such recognition procedures.</w:t>
      </w:r>
    </w:p>
    <w:p>
      <w:pPr>
        <w:spacing w:after="0" w:line="21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It is expected that the establishment of a separate United Kingdom authorization system, albeit with transitional recognition procedures in the United Kingdom, will lead to additional regulatory costs. In addition, additional regulatory costs will be incurred with respect to the lack of mutual recognition of batch testing and related regulatory measures.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 of the world regulation</w:t>
      </w:r>
    </w:p>
    <w:p>
      <w:pPr>
        <w:spacing w:after="0" w:line="13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spacing w:after="0" w:line="22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35"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third-party coverage and reimbursement. Third-party payors include government healthcare programs such as Medicare, managed care providers, private health insurers and other organizations. We anticipate third-party payors will provide reimbursement for our products. However, these third-party payors are increasingly challenging the price and examining the cost effectiveness of medical products and services. In addition, significant uncertainty exists as to the reimbursement status of newly approved healthcare products. The process for determining whether a payor will provide coverage for a product may be separate from the process for setting the price or reimbursement rate that the payor will pay for the product once coverage is approved. Third-party payors often rely on Medicare coverage policy and payment limitations in setting their own reimbursement rates but also have their own methods to individually establish coverage and reimbursement policies. As a result, obtaining coverage and adequate reimbursement can be a time-consuming and costly process. Third-party payors may limit coverage to specific products on an approved list, or formulary, which might not include all of the approved products for a particular indication. We may need to conduct expensive pharmacoeconomic studies in order to demonstrate the medical necessity and cost effectiveness of our products.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Our product candidates may not be considered cost effective. It is time-consuming and expensive for us to seek reimbursement from third-party payors. Reimbursement may not be available or sufficient to allow us to sell our products on a competitive and profitable basis.</w:t>
      </w:r>
    </w:p>
    <w:p>
      <w:pPr>
        <w:spacing w:after="0" w:line="23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Medicare is a federal healthcare program administered by the federal government that covers individuals aged 65 and over as well as individuals with certain disabilities. Drugs may be covered under one or more sections of Medicare depending on the nature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4" w:name="page35"/>
    <w:bookmarkEnd w:id="34"/>
    <w:p>
      <w:pPr>
        <w:ind w:right="180"/>
        <w:spacing w:after="0" w:line="258" w:lineRule="auto"/>
        <w:rPr>
          <w:sz w:val="20"/>
          <w:szCs w:val="20"/>
          <w:color w:val="auto"/>
        </w:rPr>
      </w:pPr>
      <w:r>
        <w:rPr>
          <w:rFonts w:ascii="Times New Roman" w:cs="Times New Roman" w:eastAsia="Times New Roman" w:hAnsi="Times New Roman"/>
          <w:sz w:val="18"/>
          <w:szCs w:val="18"/>
          <w:color w:val="auto"/>
        </w:rPr>
        <w:t>the drug and the conditions associated with and site of administration. For example, under Part D, Medicare beneficiaries may enroll in prescription drug plans offered by private entities which provide coverage for outpatient prescription drugs. Part D plans include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w:t>
      </w:r>
    </w:p>
    <w:p>
      <w:pPr>
        <w:spacing w:after="0" w:line="21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Medicare Part B covers most injectable drugs given in an in-patient setting and some drugs administered by a licensed medical provider in hospital outpatient departments and doctors’ offices. Medicare Part B is administered by Medicare Administrative Contractors, which generally have the responsibility of making coverage decisions. Subject to certain payment adjustments and limits, Medicare generally pays for a Part B-covered drug based on a percentage of manufacturer-reported average sales price, which is regularly updated. We believe that our product candidates that are intended to be administered intratumorally will be subject to the Medicare Part B rules.</w:t>
      </w:r>
    </w:p>
    <w:p>
      <w:pPr>
        <w:spacing w:after="0" w:line="22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governmental pricing controls and limit the growth of healthcare costs, including the cost of prescription drugs. For example, the ACA enacted in March 2010, was expected to have a significant impact on the health care industry. 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22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our profitability placing the medicinal product on the market. Other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European Union and other countries do not follow price structures of the United States and generally prices tend to be significantly lower.</w:t>
      </w:r>
    </w:p>
    <w:p>
      <w:pPr>
        <w:spacing w:after="0" w:line="2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downward pressure on health care costs in general, particularly prescription drugs, has become intense. As a result, increasingly high barriers are being erected to the entry of new products.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(arbitrage between low-priced and high-priced member states) can further reduce prices. Any country that has price controls or reimbursement limitations for drug products may not allow favorable reimbursement and pricing arrangements.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 Care Laws and Regulations</w:t>
      </w:r>
    </w:p>
    <w:p>
      <w:pPr>
        <w:spacing w:after="0" w:line="13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These laws include:</w:t>
      </w:r>
    </w:p>
    <w:p>
      <w:pPr>
        <w:spacing w:after="0" w:line="85" w:lineRule="exact"/>
        <w:rPr>
          <w:sz w:val="20"/>
          <w:szCs w:val="20"/>
          <w:color w:val="auto"/>
        </w:rPr>
      </w:pPr>
    </w:p>
    <w:p>
      <w:pPr>
        <w:ind w:left="900" w:right="140" w:hanging="383"/>
        <w:spacing w:after="0" w:line="25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spacing w:after="0" w:line="92"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federal False Claims Act, which prohibit, among other things, individuals or entities from knowingly presenting, or causing to be presented, false or fraudulent claims for payment to, or approval by Medicare, Medicaid, or other federal healthcare programs, knowingly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5" w:name="page36"/>
    <w:bookmarkEnd w:id="35"/>
    <w:p>
      <w:pPr>
        <w:ind w:left="900" w:right="160"/>
        <w:spacing w:after="0" w:line="256" w:lineRule="auto"/>
        <w:rPr>
          <w:sz w:val="20"/>
          <w:szCs w:val="20"/>
          <w:color w:val="auto"/>
        </w:rPr>
      </w:pPr>
      <w:r>
        <w:rPr>
          <w:rFonts w:ascii="Times New Roman" w:cs="Times New Roman" w:eastAsia="Times New Roman" w:hAnsi="Times New Roman"/>
          <w:sz w:val="18"/>
          <w:szCs w:val="18"/>
          <w:color w:val="auto"/>
        </w:rPr>
        <w:t>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3" w:lineRule="exact"/>
        <w:rPr>
          <w:sz w:val="20"/>
          <w:szCs w:val="20"/>
          <w:color w:val="auto"/>
        </w:rPr>
      </w:pPr>
    </w:p>
    <w:p>
      <w:pPr>
        <w:ind w:left="9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 care benefit program or making false statements relating to health care matters;</w:t>
      </w:r>
    </w:p>
    <w:p>
      <w:pPr>
        <w:spacing w:after="0" w:line="67"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Act, and its implementing regulations, also imposes obligations, including mandatory contractual terms,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ind w:left="900" w:right="200" w:hanging="383"/>
        <w:spacing w:after="0" w:line="25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require manufacturers of FDA-approved drugs, devices, biologics and medical supplies covered by Medicare or Medicaid to report, on an annual basis, to the Department of Health and Human Services (HHS) information related to payments and other transfers of value to physicians, certain advanced non-physician health care practitioners, and teaching hospitals or to entities or individuals at the request of, or designated on behalf of, such physicians, non-physician health care practitioners, and teaching hospitals as well as certain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900" w:right="40" w:hanging="383"/>
        <w:spacing w:after="0" w:line="312"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November 2020, HHS finalized significant changes to the regulations implementing the Anti-Kickback Statute, as well as the Physician Self-Referral Law (Stark Law) and the civil monetary penalty rules regarding beneficiary inducements, with the goal of offering the healthcare industry more flexibility and reducing the regulatory burden associated with those fraud and abuse laws, particularly with respect to value-based arrangements among industry participants.</w:t>
      </w:r>
    </w:p>
    <w:p>
      <w:pPr>
        <w:spacing w:after="0" w:line="207"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Finally, the majority of states also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2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Health Care Reform in the US and Potential Changes to Health Care Laws</w:t>
      </w:r>
    </w:p>
    <w:p>
      <w:pPr>
        <w:spacing w:after="0" w:line="13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For example, Congress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but without any substantive policy changes.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22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As previously mentioned, the primary trend in the U.S. health 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the U.S. Centers for Medicare and Medicaid Services, or CMS, to test innovative payment and service delivery models to lower Medicare and Medicaid spending.</w:t>
      </w:r>
    </w:p>
    <w:p>
      <w:pPr>
        <w:spacing w:after="0" w:line="21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Following several years of litigation in the federal courts, in June 2021, the U.S. Supreme Court upheld the ACA when it dismissed a legal challenge to the ACA’s constitutionality. 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 care industry in the United States.</w:t>
      </w:r>
    </w:p>
    <w:p>
      <w:pPr>
        <w:spacing w:after="0" w:line="22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that affect health care expenditures. These changes include aggregate reductions to Medicare payments to providers of up to 2% per fiscal year pursuant to the Budget Control Act of 2011, which began in 2013 and was extended by the Consolidated Appropriations Act for 2023, and will remain in effect through 2032 unless additional Congressional action is taken.</w:t>
      </w:r>
    </w:p>
    <w:p>
      <w:pPr>
        <w:spacing w:after="0" w:line="22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Notably, on December 20, 2019, President Trump signed the Further Consolidated Appropriations Act for 2020 into law (P.L. 116-94) that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w:t>
      </w:r>
    </w:p>
    <w:p>
      <w:pPr>
        <w:spacing w:after="0" w:line="21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right="220"/>
        <w:spacing w:after="0" w:line="261" w:lineRule="auto"/>
        <w:rPr>
          <w:sz w:val="20"/>
          <w:szCs w:val="20"/>
          <w:color w:val="auto"/>
        </w:rPr>
      </w:pPr>
      <w:r>
        <w:rPr>
          <w:rFonts w:ascii="Times New Roman" w:cs="Times New Roman" w:eastAsia="Times New Roman" w:hAnsi="Times New Roman"/>
          <w:sz w:val="18"/>
          <w:szCs w:val="18"/>
          <w:color w:val="auto"/>
        </w:rPr>
        <w:t>negotiation, it is expected that the revenue generated from such drug will decrease. In addition to the IRA’s drug price negotiation provisions, President Biden’s Executive Order 14087, issued in October 2022, called for the CMS innovation center to prepare and submit a report to the White House on potential payment and delivery modes that would complement to IRA, lower drug costs, and promote access to innovative drugs. As of February 3, 2023 the report had not been released but it is expected to further inform the current Administration’s priorities and activities in this area.</w:t>
      </w:r>
    </w:p>
    <w:p>
      <w:pPr>
        <w:spacing w:after="0" w:line="20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23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which could have an adverse effect on customers for our product candidates. Any reduction in reimbursement from Medicare or other government programs may result in a similar reduction in payments from private payors.</w:t>
      </w:r>
    </w:p>
    <w:p>
      <w:pPr>
        <w:spacing w:after="0" w:line="22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3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These operations may involve the use of hazardous and flammable materials, including chemicals and biological materials. Our operations may also produce hazardous waste products. We contract with third parties for the disposal of these materials and wastes. Our products are defined as Genetically Modified Organisms (GMO) or Genetically Modified Micro-organisms (GMM) and, dependent on their classification and containment, may be subject to regulation.</w:t>
      </w:r>
    </w:p>
    <w:p>
      <w:pPr>
        <w:spacing w:after="0" w:line="22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United States does not have any federal legislation that is specific to genetically modified organisms. GMOs are regulated pursuant to health, safety, and environmental legislation governing conventional products. The U.S. approach to regulating GMOs is premised on the assumption that regulation should focus on the nature of the products, rather than the process in which they were produced.</w:t>
      </w:r>
    </w:p>
    <w:p>
      <w:pPr>
        <w:spacing w:after="0" w:line="21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clinical development and marketing of GMM within the European Union, and elsewhere, falls under different regulations and practices in each country, which may involve approval by environmental or other regulatory bodies, as well as health authorities, and may establish the requirement for a risk assessment for the testing or authorization of the product.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manufacturing organization, including process development and cGMP production infrastructure to establish manufacturing processes designed to support production of clinical trial material. The manufacturing processes are designed to enable us to reproducibly manufacture high quality living medicines at clinical scale and, later, at commercial scale to enable approval of our product candidates. We have built a fully integrated development and manufacturing organization with an internal process development group, quality group and manufacturing capabilities with the lease of cGMP cleanroom space in Waltham, Massachusetts. This facility enables us to produce clinical trial material for early to mid-stage studies of our clinical pipeline. We continue to build the organization to support scale-up and development towards commercialization. We currently expect to continue to work with contract manufacturing organizations (CMOs) for production of late-stage clinical trial material.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8" w:name="page39"/>
    <w:bookmarkEnd w:id="38"/>
    <w:p>
      <w:pPr>
        <w:ind w:firstLine="509"/>
        <w:spacing w:after="0" w:line="258" w:lineRule="auto"/>
        <w:rPr>
          <w:sz w:val="20"/>
          <w:szCs w:val="20"/>
          <w:color w:val="auto"/>
        </w:rPr>
      </w:pPr>
      <w:r>
        <w:rPr>
          <w:rFonts w:ascii="Times New Roman" w:cs="Times New Roman" w:eastAsia="Times New Roman" w:hAnsi="Times New Roman"/>
          <w:sz w:val="18"/>
          <w:szCs w:val="18"/>
          <w:color w:val="auto"/>
        </w:rPr>
        <w:t>Clinical trial material for our Phase 1 study of SYNB1618 for PKU were manufactured by a CMO. These first clinical trials used a frozen liquid and solid formulation as the drug presentation. Since then, we have made additional investment in our formulation development that optimizes our production of solid dose formulations for our clinical programs. The powder for oral suspension formulation capability allows us to produce a more user-friendly presentation for later stage clinical development and future commercial use. We are continuing to invest and investigate the utility of additional presentations for solid formulations of our Synthetic Biotics including capsules.</w:t>
      </w:r>
    </w:p>
    <w:p>
      <w:pPr>
        <w:spacing w:after="0" w:line="21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To enable the production of high levels of cells, or biomass, we can engineer our Synthetic Biotics with switches. These switches are comprised of transcription factor and promoter pairs that allow for controlled expression of the therapeutic effectors produced by our Synthetic Biotics. To ensure the metabolic capacity of the cells is allotted to the production of a high level of biomass during manufacturing, the effector circuits in the Synthetic Biotic programs are not expressed during this growth phase. At the end of the manufacturing process, the circuits are then induced, or activated. This two-step approach was designed to enable a high level of biomass production as well as to deliver the required activity necessary at the time of administration. We continue to devote resources to process development and the generation of improved products.</w:t>
      </w:r>
    </w:p>
    <w:p>
      <w:pPr>
        <w:spacing w:after="0" w:line="22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we progress in clinical development, we will need to increase our production scale to support late stage clinical trials and commercial manufacturing. We are in the process of assessing CMOs who meet our criteria to supply our late-stage clinical development and commercial supply. We will compare the merits of working with one or more CMOs who meet our criteria with the possibility of building cGMP manufacturing capacity and capabilities internally.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biotechnology industry is extremely competitive in the race to develop new products. While we believe we have significant competitive advantages with our industry-leading expertise in synthetic biology and metabolic engineering of non-pathogenic bacteria, our clinical development expertise, and strong intellectual property position, we currently face and will continue to face competition for our development programs from companies that use synthetic biology or cell therapy development platforms and from companies focused on more conventional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These competitors also compete with us in recruiting and retaining qualified scientific and management personnel, in establishing clinical trial sites and patient registration for clinical trials, and in accessing technologies to enable our programs.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21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Competitors include other synthetic biology companies developing other synthetic biology methods, cellular and microbiome-based companies, DNA and RNA-based companies, as well as companies developing small molecules or other biologics. In the case of indications that we are targeting with our own Synthetic Biotics, competitors include, but are not limited to:</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PKU</w:t>
      </w:r>
    </w:p>
    <w:p>
      <w:pPr>
        <w:spacing w:after="0" w:line="131" w:lineRule="exact"/>
        <w:rPr>
          <w:sz w:val="20"/>
          <w:szCs w:val="20"/>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BioMarin, Inc. has two approved products and a development-stage investigational therapy;</w:t>
      </w:r>
    </w:p>
    <w:p>
      <w:pPr>
        <w:spacing w:after="0" w:line="130" w:lineRule="exact"/>
        <w:rPr>
          <w:rFonts w:ascii="Times New Roman" w:cs="Times New Roman" w:eastAsia="Times New Roman" w:hAnsi="Times New Roman"/>
          <w:sz w:val="18"/>
          <w:szCs w:val="18"/>
          <w:color w:val="auto"/>
        </w:rPr>
      </w:pPr>
    </w:p>
    <w:p>
      <w:pPr>
        <w:ind w:left="1260" w:right="6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 Therapeutics, Inc., Nestle Health Sciences S.A. (Codexis, Inc.), Homology Medicines, Inc. and Jnana Therapeutics have products in clinical trials; and</w:t>
      </w:r>
    </w:p>
    <w:p>
      <w:pPr>
        <w:spacing w:after="0" w:line="67" w:lineRule="exact"/>
        <w:rPr>
          <w:rFonts w:ascii="Times New Roman" w:cs="Times New Roman" w:eastAsia="Times New Roman" w:hAnsi="Times New Roman"/>
          <w:sz w:val="18"/>
          <w:szCs w:val="18"/>
          <w:color w:val="auto"/>
        </w:rPr>
      </w:pPr>
    </w:p>
    <w:p>
      <w:pPr>
        <w:ind w:left="1260" w:right="44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Agios Pharmaceuticals, Inc., Generation Bio Co., American Gene Technologies International Inc., SOM Biotech SL, and others are developing product candidates.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HCU</w:t>
      </w:r>
    </w:p>
    <w:p>
      <w:pPr>
        <w:spacing w:after="0" w:line="131" w:lineRule="exact"/>
        <w:rPr>
          <w:sz w:val="20"/>
          <w:szCs w:val="20"/>
          <w:color w:val="auto"/>
        </w:rPr>
      </w:pPr>
    </w:p>
    <w:p>
      <w:pPr>
        <w:ind w:left="1260" w:hanging="368"/>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Travere Therapeutics, Inc. and Aeglea BioTherapeutics have products in clinical trials.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Enteric hyperoxaluria</w:t>
      </w:r>
    </w:p>
    <w:p>
      <w:pPr>
        <w:spacing w:after="0" w:line="131" w:lineRule="exact"/>
        <w:rPr>
          <w:sz w:val="20"/>
          <w:szCs w:val="20"/>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Novome Biotechnologies, Inc. and Oxidien Pharmaceuticals, LLC have drug candidates in clinical trials; and</w:t>
      </w:r>
    </w:p>
    <w:p>
      <w:pPr>
        <w:spacing w:after="0" w:line="130"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Federation Bio, Inc. and others are developing product candidates.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Gout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9" w:name="page40"/>
    <w:bookmarkEnd w:id="39"/>
    <w:p>
      <w:pPr>
        <w:ind w:left="1260" w:right="320" w:hanging="368"/>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Selecta Biosciences, Jiangsu HengRui Medicine Co., Ltd., Horizon Pharma Inc., Dyve Biosciences, Arrowhead Pharmaceuticals, and HemoShear Therapeutics and others are developing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Executives, Founders and Scientific Advisors</w:t>
      </w:r>
    </w:p>
    <w:p>
      <w:pPr>
        <w:spacing w:after="0" w:line="13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team of executives has proven track records of successfully translating scientific visions into successful commercial therapeutic products, solving complex issues in developing novel therapeutics and progressing new and novel products through regulatory approval. Our scientific founders, Timothy Lu, M.D., Ph.D., and James Collins, Ph.D., are experts in the emerging field of synthetic biology. In addition to our management team and founders, we have established advisory relationships with researchers and clinicians dedicated to the development of Synthetic Biotic therapeutic products for patients with significant unmet medical needs and whose expertise spans synthetic biology, metabolic engineering, metabolism, and immuno-modulation arenas. Our scientific advisors include Dr. Lu and Dr. Collins; Paul Miller, Ph.D., Christopher Voigt, Ph.D., Cammie Lesser, M.D., Ph.D. and Kristala Prather, Ph.D., experts in synthetic biology and bacterial metabolism. We expect to expand our advisory boards as we grow. All of our founders and advisors are equity holders in us and receive compensation as scientific advisors. Although they are regularly available for scientific consultation, our arrangements with these individuals do not entitle us to any of their existing or future intellectual property derived from their independent research or research with other third parties.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35" w:lineRule="exact"/>
        <w:rPr>
          <w:sz w:val="20"/>
          <w:szCs w:val="20"/>
          <w:color w:val="auto"/>
        </w:rPr>
      </w:pPr>
    </w:p>
    <w:p>
      <w:pPr>
        <w:ind w:right="600" w:firstLine="509"/>
        <w:spacing w:after="0" w:line="312" w:lineRule="auto"/>
        <w:rPr>
          <w:sz w:val="20"/>
          <w:szCs w:val="20"/>
          <w:color w:val="auto"/>
        </w:rPr>
      </w:pPr>
      <w:r>
        <w:rPr>
          <w:rFonts w:ascii="Times New Roman" w:cs="Times New Roman" w:eastAsia="Times New Roman" w:hAnsi="Times New Roman"/>
          <w:sz w:val="17"/>
          <w:szCs w:val="17"/>
          <w:color w:val="auto"/>
        </w:rPr>
        <w:t>As of March 22, 2023, we had 72 full-time employees. Of our full-time employees, 58 were primarily engaged in research and development activities. None of our employees are subject to a collective bargaining agreement. We believe that we have good relations with our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13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recognize that our employees are essential to our success. To this end, we support business growth by seeking to attract and retain best-in-class talent. We use internal and external resources to recruit highly skilled candidates for open positions. We believe that we are able to attract and retain the talent that is required to meet our business goals.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3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total rewards philosophy has been to invest in our workforce by offering a competitive compensation and benefits package. We provide employees with compensation packages that include base salary, annual incentive bonuses and long-term equity incentive awards. We also offer comprehensive employee benefits, such as life, disability and health insurance, health savings and flexible spending accounts, paid time off, a 401(k) plan with market-competitive company matching contributions, and an Employee Stock Purchase Plan. It is our express intent to be an employer of choice in our industry by providing a market-competitive compensation and benefits package.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always invested, and will continue to invest, in the health, safety, and wellness of our employees. We provide our employees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21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investments and the prioritization of employee health, safety, and wellness have taken on particular significance in light of the COVID-19 pandemic. To protect and support our team members, we have implemented health and safety measures that include maximizing personal workspaces, altering work schedules, mandating vaccines, and providing asymptomatic COVID-19 testing if requested. We continue to monitor this evolving situation and will continue to seek programs to educate and assist employees whenever possible.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3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a diverse workforce is critical to our success. Our mission is to value differences in races, ethnicities, religions, nationalities, genders, ages and sexual orientations, as well as education, skill sets and experience. We are focused on inclusive hiring practices, fair and equitable treatment, organizational flexibility and training and resources.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3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in encouraging employees to be lifelong learners by providing ongoing learning and leadership training opportunities. While we strive to provide real-time recognition of employee performance, we have a formal annual review process not only to determine pay and equity adjustments tied to individual contributions, but to identify areas where employees may benefit from additional training and development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 and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persons were our executive officers and directors as of March 29,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0" w:type="dxa"/>
            <w:vAlign w:val="bottom"/>
          </w:tcPr>
          <w:p>
            <w:pPr>
              <w:spacing w:after="0"/>
              <w:rPr>
                <w:sz w:val="22"/>
                <w:szCs w:val="22"/>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1"/>
                <w:szCs w:val="2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Aoife Brennan, </w:t>
            </w:r>
            <w:r>
              <w:rPr>
                <w:rFonts w:ascii="Times New Roman" w:cs="Times New Roman" w:eastAsia="Times New Roman" w:hAnsi="Times New Roman"/>
                <w:sz w:val="16"/>
                <w:szCs w:val="16"/>
                <w:color w:val="auto"/>
              </w:rPr>
              <w:t>MB, BCh, BAO, MMSc</w:t>
            </w:r>
          </w:p>
        </w:tc>
        <w:tc>
          <w:tcPr>
            <w:tcW w:w="4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Jensen</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Antoine Awad</w:t>
            </w:r>
          </w:p>
        </w:tc>
        <w:tc>
          <w:tcPr>
            <w:tcW w:w="4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1"/>
                <w:szCs w:val="2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Barrett, Ph.D.</w:t>
            </w:r>
          </w:p>
        </w:tc>
        <w:tc>
          <w:tcPr>
            <w:tcW w:w="4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Partner at Atlas Venture</w:t>
            </w:r>
          </w:p>
        </w:tc>
      </w:tr>
      <w:tr>
        <w:trPr>
          <w:trHeight w:val="24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Burgess, MB, CHB, Ph.D.</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Medical Officer, Turnstone Biologics</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Lisa Kelly-Croswell</w:t>
            </w:r>
          </w:p>
        </w:tc>
        <w:tc>
          <w:tcPr>
            <w:tcW w:w="4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SVP &amp; Chief Human Resources Officer, Boston Medical Center Health System</w:t>
            </w:r>
          </w:p>
        </w:tc>
      </w:tr>
      <w:tr>
        <w:trPr>
          <w:trHeight w:val="24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Heffernan</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Avenge Bio, Inc.</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Patricia Hurter, Ph.D.</w:t>
            </w:r>
          </w:p>
        </w:tc>
        <w:tc>
          <w:tcPr>
            <w:tcW w:w="4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Lyndra Therapeutics</w:t>
            </w:r>
          </w:p>
        </w:tc>
      </w:tr>
      <w:tr>
        <w:trPr>
          <w:trHeight w:val="24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Nick Leschly</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2seventybio, Inc.</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Edward Mathers</w:t>
            </w:r>
          </w:p>
        </w:tc>
        <w:tc>
          <w:tcPr>
            <w:tcW w:w="4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at New Enterprise Associates</w:t>
            </w:r>
          </w:p>
        </w:tc>
      </w:tr>
      <w:tr>
        <w:trPr>
          <w:trHeight w:val="24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Richard P. Shea</w:t>
            </w:r>
          </w:p>
        </w:tc>
        <w:tc>
          <w:tcPr>
            <w:tcW w:w="420" w:type="dxa"/>
            <w:vAlign w:val="bottom"/>
            <w:shd w:val="clear" w:color="auto" w:fill="CCEEFF"/>
          </w:tcPr>
          <w:p>
            <w:pPr>
              <w:spacing w:after="0"/>
              <w:rPr>
                <w:sz w:val="21"/>
                <w:szCs w:val="21"/>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CFO, Danforth Advisors</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3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December 2007 under the name “Mirna Therapeutics, Inc.” We carry on our business directly and through our subsidiaries.</w:t>
      </w:r>
    </w:p>
    <w:p>
      <w:pPr>
        <w:spacing w:after="0" w:line="20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On December 22, 2021, IBDCo was merged with and into Synlogic Operating Company, Inc. and IBDCo ceased to exist as a separate entity.</w:t>
      </w:r>
    </w:p>
    <w:p>
      <w:pPr>
        <w:spacing w:after="0" w:line="21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22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reverse stock split of its common stock (the Reverse Stock Split), and on August 28, 2017, immediately after completion of the Merger, Mirna changed its name to “Synlogic, Inc.” (NASDAQ: SYBX).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1" w:name="page42"/>
    <w:bookmarkEnd w:id="41"/>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Mirna issued shares of its common stock to Private Synlogic’s stockholders, using an exchange ratio, after taking into account the Reverse Stock Split, for each share of Private Synlogic common stock and preferred stock outstanding immediately prior to the Merger (Exchange Ratio). In addition, Mirna assumed all of the stock options outstanding under the Synlogic 2017 Stock Incentive Plan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w:t>
      </w:r>
    </w:p>
    <w:p>
      <w:pPr>
        <w:spacing w:after="0" w:line="21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Internet address is www.synlogictx.com. Our annual reports on Form 10-K, quarterly reports on Form 10-Q, current reports on Form 8-K, and all amendments to those reports, are available to you free of charge through our website as soon as reasonably practicable after such materials have been electronically filed with, or furnished to, the Securities and Exchange Commission (SEC).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Annual Report on Form 10-K and our other public filings with the SEC. The following risk factors may be amended, supplemented or superseded from time to time by other reports we file with the SEC in the future.</w:t>
      </w:r>
    </w:p>
    <w:p>
      <w:pPr>
        <w:spacing w:after="0" w:line="1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2" w:lineRule="exact"/>
        <w:rPr>
          <w:sz w:val="20"/>
          <w:szCs w:val="20"/>
          <w:color w:val="auto"/>
        </w:rPr>
      </w:pPr>
    </w:p>
    <w:p>
      <w:pPr>
        <w:ind w:left="760" w:right="1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our stockholders may not be able to resell shares of our common stock at or above the price they paid.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short operating history may make it difficult for stockholders to evaluate the success of our business to date and to assess our future viability.</w:t>
      </w:r>
    </w:p>
    <w:p>
      <w:pPr>
        <w:spacing w:after="0" w:line="128" w:lineRule="exact"/>
        <w:rPr>
          <w:rFonts w:ascii="Times New Roman" w:cs="Times New Roman" w:eastAsia="Times New Roman" w:hAnsi="Times New Roman"/>
          <w:sz w:val="17"/>
          <w:szCs w:val="17"/>
          <w:color w:val="auto"/>
        </w:rPr>
      </w:pPr>
    </w:p>
    <w:p>
      <w:pPr>
        <w:ind w:left="760" w:right="10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costly, time consuming and inherently risky, and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novel therapeutics using synthetic biology to create novel medicines is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product liability claims, and, if successful claims are brought against us, we may incur substantial liability and costs. If the use or misuse of our product candidates harm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 pandemic, epidemic, or outbreak of an infectious disease, such as COVID-19, or geopolitical tensions, such as the armed conflict between Russia and Ukraine, may materially and adversely affect our business and our financial results.</w:t>
      </w:r>
    </w:p>
    <w:p>
      <w:pPr>
        <w:spacing w:after="0" w:line="53"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a product candidate, we will remain subject to ongoing regulatory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left="380" w:right="12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3" w:lineRule="exact"/>
        <w:rPr>
          <w:rFonts w:ascii="Times New Roman" w:cs="Times New Roman" w:eastAsia="Times New Roman" w:hAnsi="Times New Roman"/>
          <w:sz w:val="18"/>
          <w:szCs w:val="18"/>
          <w:color w:val="auto"/>
        </w:rPr>
      </w:pPr>
    </w:p>
    <w:p>
      <w:pPr>
        <w:ind w:left="380" w:right="200" w:hanging="378"/>
        <w:spacing w:after="0" w:line="26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1" w:lineRule="exact"/>
        <w:rPr>
          <w:rFonts w:ascii="Times New Roman" w:cs="Times New Roman" w:eastAsia="Times New Roman" w:hAnsi="Times New Roman"/>
          <w:sz w:val="18"/>
          <w:szCs w:val="18"/>
          <w:color w:val="auto"/>
        </w:rPr>
      </w:pPr>
    </w:p>
    <w:p>
      <w:pPr>
        <w:ind w:left="380" w:right="6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could limit or prevent the use of our technologies and limit our revenues.</w:t>
      </w:r>
    </w:p>
    <w:p>
      <w:pPr>
        <w:spacing w:after="0" w:line="53" w:lineRule="exact"/>
        <w:rPr>
          <w:rFonts w:ascii="Times New Roman" w:cs="Times New Roman" w:eastAsia="Times New Roman" w:hAnsi="Times New Roman"/>
          <w:sz w:val="18"/>
          <w:szCs w:val="18"/>
          <w:color w:val="auto"/>
        </w:rPr>
      </w:pPr>
    </w:p>
    <w:p>
      <w:pPr>
        <w:ind w:left="380" w:right="90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Synthetic Biotics, product candidates and processes for our development pipeline through acquisitions and in-licenses.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patent term protections for our product candidates to effectively protect our business.</w:t>
      </w:r>
    </w:p>
    <w:p>
      <w:pPr>
        <w:spacing w:after="0" w:line="117"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proprietary rights for our product candidates or any future product candidates, we may not be able to compete effectively in our proposed markets.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17" w:lineRule="exact"/>
        <w:rPr>
          <w:rFonts w:ascii="Times New Roman" w:cs="Times New Roman" w:eastAsia="Times New Roman" w:hAnsi="Times New Roman"/>
          <w:sz w:val="18"/>
          <w:szCs w:val="18"/>
          <w:color w:val="auto"/>
        </w:rPr>
      </w:pPr>
    </w:p>
    <w:p>
      <w:pPr>
        <w:ind w:left="380" w:right="8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380" w:right="300" w:hanging="378"/>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rFonts w:ascii="Times New Roman" w:cs="Times New Roman" w:eastAsia="Times New Roman" w:hAnsi="Times New Roman"/>
          <w:sz w:val="18"/>
          <w:szCs w:val="18"/>
          <w:color w:val="auto"/>
        </w:rPr>
      </w:pPr>
    </w:p>
    <w:p>
      <w:pPr>
        <w:ind w:left="380" w:right="38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late-stage clinical activities and may do the same for any commercial supplies of our product candidates.</w:t>
      </w:r>
    </w:p>
    <w:p>
      <w:pPr>
        <w:spacing w:after="0" w:line="53"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53"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and our competitors may discover, develop or commercialize products faster or more successfully than us.</w:t>
      </w:r>
    </w:p>
    <w:p>
      <w:pPr>
        <w:spacing w:after="0" w:line="117" w:lineRule="exact"/>
        <w:rPr>
          <w:rFonts w:ascii="Times New Roman" w:cs="Times New Roman" w:eastAsia="Times New Roman" w:hAnsi="Times New Roman"/>
          <w:sz w:val="18"/>
          <w:szCs w:val="18"/>
          <w:color w:val="auto"/>
        </w:rPr>
      </w:pPr>
    </w:p>
    <w:p>
      <w:pPr>
        <w:ind w:left="380" w:right="56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3" w:lineRule="exact"/>
        <w:rPr>
          <w:rFonts w:ascii="Times New Roman" w:cs="Times New Roman" w:eastAsia="Times New Roman" w:hAnsi="Times New Roman"/>
          <w:sz w:val="18"/>
          <w:szCs w:val="18"/>
          <w:color w:val="auto"/>
        </w:rPr>
      </w:pPr>
    </w:p>
    <w:p>
      <w:pPr>
        <w:ind w:left="380" w:right="10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380" w:right="460" w:hanging="37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securities convertible or exchangeable for our common stock may depress our stock price.</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445" w:right="359" w:bottom="1440" w:gutter="0" w:footer="0" w:header="0"/>
        </w:sectPr>
      </w:pPr>
    </w:p>
    <w:bookmarkStart w:id="44" w:name="page45"/>
    <w:bookmarkEnd w:id="44"/>
    <w:p>
      <w:pPr>
        <w:ind w:left="760" w:right="1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3"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53" w:lineRule="exact"/>
        <w:rPr>
          <w:rFonts w:ascii="Times New Roman" w:cs="Times New Roman" w:eastAsia="Times New Roman" w:hAnsi="Times New Roman"/>
          <w:sz w:val="18"/>
          <w:szCs w:val="18"/>
          <w:color w:val="auto"/>
        </w:rPr>
      </w:pPr>
    </w:p>
    <w:p>
      <w:pPr>
        <w:ind w:left="760" w:right="6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the continued listing requirements of the Nasdaq Global Market, such that our common stock may be delisted and the price of our common stock and its ability to access the capital markets could be negatively impacted. We have received a written notice from Nasdaq regarding our failure to meet the listing requirements by Nasdaq, which has triggered a 180 calendar-day grace period for us to regain compliance.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Synthetic Biotics and we have incurred significant operating losses since our inception. Our net loss was approximately $66.1 million and $60.6 million for the fiscal years ended December 31, 2022 and 2021, respectively. As of December 31, 2022, we had an accumulated deficit of approximately $357.0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8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Annual Report on Form 10-K and others:</w:t>
      </w:r>
    </w:p>
    <w:p>
      <w:pPr>
        <w:spacing w:after="0" w:line="68" w:lineRule="exact"/>
        <w:rPr>
          <w:sz w:val="20"/>
          <w:szCs w:val="20"/>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with our collaborators, such as Roche;</w:t>
      </w:r>
    </w:p>
    <w:p>
      <w:pPr>
        <w:spacing w:after="0" w:line="117" w:lineRule="exact"/>
        <w:rPr>
          <w:rFonts w:ascii="Times New Roman" w:cs="Times New Roman" w:eastAsia="Times New Roman" w:hAnsi="Times New Roman"/>
          <w:sz w:val="18"/>
          <w:szCs w:val="18"/>
          <w:color w:val="auto"/>
        </w:rPr>
      </w:pPr>
    </w:p>
    <w:p>
      <w:pPr>
        <w:ind w:left="1400" w:hanging="374"/>
        <w:spacing w:after="0" w:line="282" w:lineRule="auto"/>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 and</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 or negative announcements by other companies involving similar technologies or diseases. These factors also include those discussed in this “Risk Factors” section of this Annual Report on Form 10-K and others such as:</w:t>
      </w:r>
    </w:p>
    <w:p>
      <w:pPr>
        <w:spacing w:after="0" w:line="72" w:lineRule="exact"/>
        <w:rPr>
          <w:sz w:val="20"/>
          <w:szCs w:val="20"/>
          <w:color w:val="auto"/>
        </w:rPr>
      </w:pPr>
    </w:p>
    <w:p>
      <w:pPr>
        <w:ind w:left="1020" w:right="560" w:hanging="368"/>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synthetic biology and genetic engineering;</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the programs of competitors;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natural disasters;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2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9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9"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access to working capital sources;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or credit or other credit support arrangements; or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8" w:lineRule="exact"/>
        <w:rPr>
          <w:sz w:val="20"/>
          <w:szCs w:val="20"/>
          <w:color w:val="auto"/>
        </w:rPr>
      </w:pPr>
    </w:p>
    <w:p>
      <w:pPr>
        <w:ind w:left="1020" w:right="140" w:hanging="368"/>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or other nonclinical data, including,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020" w:right="760" w:hanging="368"/>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20" w:right="340" w:hanging="368"/>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1020" w:right="60" w:hanging="368"/>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020" w:right="60" w:hanging="368"/>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3" w:lineRule="exact"/>
        <w:rPr>
          <w:rFonts w:ascii="Times New Roman" w:cs="Times New Roman" w:eastAsia="Times New Roman" w:hAnsi="Times New Roman"/>
          <w:sz w:val="18"/>
          <w:szCs w:val="18"/>
          <w:color w:val="auto"/>
        </w:rPr>
      </w:pPr>
    </w:p>
    <w:p>
      <w:pPr>
        <w:ind w:left="1020" w:right="560" w:hanging="368"/>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440" w:hanging="368"/>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7" w:lineRule="exact"/>
        <w:rPr>
          <w:rFonts w:ascii="Times New Roman" w:cs="Times New Roman" w:eastAsia="Times New Roman" w:hAnsi="Times New Roman"/>
          <w:sz w:val="18"/>
          <w:szCs w:val="18"/>
          <w:color w:val="auto"/>
        </w:rPr>
      </w:pPr>
    </w:p>
    <w:p>
      <w:pPr>
        <w:ind w:left="1020" w:right="160" w:hanging="368"/>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4"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including demonstrating proof of concept for SYNB1934 for PKU, proof of concept for SYNB8802 for enteric hyperoxaluria, and proof of mechanism for SYNB1353 for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3"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use our targeted focus and experienced management and scientific team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conduct additional clinical trials or costly post-marketing testing and surveillance to monitor the safety of the product;</w:t>
      </w:r>
    </w:p>
    <w:p>
      <w:pPr>
        <w:spacing w:after="0" w:line="128"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6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2"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0" w:name="page51"/>
    <w:bookmarkEnd w:id="50"/>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none of our product candidates have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In May 2022, the EMA granted orphan designation to SYNB1618 for the treatment of PKU. In November 2022, we received orphan drug designation from the FDA for SYNB1353 as a potential treatment for HCU.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though we have obtained orphan drug designation for one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or RPDD, for one or more of our product candidates. However, a BLA for one or more of our product candidates may not meet the eligibility criteria for a priority review voucher upon approval.</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January 2023, SYNB1934 received Rare Pediatric Drug Designation (RPDD)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1" w:name="page52"/>
    <w:bookmarkEnd w:id="51"/>
    <w:p>
      <w:pPr>
        <w:ind w:right="80"/>
        <w:spacing w:after="0" w:line="282" w:lineRule="auto"/>
        <w:rPr>
          <w:sz w:val="20"/>
          <w:szCs w:val="20"/>
          <w:color w:val="auto"/>
        </w:rPr>
      </w:pPr>
      <w:r>
        <w:rPr>
          <w:rFonts w:ascii="Times New Roman" w:cs="Times New Roman" w:eastAsia="Times New Roman" w:hAnsi="Times New Roman"/>
          <w:sz w:val="18"/>
          <w:szCs w:val="18"/>
          <w:color w:val="auto"/>
        </w:rPr>
        <w:t>application. The FDA may also revoke any priority review voucher if the rare pediatric disease drug for which the voucher was awarded is not marketed in the U.S. within one year following the date of approval.</w:t>
      </w:r>
    </w:p>
    <w:p>
      <w:pPr>
        <w:spacing w:after="0" w:line="162" w:lineRule="exact"/>
        <w:rPr>
          <w:sz w:val="20"/>
          <w:szCs w:val="20"/>
          <w:color w:val="auto"/>
        </w:rPr>
      </w:pPr>
    </w:p>
    <w:p>
      <w:pPr>
        <w:jc w:val="center"/>
        <w:ind w:right="180"/>
        <w:spacing w:after="0" w:line="276" w:lineRule="auto"/>
        <w:rPr>
          <w:sz w:val="20"/>
          <w:szCs w:val="20"/>
          <w:color w:val="auto"/>
        </w:rPr>
      </w:pPr>
      <w:r>
        <w:rPr>
          <w:rFonts w:ascii="Times New Roman" w:cs="Times New Roman" w:eastAsia="Times New Roman" w:hAnsi="Times New Roman"/>
          <w:sz w:val="17"/>
          <w:szCs w:val="17"/>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spacing w:after="0" w:line="1" w:lineRule="exact"/>
        <w:rPr>
          <w:sz w:val="20"/>
          <w:szCs w:val="20"/>
          <w:color w:val="auto"/>
        </w:rPr>
      </w:pPr>
    </w:p>
    <w:p>
      <w:pPr>
        <w:ind w:firstLine="8"/>
        <w:spacing w:after="0" w:line="251"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though we received rare pediatric disease designation for SYNB1934 and SYNB1353 by the current statutory deadline of September 30, 2024 we may not receive the voucher if we do not obtain approval by September 2026.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33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or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CRO,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150,000 patients that may be diagnosed with PKU in the United States, Europe and Asia.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84" w:lineRule="exact"/>
        <w:rPr>
          <w:sz w:val="20"/>
          <w:szCs w:val="20"/>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22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 xml:space="preserve">A pandemic, epidemic, or outbreak of an infectious disease, such as COVID-19, </w:t>
      </w:r>
      <w:r>
        <w:rPr>
          <w:rFonts w:ascii="Times New Roman" w:cs="Times New Roman" w:eastAsia="Times New Roman" w:hAnsi="Times New Roman"/>
          <w:sz w:val="18"/>
          <w:szCs w:val="18"/>
          <w:b w:val="1"/>
          <w:bCs w:val="1"/>
          <w:i w:val="1"/>
          <w:iCs w:val="1"/>
          <w:color w:val="000000"/>
        </w:rPr>
        <w:t>or geopolitical tensions, such as the armed conflict between Russia and</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b w:val="1"/>
          <w:bCs w:val="1"/>
          <w:i w:val="1"/>
          <w:iCs w:val="1"/>
          <w:color w:val="000000"/>
        </w:rPr>
        <w:t xml:space="preserve">Ukraine, </w:t>
      </w:r>
      <w:r>
        <w:rPr>
          <w:rFonts w:ascii="Times New Roman" w:cs="Times New Roman" w:eastAsia="Times New Roman" w:hAnsi="Times New Roman"/>
          <w:sz w:val="18"/>
          <w:szCs w:val="18"/>
          <w:b w:val="1"/>
          <w:bCs w:val="1"/>
          <w:i w:val="1"/>
          <w:iCs w:val="1"/>
          <w:color w:val="212529"/>
        </w:rPr>
        <w:t>may materially and adversely affect our business and our financial results.</w:t>
      </w:r>
    </w:p>
    <w:p>
      <w:pPr>
        <w:spacing w:after="0" w:line="6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Over the past several years, the coronavirus outbreak has affected segments of the global economy and it may continue to materially affect our operations,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For example, in 2021, we experienced delays with the FDA that were related to COVID-19. In addition, clinical site initiation and patient enrollment may be delayed due to prioritization of healthcare system resources toward the COVID-19 pandemic. For example, in 2021, the ability of site IRBs to meet and review protocol amendments were delayed due to COVID-19. Sites were also unable at times to schedule in-person screening visits with potential patients during certain times in 2021. Our CROs and clinical trial sites also experienced labor shortages in 2022, 2021 and 2020. Some patients may not be able to comply with clinical trial protocols if quarantines or their concerns about COVID-19 impede patient movement or interrupt healthcare services. Similarly, the ability to recruit and retain patients and principal investigators and site staff who, as healthcare providers, may have heightened exposure to COVID-19 has adversely impacted our clinical trial operations.</w:t>
      </w:r>
    </w:p>
    <w:p>
      <w:pPr>
        <w:spacing w:after="0" w:line="19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76"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potential impact of the coronavirus outbreak, and any associated restrictions on travel and work that have been implemented, on our business and pre-clinical and clinical trials. The extent to which the coronavirus impacts us will depend on future developments, which are uncertain and cannot be predicted. We will continue to carefully monitor the situation with respect to each of our clinical trials and follow guidance from local and federal health authorities.</w:t>
      </w:r>
    </w:p>
    <w:p>
      <w:pPr>
        <w:spacing w:after="0" w:line="1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COVID-19 may also affect employees of third-party contract research organizations and contract manufacturing organizations located in affected geographies that we rely upon to carry out our clinical trials. For example, there were delays in laboratory analyses of patient samples due to pandemic related staffing issues at our CROs in 2021. In addition, we have taken precautionary measures, and may take additional measures, intended to help minimize the risk of the virus to our employees. We will continue to adjust these measures as necessary and as we are able in the future to balance the needs of our business with the safety of our employees.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cannot presently predict the extent to which potential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Similarly, the current conflict between Ukraine and Russia has created extreme volatility in the global capital markets and is expected to have further global economic consequences, including disruptions of the global supply chain and energy markets. A recession or market correction resulting from the continued spread of COVID-19 or the geopolitical tensions in Russia and Ukraine, could materially affect our business and the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368"/>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720" w:hanging="368"/>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53" w:lineRule="exact"/>
        <w:rPr>
          <w:rFonts w:ascii="Times New Roman" w:cs="Times New Roman" w:eastAsia="Times New Roman" w:hAnsi="Times New Roman"/>
          <w:sz w:val="18"/>
          <w:szCs w:val="18"/>
          <w:color w:val="auto"/>
        </w:rPr>
      </w:pPr>
    </w:p>
    <w:p>
      <w:pPr>
        <w:ind w:left="1020" w:right="300" w:hanging="368"/>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in order to support approval;</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120" w:hanging="368"/>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320" w:hanging="368"/>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340" w:hanging="368"/>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53" w:lineRule="exact"/>
        <w:rPr>
          <w:rFonts w:ascii="Times New Roman" w:cs="Times New Roman" w:eastAsia="Times New Roman" w:hAnsi="Times New Roman"/>
          <w:sz w:val="18"/>
          <w:szCs w:val="18"/>
          <w:color w:val="auto"/>
        </w:rPr>
      </w:pPr>
    </w:p>
    <w:p>
      <w:pPr>
        <w:ind w:left="1020" w:right="300" w:hanging="368"/>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5" w:name="page56"/>
    <w:bookmarkEnd w:id="55"/>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one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in April 2018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6" w:name="page57"/>
    <w:bookmarkEnd w:id="56"/>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9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7" w:name="page58"/>
    <w:bookmarkEnd w:id="57"/>
    <w:p>
      <w:pPr>
        <w:ind w:right="220"/>
        <w:spacing w:after="0" w:line="281" w:lineRule="auto"/>
        <w:rPr>
          <w:sz w:val="20"/>
          <w:szCs w:val="20"/>
          <w:color w:val="auto"/>
        </w:rPr>
      </w:pPr>
      <w:r>
        <w:rPr>
          <w:rFonts w:ascii="Times New Roman" w:cs="Times New Roman" w:eastAsia="Times New Roman" w:hAnsi="Times New Roman"/>
          <w:sz w:val="17"/>
          <w:szCs w:val="17"/>
          <w:color w:val="auto"/>
        </w:rPr>
        <w:t>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or results of operations.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US.</w:t>
      </w:r>
    </w:p>
    <w:p>
      <w:pPr>
        <w:spacing w:after="0" w:line="183"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or ASP, to HHS subject to enforcement via civil money penalties.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For example, in July 2021, President Biden issued a sweeping executive order on promoting competition in the American economy that included several mandates pertaining to the pharmaceutical and health care insurance industries and called on HHS to release a comprehensive plan to combat high prescription drug prices.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spacing w:after="0" w:line="261" w:lineRule="auto"/>
        <w:rPr>
          <w:sz w:val="20"/>
          <w:szCs w:val="20"/>
          <w:color w:val="auto"/>
        </w:rPr>
      </w:pPr>
      <w:r>
        <w:rPr>
          <w:rFonts w:ascii="Times New Roman" w:cs="Times New Roman" w:eastAsia="Times New Roman" w:hAnsi="Times New Roman"/>
          <w:sz w:val="18"/>
          <w:szCs w:val="18"/>
          <w:color w:val="auto"/>
        </w:rPr>
        <w:t>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The effect of Inflation Reduction Act of 2022 on our business and the healthcare industry in general is not yet known. There remains a large amount of uncertainty regarding the federal government’s approach to making pharmaceutical treatment costs more affordable for patients.</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76"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5" w:lineRule="exact"/>
        <w:rPr>
          <w:sz w:val="20"/>
          <w:szCs w:val="20"/>
          <w:color w:val="auto"/>
        </w:rPr>
      </w:pPr>
    </w:p>
    <w:p>
      <w:pPr>
        <w:jc w:val="both"/>
        <w:ind w:left="1020" w:right="80" w:hanging="368"/>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7" w:lineRule="exact"/>
        <w:rPr>
          <w:rFonts w:ascii="Times New Roman" w:cs="Times New Roman" w:eastAsia="Times New Roman" w:hAnsi="Times New Roman"/>
          <w:sz w:val="18"/>
          <w:szCs w:val="18"/>
          <w:color w:val="auto"/>
        </w:rPr>
      </w:pPr>
    </w:p>
    <w:p>
      <w:pPr>
        <w:ind w:left="1020" w:right="80" w:hanging="368"/>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ind w:left="1020" w:right="140" w:hanging="368"/>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20" w:right="540" w:hanging="368"/>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20" w:right="60" w:hanging="368"/>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 regulatory framework for collecting, using, safeguarding, sharing, transferring and other processing of information worldwide is rapidly evolving and is likely to remain uncertain for the foreseeable future. For example, the collection, use, disclosure, transfer, or other processing of personal data regarding individuals in the European Union, including personal health data, is subject to the General Data Protection Regulation, or GDPR, which took effect across all Member States of the European Economic Area, or EEA, on May 25, 2018. The withdrawal of the United Kingdom from the European Union and the subsequent separation of the data protection regimes of these territories mean we are required to comply with separate data protection laws in the European Union and the United Kingdom, which may lead to additional compliance costs and could increase our overall risk. Similar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0" w:name="page61"/>
    <w:bookmarkEnd w:id="60"/>
    <w:p>
      <w:pPr>
        <w:ind w:right="160"/>
        <w:spacing w:after="0" w:line="266" w:lineRule="auto"/>
        <w:rPr>
          <w:sz w:val="20"/>
          <w:szCs w:val="20"/>
          <w:color w:val="auto"/>
        </w:rPr>
      </w:pPr>
      <w:r>
        <w:rPr>
          <w:rFonts w:ascii="Times New Roman" w:cs="Times New Roman" w:eastAsia="Times New Roman" w:hAnsi="Times New Roman"/>
          <w:sz w:val="18"/>
          <w:szCs w:val="18"/>
          <w:color w:val="auto"/>
        </w:rPr>
        <w:t>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76"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80"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of Medical Information Act, that impose restrictive requirements regulating the use and disclosure of health information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personally identifiable information. In addition to fines and penalties imposed upon violators, some of these state laws also afford private rights of action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who believe their personal information has been misused. California’s patient privacy laws, for example, provide for penalties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and permit injured parties to sue for damages. In addition, California enacted the California Consumer Privacy Act (the CCPA), which took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2020, became enforceable by the California Attorney General on July 1, 2020, and has been dubbed the first “GDPR-like” law in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The CCPA gives California residents expanded rights to access and delete their personal information, opt out of certain personal information sharing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receive detailed information about how their personal information is used by requiring covered companies to provide new disclosures to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consumers (as that term is broadly defined) and provide such consumers new ways to opt-out of certain sales of personal information. The CCPA provides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civil penalties for violations, as well as a private right of action for data breaches that is expected to increase data breach litigation. Further,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Privacy Rights Act (the CPRA) recently passed in California. The CPRA will impose additional data protection obligations on companies doing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 California, including additional consumer rights processes, limitations on data uses, new audit requirements for higher risk data, and opt outs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certain uses of sensitive data. It will also create a new California data protection agency authorized to issue substantive regulations and could result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privacy and information security enforcement. The majority of the provisions will go into effect on January 1, 2023, and additional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and potential business process changes may be required. Although the CCPA currently exempts certain health-related information,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data, the CCPA and the CPRA may increase our compliance costs and potential liability. Similar laws have been adopted in other states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 Nevada, Virginia, Connecticut, Utah and Colorado) or proposed in other states and at the federal level, and if passed, such laws may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conflicting requirements that would make compliance challenging.</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The number and complexity of these threats continue to increase over time.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8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right="220" w:firstLine="509"/>
        <w:spacing w:after="0" w:line="273" w:lineRule="auto"/>
        <w:rPr>
          <w:sz w:val="20"/>
          <w:szCs w:val="20"/>
          <w:color w:val="auto"/>
        </w:rPr>
      </w:pPr>
      <w:r>
        <w:rPr>
          <w:rFonts w:ascii="Times New Roman" w:cs="Times New Roman" w:eastAsia="Times New Roman" w:hAnsi="Times New Roman"/>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4" w:name="page65"/>
    <w:bookmarkEnd w:id="64"/>
    <w:p>
      <w:pPr>
        <w:ind w:right="20"/>
        <w:spacing w:after="0" w:line="261" w:lineRule="auto"/>
        <w:rPr>
          <w:sz w:val="20"/>
          <w:szCs w:val="20"/>
          <w:color w:val="auto"/>
        </w:rPr>
      </w:pPr>
      <w:r>
        <w:rPr>
          <w:rFonts w:ascii="Times New Roman" w:cs="Times New Roman" w:eastAsia="Times New Roman" w:hAnsi="Times New Roman"/>
          <w:sz w:val="18"/>
          <w:szCs w:val="18"/>
          <w:color w:val="auto"/>
        </w:rPr>
        <w:t>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9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European patent practice is expected to change when the European Unitary Patent (UP) and Unified Patent Court (UPC) enter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spacing w:after="0" w:line="33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5" w:name="page66"/>
    <w:bookmarkEnd w:id="65"/>
    <w:p>
      <w:pPr>
        <w:ind w:right="40"/>
        <w:spacing w:after="0" w:line="282" w:lineRule="auto"/>
        <w:rPr>
          <w:sz w:val="20"/>
          <w:szCs w:val="20"/>
          <w:color w:val="auto"/>
        </w:rPr>
      </w:pPr>
      <w:r>
        <w:rPr>
          <w:rFonts w:ascii="Times New Roman" w:cs="Times New Roman" w:eastAsia="Times New Roman" w:hAnsi="Times New Roman"/>
          <w:sz w:val="18"/>
          <w:szCs w:val="18"/>
          <w:color w:val="auto"/>
        </w:rPr>
        <w:t>properly legalize and submit formal documents. In any such event, our competitors might be able to enter the market, which would have a material adverse effect on our business.</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6" w:name="page67"/>
    <w:bookmarkEnd w:id="66"/>
    <w:p>
      <w:pPr>
        <w:ind w:right="340"/>
        <w:spacing w:after="0" w:line="282" w:lineRule="auto"/>
        <w:rPr>
          <w:sz w:val="20"/>
          <w:szCs w:val="20"/>
          <w:color w:val="auto"/>
        </w:rPr>
      </w:pPr>
      <w:r>
        <w:rPr>
          <w:rFonts w:ascii="Times New Roman" w:cs="Times New Roman" w:eastAsia="Times New Roman" w:hAnsi="Times New Roman"/>
          <w:sz w:val="18"/>
          <w:szCs w:val="18"/>
          <w:color w:val="auto"/>
        </w:rPr>
        <w:t>published can, subject to specified limitations, be later amended in a manner that could cover our technologies, our product candidates or the use of our product candidates.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ind w:right="140"/>
        <w:spacing w:after="0" w:line="254" w:lineRule="auto"/>
        <w:rPr>
          <w:sz w:val="20"/>
          <w:szCs w:val="20"/>
          <w:color w:val="auto"/>
        </w:rPr>
      </w:pPr>
      <w:r>
        <w:rPr>
          <w:rFonts w:ascii="Times New Roman" w:cs="Times New Roman" w:eastAsia="Times New Roman" w:hAnsi="Times New Roman"/>
          <w:sz w:val="18"/>
          <w:szCs w:val="18"/>
          <w:color w:val="auto"/>
        </w:rPr>
        <w:t>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jc w:val="both"/>
        <w:ind w:right="200"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ind w:right="180"/>
        <w:spacing w:after="0" w:line="266" w:lineRule="auto"/>
        <w:rPr>
          <w:sz w:val="20"/>
          <w:szCs w:val="20"/>
          <w:color w:val="auto"/>
        </w:rPr>
      </w:pPr>
      <w:r>
        <w:rPr>
          <w:rFonts w:ascii="Times New Roman" w:cs="Times New Roman" w:eastAsia="Times New Roman" w:hAnsi="Times New Roman"/>
          <w:sz w:val="18"/>
          <w:szCs w:val="18"/>
          <w:color w:val="auto"/>
        </w:rPr>
        <w:t>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29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example, we have agreements with Azzur Cleanrooms-On-Demand to lease clean-room space at their facility for manufacturing and formulation of cGMP 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9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79"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2" w:name="page73"/>
    <w:bookmarkEnd w:id="72"/>
    <w:p>
      <w:pPr>
        <w:ind w:firstLine="509"/>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Generation Bio Co., Agios Pharmaceuticals, Inc., SOM Biotech SL, Jnana Therapeutics and other discovery stage companies have developed or are developing product candidates for the treatment of PKU. Novome Biotechnologies, Inc., Federation Bio, Inc., Oxidien Pharmaceuticals L.L.C. and others are developing product candidates for enteric hyperoxaluria. Aeglea BioTherapeutics and Travere Therapeutics are both developing product candidates for HCU. Selecta Biosciences, Jiangsu HengRui Medicine Co., Ltd., Horizon Pharma Inc., Dyve Biosciences, Arrowhead Pharmaceuticals, and HemoShear Therapeutics are developing drug candidates for gout.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3" w:name="page74"/>
    <w:bookmarkEnd w:id="73"/>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2"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2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9" w:lineRule="exact"/>
        <w:rPr>
          <w:sz w:val="20"/>
          <w:szCs w:val="20"/>
          <w:color w:val="auto"/>
        </w:rPr>
      </w:pPr>
    </w:p>
    <w:p>
      <w:pPr>
        <w:ind w:left="900" w:right="62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4" w:name="page75"/>
    <w:bookmarkEnd w:id="74"/>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7"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6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March 22, 2023, our executive officers and directors, together with holders of 5% or more of our common stock outstanding and their respective affiliates, beneficially own approximately 47.3%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March 22, 2023, there were a total of 67,728,025 shares of our common stock outstanding.</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execution of any collaborative, licensing or similar arrangements, and the timing of payments we may make under these arrangements; and</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2"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3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8" w:name="page79"/>
    <w:bookmarkEnd w:id="7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fail to comply with the continued listing requirements of the Nasdaq Global Market, our common stock may be delisted and the price of our common stock and our ability to access the capital markets could be negatively impacted.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for trading on the Nasdaq Global Market (“Nasdaq”). We must satisfy Nasdaq’s continued listing requirements, including, among other things, a minimum bid price for our common stock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December 6, 2022, we received a written notice from Nasdaq notifying us that, based upon the closing bid price of our common stock for the prior 30 consecutive business days, our common stock did not meet the minimum bid price of $1.00 per share required by Nasdaq Listing Rule 5450(a)(1), initiating an automatic 180 calendar-day grace period for us to regain compliance.</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we have a period of 180 calendar days from the date of the notification, or until June 5, 2023, to achieve compliance with the minimum bid price requirement. We will regain compliance with the minimum bid price requirement if at any time before June 5, 2023, the bid price for our common stock closes at or above $1.00 per share for a minimum of 10 consecutive business days.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may choose on or before June 5, 2023 to transfer to the Nasdaq Capital Market and apply for a second 180 calendar day period to regain complaince. If we do not regain compliance within the allotted compliance periods, including any extensions that may be granted by Nasdaq, Nasdaq will provide notice that our common stock will be subject to delisting. At such time, we may appeal the delisting determination to a hearings panel.</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intend to continue to monitor the bid price levels for our common stock and will consider appropriate alternatives to achieve compliance within the 180 calendar-day compliance periods, including, among other things, a potential reverse stock split. There can be no assurance, however, that we will be able to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and operations are located in Cambridge, Massachusetts. We currently lease laboratory and office space at 301 Binney Street in Cambridge. Our 301 Binney Street lease expires in 2028. We believe that our facilities are suitable and adequate for our needs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79" w:name="page80"/>
    <w:bookmarkEnd w:id="7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20"/>
        <w:spacing w:after="0" w:line="38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Capital Market under the symbol “SYBX” since August 28, 2017, prior to which it was traded under the symbol “MIRN”.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22, 2023, there were approximately 105 stockholders of record of our common stock.</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to our stockholders since our inception, and we do not plan to declare or pay cash dividends in the foreseeable future. We currently anticipate that we will retain any future earnings for the operation and expansion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repurchases of common stock during the quarter ended December 31, 2022:</w:t>
      </w:r>
    </w:p>
    <w:p>
      <w:pPr>
        <w:spacing w:after="0" w:line="221" w:lineRule="exact"/>
        <w:rPr>
          <w:sz w:val="20"/>
          <w:szCs w:val="20"/>
          <w:color w:val="auto"/>
        </w:rPr>
      </w:pPr>
    </w:p>
    <w:tbl>
      <w:tblPr>
        <w:tblLayout w:type="fixed"/>
        <w:tblInd w:w="63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33"/>
        </w:trPr>
        <w:tc>
          <w:tcPr>
            <w:tcW w:w="2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r>
      <w:tr>
        <w:trPr>
          <w:trHeight w:val="188"/>
        </w:trPr>
        <w:tc>
          <w:tcPr>
            <w:tcW w:w="2120" w:type="dxa"/>
            <w:vAlign w:val="bottom"/>
            <w:tcBorders>
              <w:left w:val="single" w:sz="8" w:color="auto"/>
              <w:right w:val="single" w:sz="8" w:color="auto"/>
            </w:tcBorders>
          </w:tcPr>
          <w:p>
            <w:pPr>
              <w:ind w:left="820"/>
              <w:spacing w:after="0" w:line="188" w:lineRule="exact"/>
              <w:rPr>
                <w:sz w:val="20"/>
                <w:szCs w:val="20"/>
                <w:color w:val="auto"/>
              </w:rPr>
            </w:pPr>
            <w:r>
              <w:rPr>
                <w:rFonts w:ascii="Times New Roman" w:cs="Times New Roman" w:eastAsia="Times New Roman" w:hAnsi="Times New Roman"/>
                <w:sz w:val="18"/>
                <w:szCs w:val="18"/>
                <w:color w:val="auto"/>
              </w:rPr>
              <w:t>Period</w:t>
            </w:r>
          </w:p>
        </w:tc>
        <w:tc>
          <w:tcPr>
            <w:tcW w:w="240" w:type="dxa"/>
            <w:vAlign w:val="bottom"/>
            <w:tcBorders>
              <w:right w:val="single" w:sz="8" w:color="auto"/>
            </w:tcBorders>
          </w:tcPr>
          <w:p>
            <w:pPr>
              <w:spacing w:after="0"/>
              <w:rPr>
                <w:sz w:val="16"/>
                <w:szCs w:val="16"/>
                <w:color w:val="auto"/>
              </w:rPr>
            </w:pPr>
          </w:p>
        </w:tc>
        <w:tc>
          <w:tcPr>
            <w:tcW w:w="116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Total Number</w:t>
            </w:r>
          </w:p>
        </w:tc>
        <w:tc>
          <w:tcPr>
            <w:tcW w:w="180" w:type="dxa"/>
            <w:vAlign w:val="bottom"/>
            <w:tcBorders>
              <w:right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Average Price</w:t>
            </w:r>
          </w:p>
        </w:tc>
        <w:tc>
          <w:tcPr>
            <w:tcW w:w="24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Total Number of</w:t>
            </w:r>
          </w:p>
        </w:tc>
        <w:tc>
          <w:tcPr>
            <w:tcW w:w="2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Approximate Dollar Value of</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Shares</w:t>
            </w:r>
          </w:p>
        </w:tc>
        <w:tc>
          <w:tcPr>
            <w:tcW w:w="18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Paid per</w:t>
            </w:r>
          </w:p>
        </w:tc>
        <w:tc>
          <w:tcPr>
            <w:tcW w:w="24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Purchased</w:t>
            </w:r>
          </w:p>
        </w:tc>
        <w:tc>
          <w:tcPr>
            <w:tcW w:w="2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that May Yet Be</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Purchased(1)</w:t>
            </w:r>
          </w:p>
        </w:tc>
        <w:tc>
          <w:tcPr>
            <w:tcW w:w="18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Share(2)</w:t>
            </w:r>
          </w:p>
        </w:tc>
        <w:tc>
          <w:tcPr>
            <w:tcW w:w="24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Part of Publicly</w:t>
            </w:r>
          </w:p>
        </w:tc>
        <w:tc>
          <w:tcPr>
            <w:tcW w:w="2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Purchased Under Plans or</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Announced Plans</w:t>
            </w:r>
          </w:p>
        </w:tc>
        <w:tc>
          <w:tcPr>
            <w:tcW w:w="2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Programs</w:t>
            </w:r>
          </w:p>
        </w:tc>
      </w:tr>
      <w:tr>
        <w:trPr>
          <w:trHeight w:val="261"/>
        </w:trPr>
        <w:tc>
          <w:tcPr>
            <w:tcW w:w="2120" w:type="dxa"/>
            <w:vAlign w:val="bottom"/>
            <w:tcBorders>
              <w:left w:val="single" w:sz="8" w:color="auto"/>
              <w:bottom w:val="single" w:sz="8" w:color="auto"/>
              <w:right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Programs</w:t>
            </w:r>
          </w:p>
        </w:tc>
        <w:tc>
          <w:tcPr>
            <w:tcW w:w="240" w:type="dxa"/>
            <w:vAlign w:val="bottom"/>
            <w:tcBorders>
              <w:bottom w:val="single" w:sz="8" w:color="auto"/>
              <w:right w:val="single" w:sz="8" w:color="auto"/>
            </w:tcBorders>
          </w:tcPr>
          <w:p>
            <w:pPr>
              <w:spacing w:after="0"/>
              <w:rPr>
                <w:sz w:val="22"/>
                <w:szCs w:val="22"/>
                <w:color w:val="auto"/>
              </w:rPr>
            </w:pPr>
          </w:p>
        </w:tc>
        <w:tc>
          <w:tcPr>
            <w:tcW w:w="2640" w:type="dxa"/>
            <w:vAlign w:val="bottom"/>
            <w:tcBorders>
              <w:bottom w:val="single" w:sz="8" w:color="auto"/>
              <w:right w:val="single" w:sz="8" w:color="auto"/>
            </w:tcBorders>
          </w:tcPr>
          <w:p>
            <w:pPr>
              <w:spacing w:after="0"/>
              <w:rPr>
                <w:sz w:val="22"/>
                <w:szCs w:val="22"/>
                <w:color w:val="auto"/>
              </w:rPr>
            </w:pPr>
          </w:p>
        </w:tc>
      </w:tr>
      <w:tr>
        <w:trPr>
          <w:trHeight w:val="191"/>
        </w:trPr>
        <w:tc>
          <w:tcPr>
            <w:tcW w:w="21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November 1, 2022 to</w:t>
            </w:r>
          </w:p>
        </w:tc>
        <w:tc>
          <w:tcPr>
            <w:tcW w:w="240" w:type="dxa"/>
            <w:vAlign w:val="bottom"/>
            <w:tcBorders>
              <w:right w:val="single" w:sz="8" w:color="auto"/>
            </w:tcBorders>
          </w:tcPr>
          <w:p>
            <w:pPr>
              <w:spacing w:after="0"/>
              <w:rPr>
                <w:sz w:val="16"/>
                <w:szCs w:val="16"/>
                <w:color w:val="auto"/>
              </w:rPr>
            </w:pPr>
          </w:p>
        </w:tc>
        <w:tc>
          <w:tcPr>
            <w:tcW w:w="11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4,196,889</w:t>
            </w:r>
          </w:p>
        </w:tc>
        <w:tc>
          <w:tcPr>
            <w:tcW w:w="180" w:type="dxa"/>
            <w:vAlign w:val="bottom"/>
            <w:tcBorders>
              <w:right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$0.60</w:t>
            </w:r>
          </w:p>
        </w:tc>
        <w:tc>
          <w:tcPr>
            <w:tcW w:w="24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ind w:left="720"/>
              <w:spacing w:after="0" w:line="191" w:lineRule="exact"/>
              <w:rPr>
                <w:sz w:val="20"/>
                <w:szCs w:val="20"/>
                <w:color w:val="auto"/>
              </w:rPr>
            </w:pPr>
            <w:r>
              <w:rPr>
                <w:rFonts w:ascii="Times New Roman" w:cs="Times New Roman" w:eastAsia="Times New Roman" w:hAnsi="Times New Roman"/>
                <w:sz w:val="18"/>
                <w:szCs w:val="18"/>
                <w:color w:val="auto"/>
              </w:rPr>
              <w:t>__</w:t>
            </w:r>
          </w:p>
        </w:tc>
        <w:tc>
          <w:tcPr>
            <w:tcW w:w="2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1220"/>
              <w:spacing w:after="0" w:line="191" w:lineRule="exact"/>
              <w:rPr>
                <w:sz w:val="20"/>
                <w:szCs w:val="20"/>
                <w:color w:val="auto"/>
              </w:rPr>
            </w:pPr>
            <w:r>
              <w:rPr>
                <w:rFonts w:ascii="Times New Roman" w:cs="Times New Roman" w:eastAsia="Times New Roman" w:hAnsi="Times New Roman"/>
                <w:sz w:val="18"/>
                <w:szCs w:val="18"/>
                <w:color w:val="auto"/>
              </w:rPr>
              <w:t>__</w:t>
            </w:r>
          </w:p>
        </w:tc>
      </w:tr>
      <w:tr>
        <w:trPr>
          <w:trHeight w:val="241"/>
        </w:trPr>
        <w:tc>
          <w:tcPr>
            <w:tcW w:w="2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30, 2022</w:t>
            </w: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r>
      <w:tr>
        <w:trPr>
          <w:trHeight w:val="211"/>
        </w:trPr>
        <w:tc>
          <w:tcPr>
            <w:tcW w:w="2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December 1, 2022 to</w:t>
            </w:r>
          </w:p>
        </w:tc>
        <w:tc>
          <w:tcPr>
            <w:tcW w:w="240" w:type="dxa"/>
            <w:vAlign w:val="bottom"/>
            <w:tcBorders>
              <w:right w:val="single" w:sz="8" w:color="auto"/>
            </w:tcBorders>
          </w:tcPr>
          <w:p>
            <w:pPr>
              <w:spacing w:after="0"/>
              <w:rPr>
                <w:sz w:val="18"/>
                <w:szCs w:val="18"/>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__</w:t>
            </w:r>
          </w:p>
        </w:tc>
        <w:tc>
          <w:tcPr>
            <w:tcW w:w="18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__</w:t>
            </w:r>
          </w:p>
        </w:tc>
        <w:tc>
          <w:tcPr>
            <w:tcW w:w="24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__</w:t>
            </w:r>
          </w:p>
        </w:tc>
        <w:tc>
          <w:tcPr>
            <w:tcW w:w="2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__</w:t>
            </w:r>
          </w:p>
        </w:tc>
      </w:tr>
      <w:tr>
        <w:trPr>
          <w:trHeight w:val="241"/>
        </w:trPr>
        <w:tc>
          <w:tcPr>
            <w:tcW w:w="2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r>
    </w:tbl>
    <w:p>
      <w:pPr>
        <w:spacing w:after="0" w:line="306" w:lineRule="exact"/>
        <w:rPr>
          <w:sz w:val="20"/>
          <w:szCs w:val="20"/>
          <w:color w:val="auto"/>
        </w:rPr>
      </w:pPr>
    </w:p>
    <w:p>
      <w:pPr>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2022, we purchased an aggregate of 4,196,889 shares of common stock in a privately negotiated transaction. See Note 13 of the Notes to Consolidated Financial Statements included in Item 8 of this Annual Report on Form 10-K for additional information related to share repurchases.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costs associated with the repurchases.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Synlogic is a late clinical-stage biotechnology company advancing the design and development of biotherapeutics based on synthetic biology. Synthetic biology leverages the application of engineering principles in the design of biological systems, genetic circuits and molecular components. We apply the power of synthetic biology to medicine, combining precision engineering with rational drug development to develop Synthetic Biotics. Synthetic Biotics are living probiotics genetically engineered to perform specific functions in the gastrointestinal (GI) tract targeting validated biology. Because Synthetic Biotics are orally administered and are based on familiar probiotics as their delivery method, or chassis, they offer a potentially convenient and safe approach to treatment.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Candidate Pipeline</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Synlogic’s pipeline includes SYNB1934, its lead program in phenylketonuria (PKU), which has demonstrated clinical proof of concept and is anticipated to enter Synpheny-3, its pivotal Phase 3 study in the first half of 2023. Our pipeline also includes novel drug candidates designed to treat homocystinuria (HCU), enteric hyperoxaluria and gout. Synlogic is working with Roche under a research collaboration focused on the discovery of a novel Synthetic Biotic for the treatment of inflammatory bowel disease (IBD) and with Ginkgo Bioworks, Inc. (Ginkgo) on additional undisclosed preclinical assets, combining Synlogic’s approach to Synthetic Biotics with Ginkgo’s Codebase and Foundry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128270</wp:posOffset>
            </wp:positionV>
            <wp:extent cx="5237480" cy="26485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3748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Metabolic Disease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Metabolic diseases are disorders resulting from defects or alterations in how our bodies break down or produce important metabolites or molecules. In patients with these diseases, the absence of certain enzymes causes metabolites to accumulate in the gut and systemically throughout the body. In patients with PKU and HCU, these metabolites build up to toxic levels resulting in serious health consequences, including the possibility of irreversible neurological dysfunction.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PKU</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3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lead PKU program, SYNB1934, is an orally administered, non-systemically absorbed drug candidate based on a genetically engineered form of the probiotic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SYNB1934 was designed to produce the enzymes LAAD and PAL to metabolize the amino acid phenylalanine (Phe), which can reach neurotoxic levels in people with PKU or hyperphenylalanemia (a term for less severe forms of inherited deficits in Phe metabolism). Treatment options for PKU are currently limited due to efficacy and safety, with the vast majority remaining in need of treatment, and many of those who are treated in need of additional Phe-lowering. Findings to date support the potential for an efficacious, safe, convenient, and flexible treatment option for PKU. An earlier generation of the same drug candidate, SYNB1618, received both Orphan Drug and Fast Track designations by the FDA and a positive opinion on orphan designation from the EMA. In October 2022, we announced positive findings for both SYNB1618 and SYNB1934 from the Phase 2 Synpheny-1 study and confirmed that SYNB1934 would be the candidate advancing to Synpheny-3, a pivotal Phase 3 study, expected to begin during the first half of 2023. In January 2023, we announced that the FDA granted Rare Pediatric Disease Designation to SYNB1934 for the treatment of PKU.</w:t>
      </w:r>
    </w:p>
    <w:p>
      <w:pPr>
        <w:spacing w:after="0" w:line="21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Following the study using the liquid formulation, we developed a solid oral lyophilized formulation of SYNB1618. We have evaluated this oral formulation in a bridging study in healthy volunteers. The study of this more patient-and commercialization-appropriate presentation of SYNB1618 demonstrated activity and improved tolerability over the liquid formulation.</w:t>
      </w:r>
    </w:p>
    <w:p>
      <w:pPr>
        <w:spacing w:after="0" w:line="21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initiated a Phase 2 clinical trial with SYNB1618 in the third quarter of 2020, referred to as the Synpheny-1 Study. The Synpheny-1 Study was designed to evaluate safety and tolerability of a solid oral formulation of SYNB1618 as well as its potential to lower blood Phe levels in adult PKU patients. In September 2021, an interim analysis of the ongoing Synpheny-1 study found that SYNB1618 demonstrated statistically significant reductions in blood Phe levels.</w:t>
      </w:r>
    </w:p>
    <w:p>
      <w:pPr>
        <w:spacing w:after="0" w:line="207"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Our second development candidate for PKU, SYNB1934, was engineered to potentially provide increased Phe lowering activity compared to SYNB1618. In July 2021, we initiated clinical studies of a solid oral formulation of SYNB1934 following preclinical in vivo and in vitro studies demonstrating an approximately two-fold improvement in the ability of SYNB1934 to metabolize Phe compared to SYNB1618.</w:t>
      </w:r>
    </w:p>
    <w:p>
      <w:pPr>
        <w:spacing w:after="0" w:line="20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In September 2021, we announced results from a comparison of SYNB1618 and SYNB1934 activity in a Phase 1 healthy volunteer study.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SYNB1934 showed an approximately two-fold higher activity level than SYNB1618 in a comparative analysis based on biomarkers of Phe metabolism.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SYNB1934 demonstrated a safety and tolerability profile similar to other Synthetic Biotics, including SYNB1618, at equivalent doses.</w:t>
      </w:r>
    </w:p>
    <w:p>
      <w:pPr>
        <w:spacing w:after="0" w:line="23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SYNB1934 clinical results in healthy volunteers were consistent with preclinical data and previously presented prospective biomarker-driven modeling. We believed that the increased activity of SYNB1934, relative to SYNB1618, could provide the opportunity to optimize the clinical profile based on individual patient needs. Accordingly, we added an arm evaluating SYNB1934 to the ongoing Synpheny-1 Phase 2 study. Positive top-line data from the Synpheny-1 Phase 1 study were announced in October 2022, and in March 2023, the data was presented in full at the Society for Inborn Metabolic Disorders (SIMD) Annual Meeting.</w:t>
      </w:r>
    </w:p>
    <w:p>
      <w:pPr>
        <w:spacing w:after="0" w:line="21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Based on data obtained across the PKU program, we have decided that SYNB1934 will advance to Synpheny-3, a Phase 3 pivotal study, which we plan to begin in the first half of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Homocystinuria</w:t>
      </w:r>
    </w:p>
    <w:p>
      <w:pPr>
        <w:spacing w:after="0" w:line="13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Homocystinuria (HCU) is a rare inherited metabolic disorder that affects the metabolism of the amino acid methionine, a protein found in many foods including meat, fish, and dairy products. HCU is caused by a genetic defect which results in the absence of an enzyme known as cystathionine beta-synthase (CBS). When CBS is absent, homocysteine and other toxic chemicals and their byproducts, including methionine, build up in the blood and urine. Elevated homocysteine levels are associated with a multisystem disorder, including impairments of the eye (ectopia lentis and/or severe myopia), skeletal system (excessive height, long limbs, scoliosis, pectus excavatum), vascular system (thromboembolism), and CNS (development delay and intellectual disability).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2" w:name="page83"/>
    <w:bookmarkEnd w:id="82"/>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November 2021 we announced the nomination of SYNB1353, a novel, orally administered, non-systemically absorbed live biotherapeutic drug candidate engineered to consume methionine, a precursor of homocysteine, in the GI tract thereby lowering tHcy in HCU patients. The rationale for this approach includes the methionine-restricted diet which is a standard of care in HCU to lower and control homocysteine levels. SYNB1353 was developed as part of a research collaboration with Ginkgo. We hold worldwide development and commercialization rights to SYNB1353. In November 2022, we announced proof of mechanism was achieved based on the positive findings from a Phase 1 study in healthy volunteers using a dietary model of homocystinuria, which showed that SYNB1353 reduced plasma methionine by metabolizing methionine and preventing its absorption in the GI tract. To date, the FDA has granted SYNB1353 Fast Track, Orphan Drug, and Rare Pediatric Disease designations as a potential treatment for HCU.</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Enteric Hyperoxaluria</w:t>
      </w:r>
    </w:p>
    <w:p>
      <w:pPr>
        <w:spacing w:after="0" w:line="13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Enteric hyperoxaluria is a chronic, progressive disease characterized by high levels of urinary oxalate (Uox), a well-recognized cause of recurrent kidney stones with no approved treatment options. It is caused by fat malabsorption due to insults to the GI tract typically caused by surgery or disease such as Crohn’s, which leads to increased absorption of dietary oxalate, which is present in many common foods including leafy greens, nuts, and chocolate, and elevated urinary oxalate levels. The increased absorption into the circulation can crystal formation in the kidneys, reflected in dangerously high levels of Uox and with the potential to result in both recurrent kidney stones and progressive kidney damage. In May 2020, we announced the nomination of a clinical candidate for enteric hyperoxaluria, SYNB8802. In 2021, Synlogic reported positive proof-of-mechanism for SYNB8802 from a Phase 1b study that demonstrated lowering of urinary and fecal oxalate levels in healthy volunteers with diet-induced hyperoxaluria. In December of 2022, we announced that SYNB8802 achieved proof of concept, and that dosing with SYNB8802 was associated with a dose-dependent reduction in Uox, with a -28% lowering (-37.2, -18.2) from baseline in Uox vs. placebo at the 1x10</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8"/>
          <w:szCs w:val="18"/>
          <w:color w:val="auto"/>
        </w:rPr>
        <w:t xml:space="preserve"> TID dose, and a -38% (-46.4, -28.7) lowering from baseline in Uox vs. placebo at the 3x10</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8"/>
          <w:szCs w:val="18"/>
          <w:color w:val="auto"/>
        </w:rPr>
        <w:t xml:space="preserve"> TID dose.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Gout</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SYNB2081 is a Synthetic Biotic designed to consume uric acid in the GI tract with the goal of lowering systemic uric acid levels as a potential treatment for gout, a complex form of inflammatory arthritis. Current treatment options present limitations in both safety and efficacy. SYNB2081 presents a novel, orally administered, non-systemically absorbed drug candidate created through a research collaboration between Synlogic and Ginkgo, the leading horizontal platform for cell programming. Gout occurs when excess uric acid in the body forms crystals in the joints. Patients can experience symptoms such as intense joint pain, inflammation and redness, and limited range of motion in the affected joints due to excessive levels of uric acid. In addition, gout is a recognized risk factor in chronic kidney disease. Due to present limitations in current treatment options, we believe that there is a clear need for a new approach. In August 2022, we announced SYNB2081 as our drug candidate for the potential treatment of gout and the second product candidate to advance to clinical development through our collaboration with Ginkgo. Our plan is to continue moving SYNB2081 to the next stage of our drug development pipeline, and it is currently in IND-enabling studies.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Programs in Metabolic &amp; Immunological Diseases</w:t>
      </w:r>
    </w:p>
    <w:p>
      <w:pPr>
        <w:spacing w:after="0" w:line="13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Synthetic Biotic approach is particularly well-suited for addressing known disease targets that have been associated with validated biological pathways in metabolic and immunological diseases. 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allows for the effective programming of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coli </w:t>
      </w:r>
      <w:r>
        <w:rPr>
          <w:rFonts w:ascii="Times New Roman" w:cs="Times New Roman" w:eastAsia="Times New Roman" w:hAnsi="Times New Roman"/>
          <w:sz w:val="18"/>
          <w:szCs w:val="18"/>
          <w:color w:val="auto"/>
        </w:rPr>
        <w:t>Nissle to execute these functions, including the metabolic production of factors such as short chain fatty acids to enhance barrier function,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secreting proteins, such as immunomodulatory cytokines.</w:t>
      </w:r>
    </w:p>
    <w:p>
      <w:pPr>
        <w:spacing w:after="0" w:line="23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Current approaches to treat IBD are focused on therapeutics that modulate the immune system and suppress inflammation. These therapies include steroids, such as prednisone, and tumor necrosis factor inhibitors, such as Humira®(adalimumab). However, these approaches are associated with systemic immunosuppression, which includes greater susceptibility to infectious diseases and cancer. According to the CDC, in 2015 an estimated three million adults in the United States are reported as being diagnosed with IBD. In June of 2021 we entered into a research collaboration agreement with Roche for the discovery of a novel Synthetic Biotic for the treatment of IBD. In addition, we continue to advance additional, wholly-owned preclinical research efforts in IBD.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24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developed a portfolio of Synthetic Biotics to treat certain cancers which were designed to modify the tumor microenvironment, activate the immune system and result in tumor reduction. These Synthetic Biotics could be used in combination with other cancer therapies such as checkpoint inhibitors. Our Synthetic Biotic clinical immuno-oncology (IO) candidate is SYNB1891, an intratumorally administered Synthetic Biotic medicine engineered to act as a dual innate and adaptive immune activator. On November 10, 2021, we announced that our Phase 1 trial of SYNB1891 in combination with PD-L1 checkpoint inhibitor patients with advanced solid tumors or lymphoma had completed enrollment. No further studies are planned for SYNB1891 and we are focusing our research and development efforts specifically on metabolic and immunological diseases.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$66.1 million and $60.6 million for the years ended December 31, 2022 and 2021, respectively. As of December 31, 2022 and 2021, we had an accumulated deficit of approximately $357.0 million and $290.9 million, respectively, and we expect to incur losses for the foreseeable future as we develop our product candidates. We expect our expenses and capital requirements will increase substantially in connection with our ongoing activities, as we:</w:t>
      </w:r>
    </w:p>
    <w:p>
      <w:pPr>
        <w:spacing w:after="0" w:line="75" w:lineRule="exact"/>
        <w:rPr>
          <w:sz w:val="20"/>
          <w:szCs w:val="20"/>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initiate and complete clinical trials for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product candidates or manufacture product candidates internally;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commercial and management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 on our business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COVID-19 pandemic continues to affect economies and business around the world. The extent and duration of such effects remain uncertain and difficult to predict, particularly as virus variants continue to spread. We are actively monitoring and managing our response and assessing actual and potential impacts to our operating results and financial condition, as well as developments in our business, which could further impact the developments, trends and expectations described below. See the risk factor related to the impact of the COVID-19 pandemic, “A pandemic, epidemic, or outbreak of an infectious disease, such as COVID-19, or geopolitical tensions, such as the armed conflict between Russia and Ukraine, may materially and adversely affect our business and our financial results” described in “Risk Factors” in Part I, Item 1A of this Annual Report on Form 10-K.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Revenue for the year ended December 31, 2022 was generated from the Roche Collaboration and Option Agreement. See Note 10,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Roche Collaboration </w:t>
      </w:r>
      <w:r>
        <w:rPr>
          <w:rFonts w:ascii="Times New Roman" w:cs="Times New Roman" w:eastAsia="Times New Roman" w:hAnsi="Times New Roman"/>
          <w:sz w:val="18"/>
          <w:szCs w:val="18"/>
          <w:color w:val="auto"/>
        </w:rPr>
        <w:t>in the notes to the consolidated financial statements appearing elsewhere in this Annual Report on Form 10-K for a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this arrangement.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820" w:hanging="37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17"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Annual Report on Form 10-K.</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When we invest in our pipeline,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5" w:name="page86"/>
    <w:bookmarkEnd w:id="85"/>
    <w:p>
      <w:pPr>
        <w:ind w:firstLine="509"/>
        <w:spacing w:after="0" w:line="256"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SYNB1934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shd w:val="clear" w:color="auto" w:fill="CFF0FC"/>
          </w:tcPr>
          <w:p>
            <w:pPr>
              <w:spacing w:after="0"/>
              <w:rPr>
                <w:sz w:val="20"/>
                <w:szCs w:val="20"/>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SYNB1618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SYNB8802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80" w:type="dxa"/>
            <w:vAlign w:val="bottom"/>
            <w:shd w:val="clear" w:color="auto" w:fill="CFF0FC"/>
          </w:tcPr>
          <w:p>
            <w:pPr>
              <w:spacing w:after="0"/>
              <w:rPr>
                <w:sz w:val="21"/>
                <w:szCs w:val="21"/>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SYNB1353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SYNB1891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shd w:val="clear" w:color="auto" w:fill="CFF0FC"/>
          </w:tcPr>
          <w:p>
            <w:pPr>
              <w:spacing w:after="0"/>
              <w:rPr>
                <w:sz w:val="21"/>
                <w:szCs w:val="21"/>
                <w:color w:val="auto"/>
              </w:rPr>
            </w:pPr>
          </w:p>
        </w:tc>
      </w:tr>
      <w:tr>
        <w:trPr>
          <w:trHeight w:val="21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External pre-development candidate expenses and unallocated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80" w:type="dxa"/>
            <w:vAlign w:val="bottom"/>
          </w:tcPr>
          <w:p>
            <w:pPr>
              <w:spacing w:after="0"/>
              <w:rPr>
                <w:sz w:val="20"/>
                <w:szCs w:val="20"/>
                <w:color w:val="auto"/>
              </w:rPr>
            </w:pPr>
          </w:p>
        </w:tc>
      </w:tr>
      <w:tr>
        <w:trPr>
          <w:trHeight w:val="245"/>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8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-187960</wp:posOffset>
            </wp:positionV>
            <wp:extent cx="603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and research and development expenses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appearing elsewhere in this Annual Report on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evaluate collaboration agreements with respect to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considering the nature and contractual terms of the arrangement and the nature of our business operations to determine the classification of the transactions. When we are an active participant in the activity and exposed to significant risks and rewards dependent on the commercial success of the collaboration, we will record our transactions on a gross basis in the consolidated financial statements and describe the rights and obligations under the collaborative arrangement in the notes to the consolidated financial statements.</w:t>
      </w:r>
    </w:p>
    <w:p>
      <w:pPr>
        <w:spacing w:after="0" w:line="18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analysis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enter into collaboration agreements for research and development services, under which we may license certain rights to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to not be at a significant risk of reversal.</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we fulfill our obligations under each of our agreements for which the collaboration partner is also a customer,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contract term and pattern of satisfaction of the performance obligations under step (v) above. We use significant judgment to determine whether milestones or other variable consideration, except for royalties, should be included in the transaction price as described further below. The transaction price is allocated to the goods and services we expect to provide. We use estimates to determine the timing of satisfaction of performance obligations, which may include the use of full-time equivalent time as a measure of satisfaction of performance obligations.</w:t>
      </w:r>
    </w:p>
    <w:p>
      <w:pPr>
        <w:spacing w:after="0" w:line="19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our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Licenses of Intellectual Property</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Services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Options</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an alternative approach when the goods or services are both (i) similar to the original goods and services in the contract and (ii) provided in accordance with the terms of the original contract. Under this alternative, we allocate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Milestone Payments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we evaluate whether a significant reversal of cumulative revenue provided in conjunction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Milestone payments that are not within our control or the licensee, such as regulatory approvals, are not considered probable of being achieved until those approvals are received. For other milestones, we evaluate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we reevaluate the probability of achievement of all milestones subject to constraint and, if necessary, adjusts our estimate of the overall transaction price. Any such adjustments are recorded on a cumulative catch-up basis, which would affect revenues and earnings in the period of adjustment.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recognize as an asset the incremental costs of obtaining a contract with a customer if the costs are expected to be recovered. As a practical expedient, we recognize the incremental costs of obtaining a contract as an expense when incurred if the amortization period of the asset that we otherwise would have recognized is one year or less. To date, we have not incurred any incremental costs of obtaining a contract with a customer.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All research and development expenses are expensed as incurred. Research and development expenses comprise costs incurred in performing research and development activities, including compensation, benefits and other employee costs;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laboratory and clinical supplies and other direct expenses; facilities expenses; overhead expenses; fees for contractual services, including preclinical studies, clinical trials, clinical manufacturing and raw materials; and other external expenses. Nonrefundable advance payments for research and development activities are capitalized and expensed over the related service period or as goods are received and services are performed. When third-party service providers’ billing terms do not coincide with our period-end, we are required to make estimates of our obligations to those third parties, including clinical trial costs, contractual service costs and costs for supply of our drug candidates, incurred in a given accounting period and record accruals at the end of the period. We base our estimates on the completion status of the research and development programs and the associated estimate of unbilled costs.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80" w:type="dxa"/>
            <w:vAlign w:val="bottom"/>
          </w:tcPr>
          <w:p>
            <w:pPr>
              <w:spacing w:after="0"/>
              <w:rPr>
                <w:sz w:val="20"/>
                <w:szCs w:val="20"/>
                <w:color w:val="auto"/>
              </w:rPr>
            </w:pPr>
          </w:p>
        </w:tc>
      </w:tr>
      <w:tr>
        <w:trPr>
          <w:trHeight w:val="23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xml:space="preserve">(67,419 </w:t>
            </w:r>
            <w:r>
              <w:rPr>
                <w:rFonts w:ascii="Times New Roman" w:cs="Times New Roman" w:eastAsia="Times New Roman" w:hAnsi="Times New Roman"/>
                <w:sz w:val="18"/>
                <w:szCs w:val="18"/>
                <w:color w:val="auto"/>
                <w:highlight w:val="white"/>
              </w:rPr>
              <w:t>)</w:t>
            </w:r>
          </w:p>
        </w:tc>
        <w:tc>
          <w:tcPr>
            <w:tcW w:w="3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(60,765 </w:t>
            </w:r>
            <w:r>
              <w:rPr>
                <w:rFonts w:ascii="Times New Roman" w:cs="Times New Roman" w:eastAsia="Times New Roman" w:hAnsi="Times New Roman"/>
                <w:sz w:val="18"/>
                <w:szCs w:val="18"/>
                <w:color w:val="auto"/>
                <w:highlight w:val="white"/>
              </w:rPr>
              <w:t>)</w:t>
            </w: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(2 )</w:t>
            </w: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41"/>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FF0FC"/>
          </w:tcPr>
          <w:p>
            <w:pPr>
              <w:spacing w:after="0"/>
              <w:rPr>
                <w:sz w:val="20"/>
                <w:szCs w:val="20"/>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(66,147 )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(60,561 )</w:t>
            </w:r>
          </w:p>
        </w:tc>
      </w:tr>
      <w:tr>
        <w:trPr>
          <w:trHeight w:val="20"/>
        </w:trPr>
        <w:tc>
          <w:tcPr>
            <w:tcW w:w="6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right="53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2022 Compared to Year Ended December 31, 2021 </w:t>
      </w:r>
      <w:r>
        <w:rPr>
          <w:rFonts w:ascii="Times New Roman" w:cs="Times New Roman" w:eastAsia="Times New Roman" w:hAnsi="Times New Roman"/>
          <w:sz w:val="18"/>
          <w:szCs w:val="18"/>
          <w:b w:val="1"/>
          <w:bCs w:val="1"/>
          <w:i w:val="1"/>
          <w:iCs w:val="1"/>
          <w:color w:val="auto"/>
        </w:rPr>
        <w:t>Revenue</w:t>
      </w:r>
    </w:p>
    <w:p>
      <w:pPr>
        <w:spacing w:after="0" w:line="5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(574 )</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-147955</wp:posOffset>
            </wp:positionV>
            <wp:extent cx="570039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1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Revenue was $1.2 million for the year ended December 31, 2022 compared to $1.8 million for the year ended December 31, 2021. Revenue for both periods was primarily related to services performed under the Roche collaboration that we entered into in June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jc w:val="center"/>
              <w:ind w:right="535"/>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260" w:type="dxa"/>
            <w:vAlign w:val="bottom"/>
            <w:vMerge w:val="continue"/>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-899160</wp:posOffset>
            </wp:positionV>
            <wp:extent cx="5700395"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00395" cy="3429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was $52.0 million for the year ended December 31, 2022 compared to $47.1 million for the year ended December 31, 2021. The increase of $4.9 million was due to increases of clinical development costs of $2.0 million for SYNB1353, and $0.3 million for SYNB1934, as well as an increase of $1.3 million of manufacturing costs and an increase of $0.8 million of non-clinical costs. There were additional increases of $1.3 million in compensation, benefits and other employee-related expenses, of which $0.7 million were a result of the reduction in workforce announced in November 2022. In addition, there were increases of $1.3 million in research and development support costs and $1.1 million in professional services. These increases were offset by decreases of clinical development costs of $2.1 million for SYNB8802 and $1.1 million for SYNB1891.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$16.6 million for the year ended December 31, 2022 compared to $15.4 million for the year ended December 31, 2021. The increase of $1.2 million was primarily due to an increase of $0.9 million in compensation, benefits and other employee-related expenses, of which $0.1 million were a result of the reduction in workforce announced in November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tcPr>
          <w:p>
            <w:pPr>
              <w:spacing w:after="0"/>
              <w:rPr>
                <w:sz w:val="20"/>
                <w:szCs w:val="20"/>
                <w:color w:val="auto"/>
              </w:rPr>
            </w:pPr>
          </w:p>
        </w:tc>
        <w:tc>
          <w:tcPr>
            <w:tcW w:w="620" w:type="dxa"/>
            <w:vAlign w:val="bottom"/>
          </w:tcPr>
          <w:p>
            <w:pPr>
              <w:jc w:val="center"/>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38"/>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(2 )</w:t>
            </w:r>
          </w:p>
        </w:tc>
        <w:tc>
          <w:tcPr>
            <w:tcW w:w="62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1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income for the year ended December 31, 2022 was $1.3 million compared to $0.2 million for the corresponding period in 2021. The increase in other income of $1.1 million was due to an increase in income earned on our cash, cash equivalents and short-term investment balances, primarily related to higher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December 31, 2022, we had an accumulated deficit of $357.0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December 31, 2022, we had $77.6 million in cash, cash equivalents, and short-term marketable securities. Our cash and cash equivalents include amounts held in money market funds, stated at cost plus unrealized gain and loss, which approximates fair market value. Our available-for-sale securities include amounts held in commercial paper and U.S.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our cash, cash equivalents and marketable securities balance decreased $59.0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These decreases were offset by the proceeds from maturity of marketable securities.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6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(56,888 )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(52,198 )</w:t>
            </w:r>
          </w:p>
        </w:tc>
      </w:tr>
      <w:tr>
        <w:trPr>
          <w:trHeight w:val="247"/>
        </w:trPr>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58,351</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(53,253 )</w:t>
            </w:r>
          </w:p>
        </w:tc>
      </w:tr>
      <w:tr>
        <w:trPr>
          <w:trHeight w:val="239"/>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0"/>
                <w:szCs w:val="20"/>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(2,040 )</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89,382</w:t>
            </w:r>
          </w:p>
        </w:tc>
        <w:tc>
          <w:tcPr>
            <w:tcW w:w="80" w:type="dxa"/>
            <w:vAlign w:val="bottom"/>
          </w:tcPr>
          <w:p>
            <w:pPr>
              <w:spacing w:after="0"/>
              <w:rPr>
                <w:sz w:val="20"/>
                <w:szCs w:val="20"/>
                <w:color w:val="auto"/>
              </w:rPr>
            </w:pPr>
          </w:p>
        </w:tc>
      </w:tr>
      <w:tr>
        <w:trPr>
          <w:trHeight w:val="277"/>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$56.9 million for the year ended December 31, 2022. The primary use of cash was our net loss of $66.1 million, partially offset by changes in our assets and liabilities of $0.7 million and $8.5 million of non-cash items primarily including depreciation, equity-based compensation, and the right of use asset. The changes in our assets and liabilities include decreases in the operating lease liability, decreases in prepaid expenses and other current assets, increases in prepaid research and development expenses, increases in accounts payable and accrued expenses, and increased deferred revenue.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$52.2 million for the year ended December 31, 2021. The primary use of cash was our net loss of $60.6 million, changes in our assets and liabilities of $0.2 million, partially offset by $8.2 million of non-cash items primarily including depreciation, equity-based compensation, and the right of use asset. The changes in our assets and liabilities include decreases in prepaid research and development expenses, as a result of the work being completed on the Ginkgo collaboration, decreases in prepaid expenses and other current assets, decreases in the operating lease liability, increases in accounts payable and accrued expenses, and increased deferred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was $58.4 million and resulted primarily from the proceeds from maturity of marketable securities of $141.9 million. This was offset by the purchases of marketable securities of $82.8 million and property and equipment of $0.7 million.</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$53.3 million and resulted primarily from the purchases of marketable securities of $167.9 million and property and equipment of $0.7 million. This was offset by the proceeds from maturity of marketable securities of $114.0 million and proceeds from redemption of marketable securities of $1.3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totaled $2.0 million, primarily related to the repurchase of our common stock of $2.5 million, partially offset by $0.3 million from the sale of our common stock in the ATM offering program, and $0.2 million of proceeds received from stock option exercises and purchases made pursuant to our employee stock purchase plan.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totaled $89.4 million, primarily related to net proceeds of $81.0 million from the sale of our common stock in underwritten public offerings in April and September 2021, $8.0 million from the sale of our common stock in the ATM offering program, and proceeds of $0.4 million from exercise of stock options and ESPP contributions, offset by payments of withholding taxes for employees relating to restricted stock awards.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1" w:name="page92"/>
    <w:bookmarkEnd w:id="91"/>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generating revenue from our Roche collaboration and have historically generated revenue from previous collaborations, but have not generated any product revenue since our inception and do not expect to generate any product revenue unless we receive regulatory approval for our product candidates. We believe that our cash, cash equivalents, and short-term marketable securities as of December 31, 2022, will be sufficient to meet our anticipated cash requirements for at least the next 12 months from the date of this filing. Specifically, based on our current forecast, our existing cash, cash equivalents and short-term marketable securities balances are expected to provide a cash runway extending into the second half of fiscal 2024.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Annual Report on Form 10-K. We have based our estimates on assumptions that may prove to be wrong, and we could utilize our available capital resources sooner than we currently expect.</w:t>
      </w:r>
    </w:p>
    <w:p>
      <w:pPr>
        <w:spacing w:after="0" w:line="18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68" w:lineRule="exact"/>
        <w:rPr>
          <w:sz w:val="20"/>
          <w:szCs w:val="20"/>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and Obligations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also have certain significant contractual obligations and commitments that require funding. Our commitments for operating leases relate to our lease of office and laboratory space at 301 Binney Street in Cambridge, Massachusetts and the cGMP clean-room space leased from the Azzur Group, LLC, in Waltham, Massachusetts.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July 2017, we entered into an agreement to lease 41,346 square feet of laboratory and office space at 301 Binney Street in Cambridge, Massachusetts. Annual rent is $3.4 million. The ten-year lease commenced in January 2018 and contains provisions for a free-rent period, annual rent increases and an allowance for tenant improvements. Additionally, we have paid for a tenant improvement investment of $2.9 million. In conjunction with the lease, we established a letter of credit of a $1.0 million.</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7, 2018, Synlogic Operating Company, Inc., a wholly-owned subsidiary of the Company, entered into a Statement of Work (the First SOW) with Azzur Group, LLC (Azzur) pursuant to a Master Contract Services Agreement (the Master Services Agreement), dated September 8, 2018, between the Company and Azzur.</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Pursuant to the First SOW, Azzur agreed to provide the Company with access to, and the use of, an approximately 700 square foot cleanroom space to be constructed in Waltham, Massachusetts (the Azzur Suite), for a period of 44 months, from May 1, 2019 to December 31, 2022 (the Initial Term). Azzur also agreed to provide the Company with storage space and personnel support at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2" w:name="page93"/>
    <w:bookmarkEnd w:id="92"/>
    <w:p>
      <w:pPr>
        <w:ind w:right="180"/>
        <w:spacing w:after="0" w:line="282" w:lineRule="auto"/>
        <w:rPr>
          <w:sz w:val="20"/>
          <w:szCs w:val="20"/>
          <w:color w:val="auto"/>
        </w:rPr>
      </w:pPr>
      <w:r>
        <w:rPr>
          <w:rFonts w:ascii="Times New Roman" w:cs="Times New Roman" w:eastAsia="Times New Roman" w:hAnsi="Times New Roman"/>
          <w:sz w:val="18"/>
          <w:szCs w:val="18"/>
          <w:color w:val="auto"/>
        </w:rPr>
        <w:t>Azzur Suite. The total estimated project cost during the Initial Term for access to, and use of, the cleanroom and storage space, and the personnel support and other services, was $4.8 million.</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April 2021, Synlogic entered into a new agreement (the Second SOW) with Azzur which replaced the First SOW. Pursuant to the Second SOW, Synlogic was granted access to, and use of, the Azzur Suite for a period of 20 months, from May 2021 to December 2022 (the Second Term). The Company determined that the agreement contained an embedded lease because the Company controls the use of the Azzur Suite. Accordingly, the fixed and in-substance fixed consideration under the agreement was used to remeasure the right-of-use (ROU) asset and lease liability at the effective date of the Second SOW.</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two Statements of Work with Azzur. Pursuant to the first of these SOWs (the Third SOW), the Company has agreed to pay Azzur $0.7 million to renovate and upgrade the cleanroom space at Azzur for the Company’s expanded use. The second of these SOWs (the Fourth SOW) replaces the Second SOW that the Company entered into with Azzur on April 29, 2021. The Fourth SOW extends the term of the lease, for the period beginning January 2022 through March 2023 (the Third Term). The Third and Fourth SOWs resulted in an adjustment to the operating lease right-of-use asset and corresponding operating lease liabilities of $1.8 million.</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new agreement (the Fifth SOW) with Azzur that extended the term of the lease, for the period beginning April 2023 through December 2023 (the Fourth Term). The Fifth SOW contains two options to extend the lease, the first option goes through June 2024, and the second option goes through December 2024. As of December 31, 2022, the Company determined that it was reasonably certain to exercise the first option to extend the lease. The Fifth SOW resulted in an adjustment to the operating lease right-of-use asset and corresponding operating lease liabilities of $1.0 million. The total remaining liability associated with the Azzur lease is approximately $2.9 million as of December 31, 2022.</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Fifth SOW on three months’ prior written notice at any time during the Term. In addition, either party may terminate the Master Services Agreement (including the SOWs) due to a breach by the other party and failure to cure. The Company is reasonably certain not to exercise the termination option through June 2024.</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we are a clinical stage company, we expect our most significant clinical trial expenditures will be with CROs and CMOs. These contracts generally are cancellable, with notice, at our option and do not have cancellation penalties.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alliances. If we cannot expand our operations or otherwise capitalize on our business opportunities because we lack sufficient capital, our business, financial condition and results of operations could be materially adversely affected.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read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consolidated financial statements included elsewhere in this Annual Report on Form 10-K.</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independent registered public accounting firm report thereon, appear at pages F-1 through F-26 respectively,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 In addition, our principal executive officer and principal financial officer have concluded that the impact of the COVID-19 pandemic did not impact our ability to maintain our internal controls over financial reporting and disclosure controls and procedures.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identified in connection with the evaluation of such internal control that occurred during our fiscal year ended December 31, 2022 that have materially affected, or are reasonably likely to materially affect, our internal controls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2022. In making this assessment, management used the criteria set forth by the Committee of Sponsoring Organizations of the Treadway Commission (COSO) in Internal Control-Integrated Framework (2013). Based on our assessment, management believes that, as of December 31, 2022, our internal control over financial reporting is effective based on those criteria.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the Effectiveness of Controls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2023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“Executive Officer and Director Compensation” in the Company’s Proxy Statement for the 2023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“Security Ownership of Certain Beneficial Owners and Management” in the Company’s Proxy Statement for the 2023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“Certain Relationships and Related Person Transactions” and “Management and Corporate Governance” in the Company’s Proxy Statement for the 2023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“Independent Registered Public Accounting Firm” in the Company’s Proxy Statement for the 2023 Annual Meeting of Stockholders.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6" w:name="page97"/>
    <w:bookmarkEnd w:id="9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15(a).</w:t>
      </w:r>
      <w:r>
        <w:rPr>
          <w:sz w:val="20"/>
          <w:szCs w:val="20"/>
          <w:color w:val="auto"/>
        </w:rPr>
        <w:tab/>
      </w:r>
      <w:r>
        <w:rPr>
          <w:rFonts w:ascii="Times New Roman" w:cs="Times New Roman" w:eastAsia="Times New Roman" w:hAnsi="Times New Roman"/>
          <w:sz w:val="17"/>
          <w:szCs w:val="17"/>
          <w:color w:val="auto"/>
        </w:rPr>
        <w:t>The following documents are filed as part of this Annual Report on Form 10-K:</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15(a)(1) and (2) </w:t>
      </w:r>
      <w:r>
        <w:rPr>
          <w:rFonts w:ascii="Times New Roman" w:cs="Times New Roman" w:eastAsia="Times New Roman" w:hAnsi="Times New Roman"/>
          <w:sz w:val="18"/>
          <w:szCs w:val="18"/>
          <w:color w:val="auto"/>
        </w:rPr>
        <w:t>See “Consolidated Financial Statements and Supplementary Data” at Item 8 to this Annual Report on Form 10-K. 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schedules have not been included because they are not applicable, or the information is included in the financial statements or notes thereto.</w:t>
      </w:r>
    </w:p>
    <w:p>
      <w:pPr>
        <w:spacing w:after="0" w:line="60" w:lineRule="exact"/>
        <w:rPr>
          <w:sz w:val="20"/>
          <w:szCs w:val="20"/>
          <w:color w:val="auto"/>
        </w:rPr>
      </w:pPr>
    </w:p>
    <w:p>
      <w:pPr>
        <w:ind w:right="21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15(a)(3) </w:t>
      </w:r>
      <w:r>
        <w:rPr>
          <w:rFonts w:ascii="Times New Roman" w:cs="Times New Roman" w:eastAsia="Times New Roman" w:hAnsi="Times New Roman"/>
          <w:sz w:val="18"/>
          <w:szCs w:val="18"/>
          <w:color w:val="auto"/>
        </w:rPr>
        <w:t>The following exhibits are filed as part of, or incorporated by reference into, this Annual Report on Form 10-K.</w:t>
      </w:r>
      <w:r>
        <w:rPr>
          <w:rFonts w:ascii="Times New Roman" w:cs="Times New Roman" w:eastAsia="Times New Roman" w:hAnsi="Times New Roman"/>
          <w:sz w:val="18"/>
          <w:szCs w:val="18"/>
          <w:b w:val="1"/>
          <w:bCs w:val="1"/>
          <w:color w:val="auto"/>
        </w:rPr>
        <w:t xml:space="preserve"> Exhibit 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720" w:type="dxa"/>
            <w:vAlign w:val="bottom"/>
          </w:tcPr>
          <w:p>
            <w:pPr>
              <w:spacing w:after="0"/>
              <w:rPr>
                <w:sz w:val="13"/>
                <w:szCs w:val="13"/>
                <w:color w:val="auto"/>
              </w:rPr>
            </w:pPr>
          </w:p>
        </w:tc>
        <w:tc>
          <w:tcPr>
            <w:tcW w:w="1420" w:type="dxa"/>
            <w:vAlign w:val="bottom"/>
            <w:vMerge w:val="restart"/>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720" w:type="dxa"/>
            <w:vAlign w:val="bottom"/>
            <w:vMerge w:val="restart"/>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gridSpan w:val="18"/>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2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720" w:type="dxa"/>
            <w:vAlign w:val="bottom"/>
            <w:vMerge w:val="continue"/>
          </w:tcPr>
          <w:p>
            <w:pPr>
              <w:spacing w:after="0"/>
              <w:rPr>
                <w:sz w:val="12"/>
                <w:szCs w:val="12"/>
                <w:color w:val="auto"/>
              </w:rPr>
            </w:pPr>
          </w:p>
        </w:tc>
        <w:tc>
          <w:tcPr>
            <w:tcW w:w="1420" w:type="dxa"/>
            <w:vAlign w:val="bottom"/>
          </w:tcPr>
          <w:p>
            <w:pPr>
              <w:jc w:val="center"/>
              <w:ind w:left="93"/>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8"/>
            <w:vMerge w:val="continue"/>
          </w:tcPr>
          <w:p>
            <w:pPr>
              <w:spacing w:after="0"/>
              <w:rPr>
                <w:sz w:val="16"/>
                <w:szCs w:val="16"/>
                <w:color w:val="auto"/>
              </w:rPr>
            </w:pPr>
          </w:p>
        </w:tc>
        <w:tc>
          <w:tcPr>
            <w:tcW w:w="9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20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7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31"/>
        </w:trPr>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2.1^</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Agreement and Plan of Merger and Reorganization,</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05/16/2017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dated as of May 15, 2017, by and among Mirna</w:t>
              </w:r>
            </w:hyperlink>
          </w:p>
        </w:tc>
        <w:tc>
          <w:tcPr>
            <w:tcW w:w="9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Therapeutics, Inc., Meerkat Merger Sub, Inc. and</w:t>
              </w:r>
            </w:hyperlink>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Synlogic, Inc.</w:t>
              </w:r>
            </w:hyperlink>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7"/>
              </w:rPr>
              <w:t>3.1</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Certificate of Incorporation</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10/6/2015</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3.1)</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7"/>
              </w:rPr>
              <w:t>3.2</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Certificate of Amendment (Reverse Stock Split) to</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Amended and Restated Certificate of</w:t>
              </w:r>
            </w:hyperlink>
          </w:p>
        </w:tc>
        <w:tc>
          <w:tcPr>
            <w:tcW w:w="9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Incorporation, dated August 25, 2017</w:t>
              </w:r>
            </w:hyperlink>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7"/>
              </w:rPr>
              <w:t>3.3</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Certificate of Amendment (Name Change) to the</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Certificate of Incorporation</w:t>
              </w:r>
            </w:hyperlink>
          </w:p>
        </w:tc>
        <w:tc>
          <w:tcPr>
            <w:tcW w:w="9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3.2)</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7"/>
              </w:rPr>
              <w:t>3.4</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Bylaws</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10/6/2015</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3.2)</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7"/>
              </w:rPr>
              <w:t>4.1</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Common Stock Certificate</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S-1/A</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09/18/2015</w:t>
            </w:r>
          </w:p>
        </w:tc>
        <w:tc>
          <w:tcPr>
            <w:tcW w:w="14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4.2)</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7"/>
              </w:rPr>
              <w:t>4.2</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Pre-Funded Warrant</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06/12/2019</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4.1)</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jc w:val="center"/>
              <w:ind w:right="632"/>
              <w:spacing w:after="0" w:line="202" w:lineRule="exact"/>
              <w:rPr>
                <w:sz w:val="20"/>
                <w:szCs w:val="20"/>
                <w:color w:val="auto"/>
              </w:rPr>
            </w:pPr>
            <w:r>
              <w:rPr>
                <w:rFonts w:ascii="Times New Roman" w:cs="Times New Roman" w:eastAsia="Times New Roman" w:hAnsi="Times New Roman"/>
                <w:sz w:val="18"/>
                <w:szCs w:val="18"/>
                <w:color w:val="auto"/>
                <w:w w:val="97"/>
              </w:rPr>
              <w:t>4.3</w:t>
            </w:r>
          </w:p>
        </w:tc>
        <w:tc>
          <w:tcPr>
            <w:tcW w:w="3880" w:type="dxa"/>
            <w:vAlign w:val="bottom"/>
            <w:gridSpan w:val="20"/>
          </w:tcPr>
          <w:p>
            <w:pPr>
              <w:spacing w:after="0" w:line="20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Description of Securities</w:t>
              </w:r>
            </w:hyperlink>
          </w:p>
        </w:tc>
        <w:tc>
          <w:tcPr>
            <w:tcW w:w="980" w:type="dxa"/>
            <w:vAlign w:val="bottom"/>
          </w:tcPr>
          <w:p>
            <w:pPr>
              <w:spacing w:after="0"/>
              <w:rPr>
                <w:sz w:val="17"/>
                <w:szCs w:val="17"/>
                <w:color w:val="auto"/>
              </w:rPr>
            </w:pPr>
          </w:p>
        </w:tc>
        <w:tc>
          <w:tcPr>
            <w:tcW w:w="2060" w:type="dxa"/>
            <w:vAlign w:val="bottom"/>
          </w:tcPr>
          <w:p>
            <w:pPr>
              <w:jc w:val="center"/>
              <w:ind w:right="132"/>
              <w:spacing w:after="0" w:line="202" w:lineRule="exact"/>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line="202" w:lineRule="exact"/>
              <w:rPr>
                <w:sz w:val="20"/>
                <w:szCs w:val="20"/>
                <w:color w:val="auto"/>
              </w:rPr>
            </w:pPr>
            <w:r>
              <w:rPr>
                <w:rFonts w:ascii="Times New Roman" w:cs="Times New Roman" w:eastAsia="Times New Roman" w:hAnsi="Times New Roman"/>
                <w:sz w:val="18"/>
                <w:szCs w:val="18"/>
                <w:color w:val="auto"/>
                <w:w w:val="99"/>
              </w:rPr>
              <w:t>03/12/2020</w:t>
            </w:r>
          </w:p>
        </w:tc>
        <w:tc>
          <w:tcPr>
            <w:tcW w:w="1420" w:type="dxa"/>
            <w:vAlign w:val="bottom"/>
          </w:tcPr>
          <w:p>
            <w:pPr>
              <w:jc w:val="center"/>
              <w:ind w:left="73"/>
              <w:spacing w:after="0" w:line="202" w:lineRule="exact"/>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(Exhibit 4.3)</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10.1#</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2015 Equity Incentive Award Plan</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03/20/2018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10.2#</w:t>
            </w:r>
          </w:p>
        </w:tc>
        <w:tc>
          <w:tcPr>
            <w:tcW w:w="3880" w:type="dxa"/>
            <w:vAlign w:val="bottom"/>
            <w:gridSpan w:val="20"/>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Form of Stock Option Grant Notice and Stock Option</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S-1/A</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09/11/2015</w:t>
            </w:r>
          </w:p>
        </w:tc>
        <w:tc>
          <w:tcPr>
            <w:tcW w:w="14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Agreement under the 2015 Equity Incentive Award</w:t>
              </w:r>
            </w:hyperlink>
          </w:p>
        </w:tc>
        <w:tc>
          <w:tcPr>
            <w:tcW w:w="9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10.9(B))</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Plan.</w:t>
              </w:r>
            </w:hyperlink>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10.3#</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Restricted Stock Award Agreement and</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S-1/A</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09/11/2015</w:t>
            </w:r>
          </w:p>
        </w:tc>
        <w:tc>
          <w:tcPr>
            <w:tcW w:w="14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Restricted Stock Unit Award Grant Notice under the</w:t>
              </w:r>
            </w:hyperlink>
          </w:p>
        </w:tc>
        <w:tc>
          <w:tcPr>
            <w:tcW w:w="9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10.9(C))</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2015 Equity Incentive Award Plan.</w:t>
              </w:r>
            </w:hyperlink>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10.4#</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2017 Stock Incentive Plan</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03/20/2018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(Exhibit 10.4)</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10.5#</w:t>
            </w:r>
          </w:p>
        </w:tc>
        <w:tc>
          <w:tcPr>
            <w:tcW w:w="3880" w:type="dxa"/>
            <w:vAlign w:val="bottom"/>
            <w:gridSpan w:val="20"/>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Form of Stock Option Grant Notice and Stock Option</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11/13/2017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40" w:type="dxa"/>
            <w:vAlign w:val="bottom"/>
            <w:tcBorders>
              <w:right w:val="single" w:sz="8" w:color="0000FF"/>
            </w:tcBorders>
            <w:gridSpan w:val="1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5"/>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Agreement under 2017 Stock Incentive Plan.</w:t>
              </w:r>
            </w:hyperlink>
          </w:p>
        </w:tc>
        <w:tc>
          <w:tcPr>
            <w:tcW w:w="98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10.17)</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240" w:type="dxa"/>
            <w:vAlign w:val="bottom"/>
            <w:tcBorders>
              <w:right w:val="single" w:sz="8" w:color="0000EE"/>
            </w:tcBorders>
            <w:gridSpan w:val="1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10.6#</w:t>
            </w:r>
          </w:p>
        </w:tc>
        <w:tc>
          <w:tcPr>
            <w:tcW w:w="3880" w:type="dxa"/>
            <w:vAlign w:val="bottom"/>
            <w:gridSpan w:val="20"/>
          </w:tcPr>
          <w:p>
            <w:pPr>
              <w:spacing w:after="0" w:line="207"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Non</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Employee Director Compensation Program.</w:t>
              </w:r>
            </w:hyperlink>
          </w:p>
        </w:tc>
        <w:tc>
          <w:tcPr>
            <w:tcW w:w="9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01/31/2020</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8"/>
                <w:szCs w:val="18"/>
                <w:color w:val="auto"/>
              </w:rPr>
              <w:t>95</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720" w:type="dxa"/>
            <w:vAlign w:val="bottom"/>
          </w:tcPr>
          <w:p>
            <w:pPr>
              <w:spacing w:after="0"/>
              <w:rPr>
                <w:sz w:val="13"/>
                <w:szCs w:val="13"/>
                <w:color w:val="auto"/>
              </w:rPr>
            </w:pPr>
          </w:p>
        </w:tc>
        <w:tc>
          <w:tcPr>
            <w:tcW w:w="1420" w:type="dxa"/>
            <w:vAlign w:val="bottom"/>
            <w:vMerge w:val="restart"/>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720" w:type="dxa"/>
            <w:vAlign w:val="bottom"/>
            <w:vMerge w:val="restart"/>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80" w:type="dxa"/>
            <w:vAlign w:val="bottom"/>
            <w:gridSpan w:val="16"/>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2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720" w:type="dxa"/>
            <w:vAlign w:val="bottom"/>
            <w:vMerge w:val="continue"/>
          </w:tcPr>
          <w:p>
            <w:pPr>
              <w:spacing w:after="0"/>
              <w:rPr>
                <w:sz w:val="12"/>
                <w:szCs w:val="12"/>
                <w:color w:val="auto"/>
              </w:rPr>
            </w:pPr>
          </w:p>
        </w:tc>
        <w:tc>
          <w:tcPr>
            <w:tcW w:w="1420" w:type="dxa"/>
            <w:vAlign w:val="bottom"/>
          </w:tcPr>
          <w:p>
            <w:pPr>
              <w:jc w:val="center"/>
              <w:ind w:left="93"/>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6"/>
            <w:vMerge w:val="continue"/>
          </w:tcPr>
          <w:p>
            <w:pPr>
              <w:spacing w:after="0"/>
              <w:rPr>
                <w:sz w:val="16"/>
                <w:szCs w:val="16"/>
                <w:color w:val="auto"/>
              </w:rPr>
            </w:pPr>
          </w:p>
        </w:tc>
        <w:tc>
          <w:tcPr>
            <w:tcW w:w="9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20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7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10.7#</w:t>
            </w:r>
          </w:p>
        </w:tc>
        <w:tc>
          <w:tcPr>
            <w:tcW w:w="3900" w:type="dxa"/>
            <w:vAlign w:val="bottom"/>
            <w:gridSpan w:val="18"/>
          </w:tcPr>
          <w:p>
            <w:pPr>
              <w:spacing w:after="0" w:line="18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Indemnification Agreement between the</w:t>
              </w:r>
            </w:hyperlink>
          </w:p>
        </w:tc>
        <w:tc>
          <w:tcPr>
            <w:tcW w:w="960" w:type="dxa"/>
            <w:vAlign w:val="bottom"/>
          </w:tcPr>
          <w:p>
            <w:pPr>
              <w:spacing w:after="0"/>
              <w:rPr>
                <w:sz w:val="15"/>
                <w:szCs w:val="15"/>
                <w:color w:val="auto"/>
              </w:rPr>
            </w:pPr>
          </w:p>
        </w:tc>
        <w:tc>
          <w:tcPr>
            <w:tcW w:w="2060" w:type="dxa"/>
            <w:vAlign w:val="bottom"/>
          </w:tcPr>
          <w:p>
            <w:pPr>
              <w:jc w:val="center"/>
              <w:ind w:right="132"/>
              <w:spacing w:after="0" w:line="182" w:lineRule="exact"/>
              <w:rPr>
                <w:sz w:val="20"/>
                <w:szCs w:val="20"/>
                <w:color w:val="auto"/>
              </w:rPr>
            </w:pPr>
            <w:r>
              <w:rPr>
                <w:rFonts w:ascii="Times New Roman" w:cs="Times New Roman" w:eastAsia="Times New Roman" w:hAnsi="Times New Roman"/>
                <w:sz w:val="18"/>
                <w:szCs w:val="18"/>
                <w:color w:val="auto"/>
              </w:rPr>
              <w:t>S-1/A</w:t>
            </w:r>
          </w:p>
        </w:tc>
        <w:tc>
          <w:tcPr>
            <w:tcW w:w="1720" w:type="dxa"/>
            <w:vAlign w:val="bottom"/>
          </w:tcPr>
          <w:p>
            <w:pPr>
              <w:jc w:val="center"/>
              <w:ind w:left="52"/>
              <w:spacing w:after="0" w:line="182" w:lineRule="exact"/>
              <w:rPr>
                <w:sz w:val="20"/>
                <w:szCs w:val="20"/>
                <w:color w:val="auto"/>
              </w:rPr>
            </w:pPr>
            <w:r>
              <w:rPr>
                <w:rFonts w:ascii="Times New Roman" w:cs="Times New Roman" w:eastAsia="Times New Roman" w:hAnsi="Times New Roman"/>
                <w:sz w:val="18"/>
                <w:szCs w:val="18"/>
                <w:color w:val="auto"/>
                <w:w w:val="99"/>
              </w:rPr>
              <w:t>09/11/2015</w:t>
            </w:r>
          </w:p>
        </w:tc>
        <w:tc>
          <w:tcPr>
            <w:tcW w:w="1420" w:type="dxa"/>
            <w:vAlign w:val="bottom"/>
          </w:tcPr>
          <w:p>
            <w:pPr>
              <w:jc w:val="center"/>
              <w:ind w:left="93"/>
              <w:spacing w:after="0" w:line="182" w:lineRule="exact"/>
              <w:rPr>
                <w:sz w:val="20"/>
                <w:szCs w:val="20"/>
                <w:color w:val="auto"/>
              </w:rPr>
            </w:pPr>
            <w:r>
              <w:rPr>
                <w:rFonts w:ascii="Times New Roman" w:cs="Times New Roman" w:eastAsia="Times New Roman" w:hAnsi="Times New Roman"/>
                <w:sz w:val="18"/>
                <w:szCs w:val="18"/>
                <w:color w:val="auto"/>
              </w:rPr>
              <w:t>333-206544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Company and each of its directors and officers</w:t>
              </w:r>
            </w:hyperlink>
          </w:p>
        </w:tc>
        <w:tc>
          <w:tcPr>
            <w:tcW w:w="96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Offer Letter by and between Synlogic and Aoife M.</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Brennan, MB, BCh, BAO, MMSc, dated as of June</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10.6)</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color w:val="0000FF"/>
                <w:w w:val="91"/>
              </w:rPr>
            </w:pPr>
            <w:hyperlink r:id="rId149">
              <w:r>
                <w:rPr>
                  <w:rFonts w:ascii="Times New Roman" w:cs="Times New Roman" w:eastAsia="Times New Roman" w:hAnsi="Times New Roman"/>
                  <w:sz w:val="18"/>
                  <w:szCs w:val="18"/>
                  <w:color w:val="0000FF"/>
                  <w:w w:val="91"/>
                </w:rPr>
                <w:t>22, 2016</w:t>
              </w:r>
            </w:hyperlink>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First Amendment to Offer Letter by and between</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Synlogic and Aoife M. Brennan, MB, BCh, BAO,</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10.7)</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MMSc, dated as of November 7, 2016</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Second Amendment to Offer Letter by and between</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Synlogic and Aoife M. Brennan, MB, BCh, BAO,</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10.8)</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MMSc, dated as of May 8, 2017</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Third Amendment to Offer Letter dated as of June 5,</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08/9/2018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2018, between Synlogic, Inc. and Aoife Brennan,</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MB, BCh, BAO, MMSc</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Letter Agreement by and</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11/13/2018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between Synlogic, Inc. and Aoife M. Brennan, MB,</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BCh, BAO, MMSc, dated as of October 1, 2018</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Employment Agreement dated as of January 24,</w:t>
              </w:r>
            </w:hyperlink>
          </w:p>
        </w:tc>
        <w:tc>
          <w:tcPr>
            <w:tcW w:w="960" w:type="dxa"/>
            <w:vAlign w:val="bottom"/>
          </w:tcPr>
          <w:p>
            <w:pPr>
              <w:spacing w:after="0"/>
              <w:rPr>
                <w:sz w:val="24"/>
                <w:szCs w:val="24"/>
                <w:color w:val="auto"/>
              </w:rPr>
            </w:pPr>
          </w:p>
        </w:tc>
        <w:tc>
          <w:tcPr>
            <w:tcW w:w="20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03/03/2022</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2022, by and between Synlogic and Michael Jensen</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10.14.1</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Employment Letter Agreement dated November 28,</w:t>
              </w:r>
            </w:hyperlink>
          </w:p>
        </w:tc>
        <w:tc>
          <w:tcPr>
            <w:tcW w:w="960" w:type="dxa"/>
            <w:vAlign w:val="bottom"/>
          </w:tcPr>
          <w:p>
            <w:pPr>
              <w:spacing w:after="0"/>
              <w:rPr>
                <w:sz w:val="24"/>
                <w:szCs w:val="24"/>
                <w:color w:val="auto"/>
              </w:rPr>
            </w:pPr>
          </w:p>
        </w:tc>
        <w:tc>
          <w:tcPr>
            <w:tcW w:w="20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03/25/2021</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2018, by and between Synlogic and Antoine Awad</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rPr>
              <w:t>(Exhibit 10.14.1)</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10.14.2</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Promotion Letter, dated July 21, 2020, for Antoine</w:t>
              </w:r>
            </w:hyperlink>
          </w:p>
        </w:tc>
        <w:tc>
          <w:tcPr>
            <w:tcW w:w="960" w:type="dxa"/>
            <w:vAlign w:val="bottom"/>
          </w:tcPr>
          <w:p>
            <w:pPr>
              <w:spacing w:after="0"/>
              <w:rPr>
                <w:sz w:val="24"/>
                <w:szCs w:val="24"/>
                <w:color w:val="auto"/>
              </w:rPr>
            </w:pPr>
          </w:p>
        </w:tc>
        <w:tc>
          <w:tcPr>
            <w:tcW w:w="20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03/25/2021</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Awad</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rPr>
              <w:t>(Exhibit 10.14.2)</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900" w:type="dxa"/>
            <w:vAlign w:val="bottom"/>
            <w:gridSpan w:val="18"/>
          </w:tcPr>
          <w:p>
            <w:pPr>
              <w:spacing w:after="0"/>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Agreement and Plan of Merger by and among AbbVie</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S.à.r.l., Suffolk Merger Sub, Inc., Synlogic IBDCo,</w:t>
              </w:r>
            </w:hyperlink>
          </w:p>
        </w:tc>
        <w:tc>
          <w:tcPr>
            <w:tcW w:w="96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10.12)</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 Synlogic, LLC, Synlogic, Inc. and the founders</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named therein, dated as of July 16, 2015; as amended</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by a First Amendment to Agreement and Plan of</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Merger, dated as of December 14, 2015</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Second Amendment to Agreement and Plan of</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11/13/2018</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Merger by and among AbbVie S.à.r.l., Synlogic</w:t>
              </w:r>
            </w:hyperlink>
          </w:p>
        </w:tc>
        <w:tc>
          <w:tcPr>
            <w:tcW w:w="96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IBDCo, Inc. and Synlogic Operating Company, Inc.,</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dated as of September 27, 2018</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Third Amendment to Agreement and Plan of Merger</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03/12/2019</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and First Amendment to License Agreement by and</w:t>
              </w:r>
            </w:hyperlink>
          </w:p>
        </w:tc>
        <w:tc>
          <w:tcPr>
            <w:tcW w:w="96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10.25)</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among AbbVie S.à.r.l., Synlogic IBDCo, Inc. and</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Synlogic Operating Company, Inc., dated as of</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December 18, 2018</w:t>
              </w:r>
            </w:hyperlink>
          </w:p>
        </w:tc>
        <w:tc>
          <w:tcPr>
            <w:tcW w:w="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900" w:type="dxa"/>
            <w:vAlign w:val="bottom"/>
            <w:gridSpan w:val="1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License Agreement by and between Synlogic, Inc.</w:t>
              </w:r>
            </w:hyperlink>
          </w:p>
        </w:tc>
        <w:tc>
          <w:tcPr>
            <w:tcW w:w="96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08/28/2017</w:t>
            </w:r>
          </w:p>
        </w:tc>
        <w:tc>
          <w:tcPr>
            <w:tcW w:w="14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20" w:type="dxa"/>
            <w:vAlign w:val="bottom"/>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900" w:type="dxa"/>
            <w:vAlign w:val="bottom"/>
            <w:gridSpan w:val="1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and Synlogic IBDCo, Inc., dated as of July 16, 2015</w:t>
              </w:r>
            </w:hyperlink>
          </w:p>
        </w:tc>
        <w:tc>
          <w:tcPr>
            <w:tcW w:w="96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11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Times New Roman" w:cs="Times New Roman" w:eastAsia="Times New Roman" w:hAnsi="Times New Roman"/>
                <w:sz w:val="18"/>
                <w:szCs w:val="18"/>
                <w:color w:val="auto"/>
              </w:rPr>
              <w:t>96</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780" w:type="dxa"/>
            <w:vAlign w:val="bottom"/>
          </w:tcPr>
          <w:p>
            <w:pPr>
              <w:spacing w:after="0"/>
              <w:rPr>
                <w:sz w:val="13"/>
                <w:szCs w:val="13"/>
                <w:color w:val="auto"/>
              </w:rPr>
            </w:pPr>
          </w:p>
        </w:tc>
        <w:tc>
          <w:tcPr>
            <w:tcW w:w="1400" w:type="dxa"/>
            <w:vAlign w:val="bottom"/>
            <w:vMerge w:val="restart"/>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98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780" w:type="dxa"/>
            <w:vAlign w:val="bottom"/>
            <w:vMerge w:val="restart"/>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gridSpan w:val="1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98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780" w:type="dxa"/>
            <w:vAlign w:val="bottom"/>
            <w:vMerge w:val="continue"/>
          </w:tcPr>
          <w:p>
            <w:pPr>
              <w:spacing w:after="0"/>
              <w:rPr>
                <w:sz w:val="12"/>
                <w:szCs w:val="12"/>
                <w:color w:val="auto"/>
              </w:rPr>
            </w:pPr>
          </w:p>
        </w:tc>
        <w:tc>
          <w:tcPr>
            <w:tcW w:w="1400" w:type="dxa"/>
            <w:vAlign w:val="bottom"/>
          </w:tcPr>
          <w:p>
            <w:pPr>
              <w:jc w:val="center"/>
              <w:ind w:left="73"/>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5"/>
            <w:vMerge w:val="continue"/>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19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78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10.19</w:t>
            </w:r>
          </w:p>
        </w:tc>
        <w:tc>
          <w:tcPr>
            <w:tcW w:w="3840" w:type="dxa"/>
            <w:vAlign w:val="bottom"/>
            <w:gridSpan w:val="18"/>
          </w:tcPr>
          <w:p>
            <w:pPr>
              <w:spacing w:after="0" w:line="18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Sales Agreement, dated as of July 23, 2021 by and</w:t>
              </w:r>
            </w:hyperlink>
          </w:p>
        </w:tc>
        <w:tc>
          <w:tcPr>
            <w:tcW w:w="1060" w:type="dxa"/>
            <w:vAlign w:val="bottom"/>
          </w:tcPr>
          <w:p>
            <w:pPr>
              <w:spacing w:after="0"/>
              <w:rPr>
                <w:sz w:val="15"/>
                <w:szCs w:val="15"/>
                <w:color w:val="auto"/>
              </w:rPr>
            </w:pPr>
          </w:p>
        </w:tc>
        <w:tc>
          <w:tcPr>
            <w:tcW w:w="1980" w:type="dxa"/>
            <w:vAlign w:val="bottom"/>
          </w:tcPr>
          <w:p>
            <w:pPr>
              <w:jc w:val="center"/>
              <w:ind w:right="132"/>
              <w:spacing w:after="0" w:line="182" w:lineRule="exact"/>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2"/>
              <w:spacing w:after="0" w:line="182" w:lineRule="exact"/>
              <w:rPr>
                <w:sz w:val="20"/>
                <w:szCs w:val="20"/>
                <w:color w:val="auto"/>
              </w:rPr>
            </w:pPr>
            <w:r>
              <w:rPr>
                <w:rFonts w:ascii="Times New Roman" w:cs="Times New Roman" w:eastAsia="Times New Roman" w:hAnsi="Times New Roman"/>
                <w:sz w:val="18"/>
                <w:szCs w:val="18"/>
                <w:color w:val="auto"/>
                <w:w w:val="99"/>
              </w:rPr>
              <w:t>11/10/2021</w:t>
            </w:r>
          </w:p>
        </w:tc>
        <w:tc>
          <w:tcPr>
            <w:tcW w:w="1400" w:type="dxa"/>
            <w:vAlign w:val="bottom"/>
          </w:tcPr>
          <w:p>
            <w:pPr>
              <w:jc w:val="center"/>
              <w:ind w:left="53"/>
              <w:spacing w:after="0" w:line="182" w:lineRule="exact"/>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between the registrant and Jefferies LLC</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9"/>
              </w:rPr>
              <w:t>(Exhibit 1.1)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840" w:type="dxa"/>
            <w:vAlign w:val="bottom"/>
            <w:gridSpan w:val="18"/>
          </w:tcPr>
          <w:p>
            <w:pPr>
              <w:spacing w:after="0"/>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Form of Subscription Agreement, dated as of April 6,</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04/6/2018</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2018, by and among Synlogic, Inc. and certain</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investors.</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Master Contract Services Agreement, dated as of</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03/12/2019</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September 8, 2018, between Synlogic, Inc. and Azzur</w:t>
              </w:r>
            </w:hyperlink>
          </w:p>
        </w:tc>
        <w:tc>
          <w:tcPr>
            <w:tcW w:w="106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10.29)</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Group (d/b/a Azzur of New England LLC).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Statement of Work dated September 10, 2018</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03/12/2019</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pursuant to Master Contract Services Agreement</w:t>
              </w:r>
            </w:hyperlink>
          </w:p>
        </w:tc>
        <w:tc>
          <w:tcPr>
            <w:tcW w:w="106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10.30)</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between Synlogic, Inc. and Azzur Group (d/b/a Azzur</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of New England LLC).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840" w:type="dxa"/>
            <w:vAlign w:val="bottom"/>
            <w:gridSpan w:val="18"/>
          </w:tcPr>
          <w:p>
            <w:pPr>
              <w:spacing w:after="0"/>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Statement of Work dated December 7, 2018 pursuant</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03/12/2019</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to Master Contract Services Agreement between</w:t>
              </w:r>
            </w:hyperlink>
          </w:p>
        </w:tc>
        <w:tc>
          <w:tcPr>
            <w:tcW w:w="106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10.31)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Synlogic, Inc. and Azzur Group (d/b/a Azzur of New</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England LLC).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Subscription Agreement dated June 11, 2019 by and</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06/12/2019</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between the Company and Ginkgo Bioworks, Inc.</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840" w:type="dxa"/>
            <w:vAlign w:val="bottom"/>
            <w:gridSpan w:val="18"/>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Foundry Terms of Service Agreement dated June 11,</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08/08/2019</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2019 by and between Synlogic Operating Company</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 and Ginkgo Bioworks, Inc.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Consulting Agreement effective as of October 13,</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10/24/2019</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2019 by and between the Company and Danforth</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Advisors, LLC, as amended</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Synlogic, Inc. 2015 Employee Stock Purchase Plan,</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12/20/2019</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as amended</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r>
              <w:rPr>
                <w:rFonts w:ascii="Times New Roman" w:cs="Times New Roman" w:eastAsia="Times New Roman" w:hAnsi="Times New Roman"/>
                <w:sz w:val="16"/>
                <w:szCs w:val="16"/>
                <w:color w:val="auto"/>
              </w:rPr>
              <w:t>†</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License and Services Agreement and Statement of</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08/12/2021</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6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7"/>
              </w:rPr>
            </w:pPr>
            <w:hyperlink r:id="rId171">
              <w:r>
                <w:rPr>
                  <w:rFonts w:ascii="Times New Roman" w:cs="Times New Roman" w:eastAsia="Times New Roman" w:hAnsi="Times New Roman"/>
                  <w:sz w:val="18"/>
                  <w:szCs w:val="18"/>
                  <w:color w:val="0000FF"/>
                  <w:w w:val="97"/>
                </w:rPr>
                <w:t>Work, dated April 28, 2021, by and between Synlogic</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6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Operating Company, Inc. and Azzur Cleanrooms-On-</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Demand – Boston, LLC.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gridSpan w:val="5"/>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r>
              <w:rPr>
                <w:rFonts w:ascii="Times New Roman" w:cs="Times New Roman" w:eastAsia="Times New Roman" w:hAnsi="Times New Roman"/>
                <w:sz w:val="16"/>
                <w:szCs w:val="16"/>
                <w:color w:val="auto"/>
              </w:rPr>
              <w:t>†</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Pilot Collaboration and Option Agreement, dated</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08/12/2021</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June 16, 2021, among Synlogic Operating Company,</w:t>
              </w:r>
            </w:hyperlink>
          </w:p>
        </w:tc>
        <w:tc>
          <w:tcPr>
            <w:tcW w:w="106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420" w:type="dxa"/>
            <w:vAlign w:val="bottom"/>
            <w:tcBorders>
              <w:left w:val="single" w:sz="8" w:color="0000FF"/>
            </w:tcBorders>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 and Hoffman-La Roche Inc.</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EE"/>
            </w:tcBorders>
            <w:gridSpan w:val="8"/>
            <w:shd w:val="clear" w:color="auto" w:fill="0000FF"/>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Statement of Work dated January 21, 2022 pursuant</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03/17/2022</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420" w:type="dxa"/>
            <w:vAlign w:val="bottom"/>
            <w:tcBorders>
              <w:left w:val="single" w:sz="8" w:color="0000FF"/>
            </w:tcBorders>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to Master Contract Services Agreement between</w:t>
              </w:r>
            </w:hyperlink>
          </w:p>
        </w:tc>
        <w:tc>
          <w:tcPr>
            <w:tcW w:w="106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10.30)</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Synlogic, Inc. and Azzur Group (d/b/a Azzur of New</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500" w:type="dxa"/>
            <w:vAlign w:val="bottom"/>
            <w:tcBorders>
              <w:left w:val="single" w:sz="8" w:color="0000FF"/>
            </w:tcBorders>
            <w:gridSpan w:val="10"/>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England LLC), SOW P-10558-01</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500" w:type="dxa"/>
            <w:vAlign w:val="bottom"/>
            <w:tcBorders>
              <w:left w:val="single" w:sz="8" w:color="0000FF"/>
            </w:tcBorders>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3840" w:type="dxa"/>
            <w:vAlign w:val="bottom"/>
            <w:gridSpan w:val="1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Statement of Work dated January 21, 2022 pursuant</w:t>
              </w:r>
            </w:hyperlink>
          </w:p>
        </w:tc>
        <w:tc>
          <w:tcPr>
            <w:tcW w:w="106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03/17/2022</w:t>
            </w:r>
          </w:p>
        </w:tc>
        <w:tc>
          <w:tcPr>
            <w:tcW w:w="14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001-37566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420" w:type="dxa"/>
            <w:vAlign w:val="bottom"/>
            <w:tcBorders>
              <w:left w:val="single" w:sz="8" w:color="0000FF"/>
            </w:tcBorders>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to Master Contract Services Agreement between</w:t>
              </w:r>
            </w:hyperlink>
          </w:p>
        </w:tc>
        <w:tc>
          <w:tcPr>
            <w:tcW w:w="106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Times New Roman" w:cs="Times New Roman" w:eastAsia="Times New Roman" w:hAnsi="Times New Roman"/>
                <w:sz w:val="18"/>
                <w:szCs w:val="18"/>
                <w:color w:val="auto"/>
                <w:w w:val="99"/>
              </w:rPr>
              <w:t>(Exhibit 10.31)</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Synlogic, Inc. and Azzur Group (d/b/a Azzur of New</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tcBorders>
              <w:right w:val="single" w:sz="8" w:color="0000FF"/>
            </w:tcBorders>
            <w:gridSpan w:val="8"/>
            <w:shd w:val="clear" w:color="auto" w:fill="0000FF"/>
          </w:tcPr>
          <w:p>
            <w:pPr>
              <w:spacing w:after="0" w:line="20" w:lineRule="exact"/>
              <w:rPr>
                <w:sz w:val="1"/>
                <w:szCs w:val="1"/>
                <w:color w:val="auto"/>
              </w:rPr>
            </w:pPr>
          </w:p>
        </w:tc>
        <w:tc>
          <w:tcPr>
            <w:tcW w:w="1500" w:type="dxa"/>
            <w:vAlign w:val="bottom"/>
            <w:tcBorders>
              <w:left w:val="single" w:sz="8" w:color="0000FF"/>
            </w:tcBorders>
            <w:gridSpan w:val="10"/>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England LLC), SOW P-10558-2</w:t>
              </w:r>
            </w:hyperlink>
          </w:p>
        </w:tc>
        <w:tc>
          <w:tcPr>
            <w:tcW w:w="1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18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284"/>
              <w:spacing w:after="0"/>
              <w:rPr>
                <w:sz w:val="20"/>
                <w:szCs w:val="20"/>
                <w:color w:val="auto"/>
              </w:rPr>
            </w:pPr>
            <w:r>
              <w:rPr>
                <w:rFonts w:ascii="Times New Roman" w:cs="Times New Roman" w:eastAsia="Times New Roman" w:hAnsi="Times New Roman"/>
                <w:sz w:val="18"/>
                <w:szCs w:val="18"/>
                <w:color w:val="auto"/>
              </w:rPr>
              <w:t>97</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6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620" w:type="dxa"/>
            <w:vAlign w:val="bottom"/>
          </w:tcPr>
          <w:p>
            <w:pPr>
              <w:spacing w:after="0"/>
              <w:rPr>
                <w:sz w:val="13"/>
                <w:szCs w:val="13"/>
                <w:color w:val="auto"/>
              </w:rPr>
            </w:pPr>
          </w:p>
        </w:tc>
        <w:tc>
          <w:tcPr>
            <w:tcW w:w="14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6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6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20" w:type="dxa"/>
            <w:vAlign w:val="bottom"/>
            <w:gridSpan w:val="9"/>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8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206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620" w:type="dxa"/>
            <w:vAlign w:val="bottom"/>
            <w:vMerge w:val="continue"/>
          </w:tcPr>
          <w:p>
            <w:pPr>
              <w:spacing w:after="0"/>
              <w:rPr>
                <w:sz w:val="12"/>
                <w:szCs w:val="12"/>
                <w:color w:val="auto"/>
              </w:rPr>
            </w:pPr>
          </w:p>
        </w:tc>
        <w:tc>
          <w:tcPr>
            <w:tcW w:w="14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9"/>
            <w:vMerge w:val="continue"/>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20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6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6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2"/>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10.32</w:t>
            </w:r>
          </w:p>
        </w:tc>
        <w:tc>
          <w:tcPr>
            <w:tcW w:w="38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Statement of Work dated November 22, 2022</w:t>
            </w:r>
          </w:p>
        </w:tc>
        <w:tc>
          <w:tcPr>
            <w:tcW w:w="1080" w:type="dxa"/>
            <w:vAlign w:val="bottom"/>
          </w:tcPr>
          <w:p>
            <w:pPr>
              <w:jc w:val="center"/>
              <w:ind w:right="73"/>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Master Contract Services Agreement</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7"/>
              </w:rPr>
              <w:t>between Synlogic, Inc. and Azzur Group (d/b/a Azzur</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New England LLC), SOW P-10558-01 Extension</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Power of Attorney (included in the signature page</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hereto)</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 13a-14(a) or Rule 15d-14(a).</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5"/>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 13a-14(a) or Rule 15d-14(a).</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5"/>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Certification required by Rule 13a-14(b) or Rule 15d-</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the United States Code (18 U.S.C. §1350).</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Certification required by Rule 13a-14(b) or Rule 15d-</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800" w:type="dxa"/>
            <w:vAlign w:val="bottom"/>
            <w:tcBorders>
              <w:left w:val="single" w:sz="8" w:color="0000FF"/>
            </w:tcBorders>
            <w:gridSpan w:val="6"/>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the United States Code (18 U.S.C. §1350).</w:t>
            </w: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800" w:type="dxa"/>
            <w:vAlign w:val="bottom"/>
            <w:tcBorders>
              <w:left w:val="single" w:sz="8" w:color="0000EE"/>
            </w:tcBorders>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 the instance</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8"/>
              </w:rPr>
              <w:t>document does not appear in the Interactive Data File</w:t>
            </w: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w:t>
            </w: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1"/>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38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9512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0" w:lineRule="exact"/>
        <w:rPr>
          <w:sz w:val="20"/>
          <w:szCs w:val="20"/>
          <w:color w:val="auto"/>
        </w:rPr>
      </w:pPr>
    </w:p>
    <w:p>
      <w:pPr>
        <w:ind w:firstLine="8"/>
        <w:spacing w:after="0" w:line="261" w:lineRule="auto"/>
        <w:tabs>
          <w:tab w:leader="none" w:pos="1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exhibit have been omitted pursuant to Item 601(b)(2) of Regulation S-K. A copy of any omitted schedule and/or exhibit will be furnished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plans or arrangements.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in accordance with the rules of the Securities and Exchange Commission.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Synlogic, Inc.</w:t>
            </w:r>
          </w:p>
        </w:tc>
        <w:tc>
          <w:tcPr>
            <w:tcW w:w="4260" w:type="dxa"/>
            <w:vAlign w:val="bottom"/>
          </w:tcPr>
          <w:p>
            <w:pPr>
              <w:spacing w:after="0"/>
              <w:rPr>
                <w:sz w:val="20"/>
                <w:szCs w:val="20"/>
                <w:color w:val="auto"/>
              </w:rPr>
            </w:pPr>
          </w:p>
        </w:tc>
      </w:tr>
      <w:tr>
        <w:trPr>
          <w:trHeight w:val="47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2023</w:t>
            </w:r>
          </w:p>
        </w:tc>
        <w:tc>
          <w:tcPr>
            <w:tcW w:w="3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AOIFE BRENNAN</w:t>
            </w:r>
          </w:p>
        </w:tc>
      </w:tr>
      <w:tr>
        <w:trPr>
          <w:trHeight w:val="205"/>
        </w:trPr>
        <w:tc>
          <w:tcPr>
            <w:tcW w:w="30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260" w:type="dxa"/>
            <w:vAlign w:val="bottom"/>
            <w:tcBorders>
              <w:top w:val="single" w:sz="8" w:color="auto"/>
            </w:tcBorders>
          </w:tcPr>
          <w:p>
            <w:pPr>
              <w:jc w:val="center"/>
              <w:ind w:right="870"/>
              <w:spacing w:after="0" w:line="205" w:lineRule="exact"/>
              <w:rPr>
                <w:sz w:val="20"/>
                <w:szCs w:val="20"/>
                <w:color w:val="auto"/>
              </w:rPr>
            </w:pPr>
            <w:r>
              <w:rPr>
                <w:rFonts w:ascii="Times New Roman" w:cs="Times New Roman" w:eastAsia="Times New Roman" w:hAnsi="Times New Roman"/>
                <w:sz w:val="18"/>
                <w:szCs w:val="18"/>
                <w:color w:val="auto"/>
                <w:w w:val="99"/>
              </w:rPr>
              <w:t>Aoife Brennan</w:t>
            </w:r>
          </w:p>
        </w:tc>
      </w:tr>
      <w:tr>
        <w:trPr>
          <w:trHeight w:val="216"/>
        </w:trPr>
        <w:tc>
          <w:tcPr>
            <w:tcW w:w="30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0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080" w:type="dxa"/>
            <w:vAlign w:val="bottom"/>
          </w:tcPr>
          <w:p>
            <w:pPr>
              <w:spacing w:after="0"/>
              <w:rPr>
                <w:sz w:val="24"/>
                <w:szCs w:val="24"/>
                <w:color w:val="auto"/>
              </w:rPr>
            </w:pP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4260" w:type="dxa"/>
            <w:vAlign w:val="bottom"/>
          </w:tcPr>
          <w:p>
            <w:pPr>
              <w:spacing w:after="0"/>
              <w:rPr>
                <w:sz w:val="24"/>
                <w:szCs w:val="24"/>
                <w:color w:val="auto"/>
              </w:rPr>
            </w:pPr>
          </w:p>
        </w:tc>
      </w:tr>
    </w:tbl>
    <w:p>
      <w:pPr>
        <w:spacing w:after="0" w:line="23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Aoife Brennan and Michael Jensen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substitutes or substitute, may lawfully do or cause to be done by virtue hereof.</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 name.</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 below and on the dates indicated.</w:t>
      </w:r>
    </w:p>
    <w:p>
      <w:pPr>
        <w:spacing w:after="0" w:line="155"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AOIFE BRENNAN</w:t>
            </w: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222"/>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Aoife Brennan</w:t>
            </w:r>
          </w:p>
        </w:tc>
        <w:tc>
          <w:tcPr>
            <w:tcW w:w="4580" w:type="dxa"/>
            <w:vAlign w:val="bottom"/>
          </w:tcPr>
          <w:p>
            <w:pPr>
              <w:ind w:left="18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2940" w:type="dxa"/>
            <w:vAlign w:val="bottom"/>
          </w:tcPr>
          <w:p>
            <w:pPr>
              <w:spacing w:after="0"/>
              <w:rPr>
                <w:sz w:val="19"/>
                <w:szCs w:val="19"/>
                <w:color w:val="auto"/>
              </w:rPr>
            </w:pPr>
          </w:p>
        </w:tc>
      </w:tr>
      <w:tr>
        <w:trPr>
          <w:trHeight w:val="31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JENSEN</w:t>
            </w: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Financial Officer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222"/>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Michael Jensen</w:t>
            </w:r>
          </w:p>
        </w:tc>
        <w:tc>
          <w:tcPr>
            <w:tcW w:w="4580" w:type="dxa"/>
            <w:vAlign w:val="bottom"/>
          </w:tcPr>
          <w:p>
            <w:pPr>
              <w:ind w:left="180"/>
              <w:spacing w:after="0"/>
              <w:rPr>
                <w:sz w:val="20"/>
                <w:szCs w:val="20"/>
                <w:color w:val="auto"/>
              </w:rPr>
            </w:pPr>
            <w:r>
              <w:rPr>
                <w:rFonts w:ascii="Times New Roman" w:cs="Times New Roman" w:eastAsia="Times New Roman" w:hAnsi="Times New Roman"/>
                <w:sz w:val="15"/>
                <w:szCs w:val="15"/>
                <w:i w:val="1"/>
                <w:iCs w:val="1"/>
                <w:color w:val="auto"/>
              </w:rPr>
              <w:t>(Principal Financial Officer and Principal Accounting Officer)</w:t>
            </w:r>
          </w:p>
        </w:tc>
        <w:tc>
          <w:tcPr>
            <w:tcW w:w="2940" w:type="dxa"/>
            <w:vAlign w:val="bottom"/>
          </w:tcPr>
          <w:p>
            <w:pPr>
              <w:spacing w:after="0"/>
              <w:rPr>
                <w:sz w:val="19"/>
                <w:szCs w:val="19"/>
                <w:color w:val="auto"/>
              </w:rPr>
            </w:pP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BARRETT</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Peter Barrett</w:t>
            </w: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Chairman of the Board</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BURGESS</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Michael Burgess</w:t>
            </w: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HEFFERNAN</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Michael Heffernan</w:t>
            </w: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PATRICIA HURTER</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Patricia Hurter</w:t>
            </w: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LISA KELLY-CROSWELL</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Lisa Kelly-Croswell</w:t>
            </w:r>
          </w:p>
        </w:tc>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NICK LESCHLY</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Nick Leschly</w:t>
            </w:r>
          </w:p>
        </w:tc>
        <w:tc>
          <w:tcPr>
            <w:tcW w:w="4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EDWARD MATHERS</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Edward Mathers</w:t>
            </w:r>
          </w:p>
        </w:tc>
        <w:tc>
          <w:tcPr>
            <w:tcW w:w="4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30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P. SHEA</w:t>
            </w:r>
          </w:p>
        </w:tc>
        <w:tc>
          <w:tcPr>
            <w:tcW w:w="45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Richard P. Shea</w:t>
            </w:r>
          </w:p>
        </w:tc>
        <w:tc>
          <w:tcPr>
            <w:tcW w:w="4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March 29, 2023</w:t>
            </w:r>
          </w:p>
        </w:tc>
      </w:tr>
      <w:tr>
        <w:trPr>
          <w:trHeight w:val="732"/>
        </w:trPr>
        <w:tc>
          <w:tcPr>
            <w:tcW w:w="3720" w:type="dxa"/>
            <w:vAlign w:val="bottom"/>
          </w:tcPr>
          <w:p>
            <w:pPr>
              <w:spacing w:after="0"/>
              <w:rPr>
                <w:sz w:val="24"/>
                <w:szCs w:val="24"/>
                <w:color w:val="auto"/>
              </w:rPr>
            </w:pPr>
          </w:p>
        </w:tc>
        <w:tc>
          <w:tcPr>
            <w:tcW w:w="4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99</w:t>
            </w:r>
          </w:p>
        </w:tc>
        <w:tc>
          <w:tcPr>
            <w:tcW w:w="294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 Synlogic, Inc.</w:t>
            </w:r>
          </w:p>
        </w:tc>
        <w:tc>
          <w:tcPr>
            <w:tcW w:w="1780" w:type="dxa"/>
            <w:vAlign w:val="bottom"/>
          </w:tcPr>
          <w:p>
            <w:pPr>
              <w:spacing w:after="0"/>
              <w:rPr>
                <w:sz w:val="20"/>
                <w:szCs w:val="20"/>
                <w:color w:val="auto"/>
              </w:rPr>
            </w:pPr>
          </w:p>
        </w:tc>
      </w:tr>
      <w:tr>
        <w:trPr>
          <w:trHeight w:val="391"/>
        </w:trPr>
        <w:tc>
          <w:tcPr>
            <w:tcW w:w="7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Boston, MA, Auditor Firm ID: 185)</w:t>
            </w:r>
          </w:p>
        </w:tc>
        <w:tc>
          <w:tcPr>
            <w:tcW w:w="1560" w:type="dxa"/>
            <w:vAlign w:val="bottom"/>
          </w:tcPr>
          <w:p>
            <w:pPr>
              <w:spacing w:after="0"/>
              <w:rPr>
                <w:sz w:val="24"/>
                <w:szCs w:val="24"/>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10"/>
        </w:trPr>
        <w:tc>
          <w:tcPr>
            <w:tcW w:w="9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9"/>
        </w:trPr>
        <w:tc>
          <w:tcPr>
            <w:tcW w:w="474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4720" w:type="dxa"/>
            <w:vAlign w:val="bottom"/>
            <w:gridSpan w:val="2"/>
          </w:tcPr>
          <w:p>
            <w:pPr>
              <w:spacing w:after="0"/>
              <w:rPr>
                <w:sz w:val="18"/>
                <w:szCs w:val="18"/>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10"/>
        </w:trPr>
        <w:tc>
          <w:tcPr>
            <w:tcW w:w="362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840" w:type="dxa"/>
            <w:vAlign w:val="bottom"/>
            <w:gridSpan w:val="3"/>
          </w:tcPr>
          <w:p>
            <w:pPr>
              <w:spacing w:after="0"/>
              <w:rPr>
                <w:sz w:val="18"/>
                <w:szCs w:val="18"/>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9"/>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bottom w:val="single" w:sz="8" w:color="0000EE"/>
            </w:tcBorders>
          </w:tcPr>
          <w:p>
            <w:pPr>
              <w:spacing w:after="0"/>
              <w:rPr>
                <w:sz w:val="18"/>
                <w:szCs w:val="18"/>
                <w:color w:val="auto"/>
              </w:rPr>
            </w:pPr>
          </w:p>
        </w:tc>
        <w:tc>
          <w:tcPr>
            <w:tcW w:w="6520" w:type="dxa"/>
            <w:vAlign w:val="bottom"/>
            <w:gridSpan w:val="5"/>
          </w:tcPr>
          <w:p>
            <w:pPr>
              <w:spacing w:after="0"/>
              <w:rPr>
                <w:sz w:val="18"/>
                <w:szCs w:val="18"/>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9"/>
        </w:trPr>
        <w:tc>
          <w:tcPr>
            <w:tcW w:w="9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F-8</w:t>
            </w:r>
          </w:p>
        </w:tc>
      </w:tr>
      <w:tr>
        <w:trPr>
          <w:trHeight w:val="797"/>
        </w:trPr>
        <w:tc>
          <w:tcPr>
            <w:tcW w:w="216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Synlogic,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Synlogic, Inc. and subsidiaries (the Company) as of December 31, 2022 and 2021,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Evaluation of accrued expenses related to research and development activities performed by third parties</w:t>
      </w:r>
    </w:p>
    <w:p>
      <w:pPr>
        <w:spacing w:after="0" w:line="227" w:lineRule="exact"/>
        <w:rPr>
          <w:sz w:val="20"/>
          <w:szCs w:val="20"/>
          <w:color w:val="auto"/>
        </w:rPr>
      </w:pPr>
    </w:p>
    <w:p>
      <w:pPr>
        <w:ind w:left="860" w:right="60"/>
        <w:spacing w:after="0" w:line="255"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costs incurred in research and development are expensed as incurred. 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and the expected duration of the third-party service contract, where applicable. As discussed in Note 7 to the consolidated financial statements, the accrued expenses balance related to research and development activities performed by third parties was $1.6 million at December 31, 2022.</w:t>
      </w:r>
    </w:p>
    <w:p>
      <w:pPr>
        <w:spacing w:after="0" w:line="189" w:lineRule="exact"/>
        <w:rPr>
          <w:sz w:val="20"/>
          <w:szCs w:val="20"/>
          <w:color w:val="auto"/>
        </w:rPr>
      </w:pPr>
    </w:p>
    <w:p>
      <w:pPr>
        <w:ind w:left="860" w:right="140"/>
        <w:spacing w:after="0" w:line="289" w:lineRule="auto"/>
        <w:rPr>
          <w:sz w:val="20"/>
          <w:szCs w:val="20"/>
          <w:color w:val="auto"/>
        </w:rPr>
      </w:pPr>
      <w:r>
        <w:rPr>
          <w:rFonts w:ascii="Times New Roman" w:cs="Times New Roman" w:eastAsia="Times New Roman" w:hAnsi="Times New Roman"/>
          <w:sz w:val="17"/>
          <w:szCs w:val="17"/>
          <w:color w:val="auto"/>
        </w:rPr>
        <w:t>We identified the evaluation of accrued expenses related to research and development activities performed by third parties as a critical audit matter. The estimates made by the Company in determining the accrued expenses balance are based on a number of factors that can be challenging to assess, including the completion status of the research and development programs and the associated estimate of unbilled costs.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3" w:name="page104"/>
    <w:bookmarkEnd w:id="103"/>
    <w:p>
      <w:pPr>
        <w:ind w:left="86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inspected contracts with third-party service providers, including any subsequent amendments, confirmed costs incurred to date with the respective third parties under the contracts, and inspected invoices to evaluate the amounts billed to date under the contracts. Furthermore, to assess that all services rendered by the third parties prior to December 31, 2022 were appropriately included in the Company’s accrued expenses balance at December 31, 2022, we (1) inquired of the individuals at the Company who are responsible for overseeing the research and development activities of the third-party service providers to understand the progress of the respective programs, (2) inspected correspondence received from the third-party service providers, including status reports, and compared them to the estimates underlying the accrued expenses balance, and (3) compared amounts ultimately invoiced by the third-party service providers subsequent to December 31, 2022 to the amounts accrued by the Company.</w:t>
      </w:r>
    </w:p>
    <w:p>
      <w:pPr>
        <w:spacing w:after="0" w:line="1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110,865</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250,000,000 shares authorized as of December 31, 2022 and December 31, 2021;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70,933,140 shares issued and 66,736,251 shares outstanding as of December 31, 2022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69,698,844 shares issued and outstanding as of December 31, 2021</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(357,019 )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(290,872 )</w:t>
            </w: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(4,196,889 shares at December 31, 2022 and no shares at December 31,</w:t>
            </w:r>
          </w:p>
        </w:tc>
        <w:tc>
          <w:tcPr>
            <w:tcW w:w="240" w:type="dxa"/>
            <w:vAlign w:val="bottom"/>
            <w:shd w:val="clear" w:color="auto" w:fill="CFF0FC"/>
          </w:tcPr>
          <w:p>
            <w:pPr>
              <w:spacing w:after="0"/>
              <w:rPr>
                <w:sz w:val="18"/>
                <w:szCs w:val="18"/>
                <w:color w:val="auto"/>
              </w:rPr>
            </w:pPr>
          </w:p>
        </w:tc>
        <w:tc>
          <w:tcPr>
            <w:tcW w:w="1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(2,518 )</w:t>
            </w:r>
          </w:p>
        </w:tc>
        <w:tc>
          <w:tcPr>
            <w:tcW w:w="240" w:type="dxa"/>
            <w:vAlign w:val="bottom"/>
            <w:shd w:val="clear" w:color="auto" w:fill="CFF0FC"/>
          </w:tcPr>
          <w:p>
            <w:pPr>
              <w:spacing w:after="0"/>
              <w:rPr>
                <w:sz w:val="18"/>
                <w:szCs w:val="18"/>
                <w:color w:val="auto"/>
              </w:rPr>
            </w:pP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spacing w:after="0"/>
              <w:rPr>
                <w:sz w:val="20"/>
                <w:szCs w:val="20"/>
                <w:color w:val="auto"/>
              </w:rPr>
            </w:pPr>
          </w:p>
        </w:tc>
        <w:tc>
          <w:tcPr>
            <w:tcW w:w="16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82,610</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110,865</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-5151120</wp:posOffset>
            </wp:positionV>
            <wp:extent cx="6858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-3899535</wp:posOffset>
            </wp:positionV>
            <wp:extent cx="1251585"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125158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-2630805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-1996440</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-351155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(67,419 )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(60,765 )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(66,147 )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(60,561 )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(0.92 )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71,725,479</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55,329,711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(66,147 )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(60,561 )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38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(116 )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77"/>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-2296795</wp:posOffset>
            </wp:positionV>
            <wp:extent cx="685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-1353820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-676910</wp:posOffset>
            </wp:positionV>
            <wp:extent cx="125158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1251585"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3360" w:type="dxa"/>
            <w:vAlign w:val="bottom"/>
          </w:tcPr>
          <w:p>
            <w:pPr>
              <w:spacing w:after="0"/>
              <w:rPr>
                <w:sz w:val="15"/>
                <w:szCs w:val="15"/>
                <w:color w:val="auto"/>
              </w:rPr>
            </w:pPr>
          </w:p>
        </w:tc>
        <w:tc>
          <w:tcPr>
            <w:tcW w:w="1440" w:type="dxa"/>
            <w:vAlign w:val="bottom"/>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336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$0.001 par value</w:t>
            </w: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9"/>
        </w:trPr>
        <w:tc>
          <w:tcPr>
            <w:tcW w:w="3360" w:type="dxa"/>
            <w:vAlign w:val="bottom"/>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r>
      <w:tr>
        <w:trPr>
          <w:trHeight w:val="20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38,183,273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(230,311 )</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115,135</w:t>
            </w:r>
          </w:p>
        </w:tc>
        <w:tc>
          <w:tcPr>
            <w:tcW w:w="100" w:type="dxa"/>
            <w:vAlign w:val="bottom"/>
            <w:shd w:val="clear" w:color="auto" w:fill="CFF0FC"/>
          </w:tcPr>
          <w:p>
            <w:pPr>
              <w:spacing w:after="0"/>
              <w:rPr>
                <w:sz w:val="18"/>
                <w:szCs w:val="18"/>
                <w:color w:val="auto"/>
              </w:rPr>
            </w:pPr>
          </w:p>
        </w:tc>
      </w:tr>
      <w:tr>
        <w:trPr>
          <w:trHeight w:val="130"/>
        </w:trPr>
        <w:tc>
          <w:tcPr>
            <w:tcW w:w="3360" w:type="dxa"/>
            <w:vAlign w:val="bottom"/>
            <w:tcBorders>
              <w:top w:val="single" w:sz="8" w:color="CFF0FC"/>
            </w:tcBorders>
          </w:tcPr>
          <w:p>
            <w:pPr>
              <w:ind w:left="20"/>
              <w:spacing w:after="0" w:line="130" w:lineRule="exact"/>
              <w:rPr>
                <w:sz w:val="20"/>
                <w:szCs w:val="20"/>
                <w:color w:val="auto"/>
              </w:rPr>
            </w:pPr>
            <w:r>
              <w:rPr>
                <w:rFonts w:ascii="Times New Roman" w:cs="Times New Roman" w:eastAsia="Times New Roman" w:hAnsi="Times New Roman"/>
                <w:sz w:val="13"/>
                <w:szCs w:val="13"/>
                <w:color w:val="auto"/>
              </w:rPr>
              <w:t>Proceeds from issuance of common stock in connection</w:t>
            </w: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 at-the-market offering, net of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2,447,211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100" w:type="dxa"/>
            <w:vAlign w:val="bottom"/>
          </w:tcPr>
          <w:p>
            <w:pPr>
              <w:spacing w:after="0"/>
              <w:rPr>
                <w:sz w:val="15"/>
                <w:szCs w:val="15"/>
                <w:color w:val="auto"/>
              </w:rPr>
            </w:pPr>
          </w:p>
        </w:tc>
      </w:tr>
      <w:tr>
        <w:trPr>
          <w:trHeight w:val="14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net of issuance</w:t>
            </w: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28,750,000</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81,010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81,039</w:t>
            </w:r>
          </w:p>
        </w:tc>
        <w:tc>
          <w:tcPr>
            <w:tcW w:w="100" w:type="dxa"/>
            <w:vAlign w:val="bottom"/>
            <w:shd w:val="clear" w:color="auto" w:fill="CFF0FC"/>
          </w:tcPr>
          <w:p>
            <w:pPr>
              <w:spacing w:after="0"/>
              <w:rPr>
                <w:sz w:val="15"/>
                <w:szCs w:val="15"/>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139,772</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5"/>
                <w:szCs w:val="15"/>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242,454</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42,653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5"/>
                <w:szCs w:val="15"/>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withholding</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(28,725 )</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(73 )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(73 )</w:t>
            </w: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(77,794 )</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100" w:type="dxa"/>
            <w:vAlign w:val="bottom"/>
            <w:shd w:val="clear" w:color="auto" w:fill="CFF0FC"/>
          </w:tcPr>
          <w:p>
            <w:pPr>
              <w:spacing w:after="0"/>
              <w:rPr>
                <w:sz w:val="15"/>
                <w:szCs w:val="15"/>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(59 )</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(59 )</w:t>
            </w: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(60,561 )</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(60,561 )</w:t>
            </w:r>
          </w:p>
        </w:tc>
      </w:tr>
      <w:tr>
        <w:trPr>
          <w:trHeight w:val="20"/>
        </w:trPr>
        <w:tc>
          <w:tcPr>
            <w:tcW w:w="33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69,698,844</w:t>
            </w:r>
          </w:p>
        </w:tc>
        <w:tc>
          <w:tcPr>
            <w:tcW w:w="160" w:type="dxa"/>
            <w:vAlign w:val="bottom"/>
          </w:tcPr>
          <w:p>
            <w:pPr>
              <w:spacing w:after="0"/>
              <w:rPr>
                <w:sz w:val="14"/>
                <w:szCs w:val="14"/>
                <w:color w:val="auto"/>
              </w:rPr>
            </w:pP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438,113</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(290,872 )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147,266</w:t>
            </w:r>
          </w:p>
        </w:tc>
        <w:tc>
          <w:tcPr>
            <w:tcW w:w="100" w:type="dxa"/>
            <w:vAlign w:val="bottom"/>
          </w:tcPr>
          <w:p>
            <w:pPr>
              <w:spacing w:after="0"/>
              <w:rPr>
                <w:sz w:val="14"/>
                <w:szCs w:val="14"/>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0"/>
        </w:trPr>
        <w:tc>
          <w:tcPr>
            <w:tcW w:w="336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Proceeds from issuance of common stock in connection</w:t>
            </w: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with at-the-market offering, net of issuance 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481,451</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FF0FC"/>
          </w:tcPr>
          <w:p>
            <w:pPr>
              <w:spacing w:after="0"/>
              <w:rPr>
                <w:sz w:val="15"/>
                <w:szCs w:val="15"/>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(4,196,889 )</w:t>
            </w:r>
          </w:p>
        </w:tc>
        <w:tc>
          <w:tcPr>
            <w:tcW w:w="1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(2,518 )</w:t>
            </w:r>
          </w:p>
        </w:tc>
        <w:tc>
          <w:tcPr>
            <w:tcW w:w="1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(2,518 )</w:t>
            </w: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35,562</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FF0FC"/>
          </w:tcPr>
          <w:p>
            <w:pPr>
              <w:spacing w:after="0"/>
              <w:rPr>
                <w:sz w:val="15"/>
                <w:szCs w:val="15"/>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762,772</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r>
      <w:tr>
        <w:trPr>
          <w:trHeight w:val="14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106,629</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FF0FC"/>
          </w:tcPr>
          <w:p>
            <w:pPr>
              <w:spacing w:after="0"/>
              <w:rPr>
                <w:sz w:val="15"/>
                <w:szCs w:val="15"/>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withholding</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(152,118 )</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100" w:type="dxa"/>
            <w:vAlign w:val="bottom"/>
          </w:tcPr>
          <w:p>
            <w:pPr>
              <w:spacing w:after="0"/>
              <w:rPr>
                <w:sz w:val="15"/>
                <w:szCs w:val="15"/>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(116 )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(116 )</w:t>
            </w: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(66,147 )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(66,147 )</w:t>
            </w:r>
          </w:p>
        </w:tc>
      </w:tr>
      <w:tr>
        <w:trPr>
          <w:trHeight w:val="20"/>
        </w:trPr>
        <w:tc>
          <w:tcPr>
            <w:tcW w:w="3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70,933,140</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442,237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(357,019 )</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(4,196,889 )</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(2,518 )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82,610</w:t>
            </w:r>
          </w:p>
        </w:tc>
        <w:tc>
          <w:tcPr>
            <w:tcW w:w="100" w:type="dxa"/>
            <w:vAlign w:val="bottom"/>
            <w:shd w:val="clear" w:color="auto" w:fill="CFF0FC"/>
          </w:tcPr>
          <w:p>
            <w:pPr>
              <w:spacing w:after="0"/>
              <w:rPr>
                <w:sz w:val="16"/>
                <w:szCs w:val="16"/>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-3016885</wp:posOffset>
            </wp:positionV>
            <wp:extent cx="4423410" cy="231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4423410" cy="23177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-1593850</wp:posOffset>
            </wp:positionV>
            <wp:extent cx="7683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-1593850</wp:posOffset>
            </wp:positionV>
            <wp:extent cx="7747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-1593850</wp:posOffset>
            </wp:positionV>
            <wp:extent cx="6858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-1593850</wp:posOffset>
            </wp:positionV>
            <wp:extent cx="685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-1593850</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-1593850</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-1593850</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-8255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44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44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6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(66,147 )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(60,561 )</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24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(772 )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Reduction in carrying amount of operating lease right of use asset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(3,898 )</w:t>
            </w: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(2,701 )</w:t>
            </w:r>
          </w:p>
        </w:tc>
      </w:tr>
      <w:tr>
        <w:trPr>
          <w:trHeight w:val="243"/>
        </w:trPr>
        <w:tc>
          <w:tcPr>
            <w:tcW w:w="76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(56,888 )</w:t>
            </w: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(52,198 )</w:t>
            </w: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(82,787 )</w:t>
            </w: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(167,866 )</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141,866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114,022</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marketable securities</w:t>
            </w:r>
          </w:p>
        </w:tc>
        <w:tc>
          <w:tcPr>
            <w:tcW w:w="240" w:type="dxa"/>
            <w:vAlign w:val="bottom"/>
          </w:tcPr>
          <w:p>
            <w:pPr>
              <w:spacing w:after="0"/>
              <w:rPr>
                <w:sz w:val="20"/>
                <w:szCs w:val="20"/>
                <w:color w:val="auto"/>
              </w:rPr>
            </w:pPr>
          </w:p>
        </w:tc>
        <w:tc>
          <w:tcPr>
            <w:tcW w:w="1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(728 )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(679 )</w:t>
            </w: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(53,253 )</w:t>
            </w: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4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awards withheld for payment of employees'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withholding tax liability</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 issuance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40" w:type="dxa"/>
            <w:vAlign w:val="bottom"/>
          </w:tcPr>
          <w:p>
            <w:pPr>
              <w:spacing w:after="0"/>
              <w:rPr>
                <w:sz w:val="20"/>
                <w:szCs w:val="20"/>
                <w:color w:val="auto"/>
              </w:rPr>
            </w:pPr>
          </w:p>
        </w:tc>
        <w:tc>
          <w:tcPr>
            <w:tcW w:w="1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81,042</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Common Stock (Treasury Stock)</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(2,518 )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(2,040 )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89,382</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acquired under operating lease obligation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under finance lease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-4211320</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-4211320</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-3268345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-3268345</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-1742440</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-1742440</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-1099820</wp:posOffset>
            </wp:positionV>
            <wp:extent cx="1251585"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1251585" cy="1803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3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and the realization of assets and the satisfaction of liabilities in the ordinary course of business. At December 31, 2022, the Company had approximately $77.6 million in cash, cash equivalents and short-term marketable securities. The Company has historically generated negative cash flows from operations and has an accumulated deficit of $357.0 million at December 31, 2022. In the absence of positive cash flows from operations, the Company is highly dependent on its ability to secure additional sources of funding in the form of debt or equity financings, or through the execution of additional collaboration agreements. Management believes that the Company has sufficient cash to fund its operations through at least twelve months from the issuance date of these financial statements. If the Company cannot secure additional funding, it may be required to undertake further organizational changes, including reducing research and development spending on certain clinical stage and preclinical research programs and implementing additional reductions to its workforce.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While the Company is not aware of a material impact from the continuation of the COVID-19 pandemic through December 31, 2022, the full extent to which the COVID-19 pandemic will directly or indirectly impact the Company’s business, results of operations, and financial condition, including expenses and manufacturing, clinical trials, and research and development costs, depends on future developments that are uncertain at this time.</w:t>
      </w:r>
    </w:p>
    <w:p>
      <w:pPr>
        <w:spacing w:after="0" w:line="280"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(U.S.) (U.S. GAAP or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 reported amounts of expenses during the reporting period. On an on-going basis, the Company’s management evaluates its estimates, including those related to research and development accruals and prepaids, accrued expenses, contingencies, and investments.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$15.9 million and $16.4 million at December 31,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held cash of approximately $1.1 million at December 31, 2022 and 2021 in a letter of credit to secure its lease at the 301 Binney Street facility. The Company has classified this deposit as long-term restricted cash on its balance sheet.</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 (in thousands).</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20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consolidated statement of cash flows</w:t>
            </w: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fair value hierarchy for those instruments measured at fair value that distinguishes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between assumptions based on market data (observable inputs) and the Company’s own assumptions (unobservable inputs). The hierarchy consists of three levels:</w:t>
      </w:r>
    </w:p>
    <w:p>
      <w:pPr>
        <w:spacing w:after="0" w:line="54" w:lineRule="exact"/>
        <w:rPr>
          <w:sz w:val="20"/>
          <w:szCs w:val="20"/>
          <w:color w:val="auto"/>
        </w:rPr>
      </w:pPr>
    </w:p>
    <w:p>
      <w:pPr>
        <w:ind w:left="960" w:hanging="383"/>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Utilize observable inputs such as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Utilize data points that are either directly or indirectly observable, such as quoted prices, interest rates and yield curves;</w:t>
      </w:r>
    </w:p>
    <w:p>
      <w:pPr>
        <w:spacing w:after="0" w:line="117" w:lineRule="exact"/>
        <w:rPr>
          <w:rFonts w:ascii="Times New Roman" w:cs="Times New Roman" w:eastAsia="Times New Roman" w:hAnsi="Times New Roman"/>
          <w:sz w:val="18"/>
          <w:szCs w:val="18"/>
          <w:color w:val="auto"/>
        </w:rPr>
      </w:pPr>
    </w:p>
    <w:p>
      <w:pPr>
        <w:ind w:left="960" w:right="840" w:hanging="383"/>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Utilize unobservable data points in which there is little or no market data, which require the Company to develop its own assumptions for the asset or liability.</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of assets or liabilities between Level 1, Level 2 or Level 3 during the years ended December 31, 2022 and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based upon its intent with regard to such investments. The Company classifies investments as short-term when their remaining contractual maturities are one year or less from the balance sheet date, and as long-term when the investment has a remaining contractual maturity of more than one year from the balance sheet date.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80" w:firstLine="509"/>
        <w:spacing w:after="0" w:line="222" w:lineRule="exact"/>
        <w:rPr>
          <w:sz w:val="20"/>
          <w:szCs w:val="20"/>
          <w:color w:val="auto"/>
        </w:rPr>
      </w:pPr>
      <w:r>
        <w:rPr>
          <w:rFonts w:ascii="Times New Roman" w:cs="Times New Roman" w:eastAsia="Times New Roman" w:hAnsi="Times New Roman"/>
          <w:sz w:val="18"/>
          <w:szCs w:val="18"/>
          <w:color w:val="auto"/>
        </w:rPr>
        <w:t>Property and equipment, including leasehold improvements, are recorded at cost and depreciated over their estimated useful lives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Repairs and maintenance costs are expensed as incurred, whereas major improvements are capitalized as additions to property and equipment.</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begins at the time the asset is placed in service. Depreciation is provided over the following estimated useful lives: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8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180" w:type="dxa"/>
            <w:vAlign w:val="bottom"/>
          </w:tcPr>
          <w:p>
            <w:pPr>
              <w:spacing w:after="0"/>
              <w:rPr>
                <w:sz w:val="16"/>
                <w:szCs w:val="16"/>
                <w:color w:val="auto"/>
              </w:rPr>
            </w:pPr>
          </w:p>
        </w:tc>
        <w:tc>
          <w:tcPr>
            <w:tcW w:w="3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80" w:type="dxa"/>
            <w:vAlign w:val="bottom"/>
            <w:shd w:val="clear" w:color="auto" w:fill="CFF0FC"/>
          </w:tcPr>
          <w:p>
            <w:pPr>
              <w:spacing w:after="0"/>
              <w:rPr>
                <w:sz w:val="20"/>
                <w:szCs w:val="20"/>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shd w:val="clear" w:color="auto" w:fill="CFF0FC"/>
          </w:tcPr>
          <w:p>
            <w:pPr>
              <w:spacing w:after="0"/>
              <w:rPr>
                <w:sz w:val="21"/>
                <w:szCs w:val="21"/>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Lesser of useful life or remaining lease term</w:t>
            </w:r>
          </w:p>
        </w:tc>
      </w:tr>
    </w:tbl>
    <w:p>
      <w:pPr>
        <w:spacing w:after="0" w:line="32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-51435</wp:posOffset>
            </wp:positionV>
            <wp:extent cx="6413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To date, no such impairments have been recognized.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judgement to assess if an arrangement is a lease at contract inception. An arrangement is a lease if the contract involves the use of a distinct identified asset, the lessor does not have substantive substitution rights and the Company obtains control of the asset throughout the period by obtaining substantially all of the economic benefit of the asset and the right to direct the use of the asset. Leases classified as operating leases are included in operating lease right-of-use (ROU) assets, current operating lease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liabilities and noncurrent operating lease liabilities in our consolidated balance sheet. Finance leases are included in property and equipment and finance lease obligations in our consolidated balance sheet.</w:t>
      </w:r>
    </w:p>
    <w:p>
      <w:pPr>
        <w:spacing w:after="0" w:line="162"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ROU assets represent the right-to-use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Company utilizes its incremental borrowing rate to determine the present value of lease payments. The incremental borrowing rate is the rate incurred to borrow similar funds, on a collateralized basis, over a comparable term in a similar economic environment.</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elected to account for the lease and non-lease components for leases as a single component for classes of all underlying assets and allocate all of the contract consideration to the lease component only. Lease cost for operating leases is recognized on a straight-line basis over the lease term and is included in operating expenses on the statements of operations and comprehensive loss. Variable lease payments are included in lease operating expenses.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lease term includes options to extend the lease when it is reasonably certain that option will be exercised. Leases with a term of 12 months or less are not recorded on the Company’s consolidated balance sheet.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Costs incurred in research and development are expensed as incurred. The Company defers and capitalizes nonrefundable advance payments made by the Company for research and development activities until the related goods are received or the related services are performed.</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comprised of costs incurred in performing research and development activities, including salary and benefits, equity-based compensation expense, laboratory supplies and other direct expenses, facilities expenses, overhead expenses, contractual services and other outside expenses.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the completion status of the research and development programs and the associated estimate of unbilled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generates revenue through a collaboration and option agreement with Roche for the development and commercialization of product candidates.</w:t>
      </w:r>
    </w:p>
    <w:p>
      <w:pPr>
        <w:spacing w:after="0" w:line="16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collaboration agreements with respect to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considering the nature and contractual terms of the arrangement and the nature of its business operations to determine the classification of the transactions. When the Company is an active participant in the activity and exposed to significant risks and rewards dependent on the commercial success of the collaboration, it will record its transactions on a gross basis in the consolidated financial statements and describe the rights and obligations under the collaborative arrangement in the notes to the consolidated financial statements.</w:t>
      </w:r>
    </w:p>
    <w:p>
      <w:pPr>
        <w:spacing w:after="0" w:line="185"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Company may enter into collaboration agreements for research and development services, under which the Company may license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spacing w:after="0" w:line="16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5" w:lineRule="exact"/>
        <w:rPr>
          <w:sz w:val="20"/>
          <w:szCs w:val="20"/>
          <w:color w:val="auto"/>
        </w:rPr>
      </w:pPr>
    </w:p>
    <w:p>
      <w:pPr>
        <w:ind w:right="20" w:firstLine="8"/>
        <w:spacing w:after="0" w:line="253"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 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full-time equivalent time as a measure of satisfaction of performance obligations.</w:t>
      </w:r>
    </w:p>
    <w:p>
      <w:pPr>
        <w:spacing w:after="0" w:line="187"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Licenses of Intellectual Property</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Services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Options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Milestone Payments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1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spacing w:after="0" w:line="2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Equity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-51435</wp:posOffset>
            </wp:positionV>
            <wp:extent cx="6413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26" w:lineRule="exact"/>
        <w:rPr>
          <w:sz w:val="20"/>
          <w:szCs w:val="20"/>
          <w:color w:val="auto"/>
        </w:rPr>
      </w:pPr>
    </w:p>
    <w:p>
      <w:pPr>
        <w:ind w:right="60" w:firstLine="509"/>
        <w:spacing w:after="0" w:line="218" w:lineRule="exact"/>
        <w:rPr>
          <w:sz w:val="20"/>
          <w:szCs w:val="20"/>
          <w:color w:val="auto"/>
        </w:rPr>
      </w:pPr>
      <w:r>
        <w:rPr>
          <w:rFonts w:ascii="Times New Roman" w:cs="Times New Roman" w:eastAsia="Times New Roman" w:hAnsi="Times New Roman"/>
          <w:sz w:val="18"/>
          <w:szCs w:val="18"/>
          <w:color w:val="auto"/>
        </w:rPr>
        <w:t>The Company measures equity-based compensation to employees, non-employees and directors based on the grant date fair value of the awards and recognizes the associated expense in the financial statements over the requisite service period of the award, which is generally the vesting period. The fair value of each option and purchase rights under the employee stock purchase plan (ESPP) is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Expected volatility for the Company’s common stock is determined based on an average of the historical volatility of the Company and the historical volatility of a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of similar public companies. The expected term of options granted to employees is calculated using the simplified method, which represents the average of the contractual term of the option and the weighted-average vesting period of the option. The expected term of purchase rights for the ESPP is based on the duration of an offering period. The assumed dividend yield is based upon the Company’s expectation of not paying dividends in the foreseeable future.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upon the U.S. Treasury yield curve commensurate with the expected term at the time of grant or remeasurement. Forfeitures are recognized as they occur.</w:t>
      </w:r>
    </w:p>
    <w:p>
      <w:pPr>
        <w:spacing w:after="0" w:line="20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and comprehensive loss in the same manner in which the award recipient’s payroll costs are classified or in which the award recipients’ service payments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outstanding stock options and potential shares issuable under the ESPP.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 in one operating segment: discovery and development of synthetic biology therapeutics for the treatment of rare, infectious and other diseases. The Company’s chief executive officer, as chief operating decision maker, manages and allocates resources to the operations of the Company on a total company basis. All of the Company’s equipment, leasehold improvements and other fixed assets are physically located within the United States, and all agreements with its partners are denominated in U.S. dollars, except where noted.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Treasury stock purchases are accounted for under the cost method whereby the entire cost of the acquired stock is recorded as treasury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accounting standard setting bodies that the Company adopts as of the specified effective date. Unless otherwise discussed below, recently issued pronouncements that are or will be applicable to the Company did not have, or are not expected to have, a material impact on its present or future consolidated financial statements or disclosures.</w:t>
      </w:r>
    </w:p>
    <w:p>
      <w:pPr>
        <w:spacing w:after="0" w:line="284"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as of December 31, 2022 and 2021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credit information, perceived market movements, sector news and economic events. The inputs into these models may include benchmark yields, reported trades, broker-dealer quotes, issuer spreads and other relevant data.</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and 2021, the Company has classified assets measured at fair value on a recurring basis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1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77,629</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1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136,628</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-1525270</wp:posOffset>
            </wp:positionV>
            <wp:extent cx="3180080" cy="7200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3180080" cy="7200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December 31, 2022 and December 31, 2021 are carried at amounts that approximate fair value due to their short-term maturities. Finance lease obligations at December 31, 2022 and December 31, 2021 approximate fair value as they bear interest at a rate approximating a market interest rate.</w:t>
      </w:r>
    </w:p>
    <w:p>
      <w:pPr>
        <w:spacing w:after="0" w:line="280"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December 31, 2022 and 2021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3"/>
                <w:szCs w:val="13"/>
                <w:color w:val="auto"/>
              </w:rPr>
            </w:pPr>
          </w:p>
        </w:tc>
        <w:tc>
          <w:tcPr>
            <w:tcW w:w="11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44,437</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(99 )</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80" w:type="dxa"/>
            <w:vAlign w:val="bottom"/>
          </w:tcPr>
          <w:p>
            <w:pPr>
              <w:spacing w:after="0"/>
              <w:rPr>
                <w:sz w:val="24"/>
                <w:szCs w:val="24"/>
                <w:color w:val="auto"/>
              </w:rPr>
            </w:pPr>
          </w:p>
        </w:tc>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24"/>
                <w:szCs w:val="24"/>
                <w:color w:val="auto"/>
              </w:rPr>
            </w:pPr>
          </w:p>
        </w:tc>
        <w:tc>
          <w:tcPr>
            <w:tcW w:w="11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106,298</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120,236</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-1687830</wp:posOffset>
            </wp:positionV>
            <wp:extent cx="68580" cy="557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68580" cy="55753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-1687830</wp:posOffset>
            </wp:positionV>
            <wp:extent cx="68580" cy="557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68580" cy="55753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-1687830</wp:posOffset>
            </wp:positionV>
            <wp:extent cx="60325" cy="557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60325" cy="5575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-1687830</wp:posOffset>
            </wp:positionV>
            <wp:extent cx="60325" cy="557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60325" cy="5575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-668020</wp:posOffset>
            </wp:positionV>
            <wp:extent cx="6858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-668020</wp:posOffset>
            </wp:positionV>
            <wp:extent cx="6858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-668020</wp:posOffset>
            </wp:positionV>
            <wp:extent cx="6032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contractual maturity of all securities held at December 31, 2022 was six months or less. There were fifteen investments in an unrealized loss position at December 31, 2022. The aggregate fair value of the securities in an unrealized loss position at December 31, 2022 and 2021 was $36.6 million and $72.2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maturity or a market price recovery and considers whether evidence indicating the cost of the investment is recoverable outweighs evidence to the contrary. The Company did not hold any securities with an other-than-temporary impairment at December 31, 2022.</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29"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r>
      <w:tr>
        <w:trPr>
          <w:trHeight w:val="187"/>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r>
      <w:tr>
        <w:trPr>
          <w:trHeight w:val="277"/>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80" w:type="dxa"/>
            <w:vAlign w:val="bottom"/>
          </w:tcPr>
          <w:p>
            <w:pPr>
              <w:spacing w:after="0"/>
              <w:rPr>
                <w:sz w:val="20"/>
                <w:szCs w:val="20"/>
                <w:color w:val="auto"/>
              </w:rPr>
            </w:pPr>
          </w:p>
        </w:tc>
      </w:tr>
      <w:tr>
        <w:trPr>
          <w:trHeight w:val="24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(13,140 )</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(10,626 )</w:t>
            </w:r>
          </w:p>
        </w:tc>
      </w:tr>
      <w:tr>
        <w:trPr>
          <w:trHeight w:val="237"/>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80" w:type="dxa"/>
            <w:vAlign w:val="bottom"/>
            <w:tcBorders>
              <w:top w:val="single" w:sz="8" w:color="CFF0FC"/>
            </w:tcBorders>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-504825</wp:posOffset>
            </wp:positionV>
            <wp:extent cx="51435"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51435"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on property and equipment was $2.5 million and $2.4 million in 2022 and 2021, respectively.</w:t>
      </w:r>
    </w:p>
    <w:p>
      <w:pPr>
        <w:spacing w:after="0" w:line="329"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7"/>
        </w:trPr>
        <w:tc>
          <w:tcPr>
            <w:tcW w:w="17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24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3"/>
        </w:trPr>
        <w:tc>
          <w:tcPr>
            <w:tcW w:w="1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6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F-16</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-521970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-504825</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3"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has the following characteristics:</w:t>
      </w:r>
    </w:p>
    <w:p>
      <w:pPr>
        <w:spacing w:after="0" w:line="117" w:lineRule="exact"/>
        <w:rPr>
          <w:rFonts w:ascii="Times New Roman" w:cs="Times New Roman" w:eastAsia="Times New Roman" w:hAnsi="Times New Roman"/>
          <w:sz w:val="18"/>
          <w:szCs w:val="18"/>
          <w:b w:val="1"/>
          <w:bCs w:val="1"/>
          <w:color w:val="auto"/>
        </w:rPr>
      </w:pPr>
    </w:p>
    <w:p>
      <w:pPr>
        <w:ind w:left="1800" w:right="900" w:hanging="384"/>
        <w:spacing w:after="0" w:line="282" w:lineRule="auto"/>
        <w:tabs>
          <w:tab w:leader="none" w:pos="18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w:t>
      </w:r>
    </w:p>
    <w:p>
      <w:pPr>
        <w:spacing w:after="0" w:line="53" w:lineRule="exact"/>
        <w:rPr>
          <w:rFonts w:ascii="Times New Roman" w:cs="Times New Roman" w:eastAsia="Times New Roman" w:hAnsi="Times New Roman"/>
          <w:sz w:val="18"/>
          <w:szCs w:val="18"/>
          <w:color w:val="auto"/>
        </w:rPr>
      </w:pPr>
    </w:p>
    <w:p>
      <w:pPr>
        <w:ind w:left="1800" w:right="600" w:hanging="384"/>
        <w:spacing w:after="0" w:line="282" w:lineRule="auto"/>
        <w:tabs>
          <w:tab w:leader="none" w:pos="18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common stock are entitled to receive dividends, if and when, declared by the Company’s board of directors. Since inception, no cash dividends have been declared.</w:t>
      </w:r>
    </w:p>
    <w:p>
      <w:pPr>
        <w:spacing w:after="0" w:line="162"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June 2019, the Company issued to Ginkgo Bioworks, Inc. (Ginkgo) 6,340,771 shares of common stock and accompanying Pre-Funded Warrants (the Pre-Funded Warrants) to purchase up to an aggregate of 2,548,117 shares of common stock, at a combined purchase price per share and Pre-Funded Warrant of $9.00. The Pre-Funded Warrants have an exercise price of $9.00 per share, with $8.99 of such exercise price paid at the closing of the offering. The proceeds, net of issuance costs, were approximately $79.9 million, $57.0 million related to the proceeds from sale of the common stock and $22.9 million related to the proceeds from sale of the Pre-Funded Warrants. 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In addition, in connection with the issuance to Ginkgo of common stock and Pre-Funded Warrants, the Company expanded its existing collaboration and entered into an agreement with Ginkgo for the research and development of engineered microbial therapeutic products. None of the Pre-Funded Warrants have been exercised as of December 31, 2022. (See Note 10,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Ginkgo Collaboration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October 13, 2017, the Company entered into a sales agreement with Cowen and Company, LLC (Cowen) with respect to an at-the-market (ATM) offering program. In an ATM offering, exchange-listed companies incrementally sell newly issued shares into the secondary trading market through a designated broker-dealer at prevailing market prices. During the year ended December 31, 2021, 2,447,211 shares of common stock were sold pursuant to the ATM, resulting in net proceeds of approximately $8.0 million. This sales agreement with Cowen was terminated in July 2021.</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July 2021, the Company entered into a new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year ended December 31, 2022, 481,451 shares of common stock were sold pursuant to the sales agreement with Jefferies, resulting in net proceeds of approximately $0.3 million.</w:t>
      </w:r>
    </w:p>
    <w:p>
      <w:pPr>
        <w:spacing w:after="0" w:line="183" w:lineRule="exact"/>
        <w:rPr>
          <w:sz w:val="20"/>
          <w:szCs w:val="20"/>
          <w:color w:val="auto"/>
        </w:rPr>
      </w:pPr>
    </w:p>
    <w:p>
      <w:pPr>
        <w:jc w:val="both"/>
        <w:ind w:right="280" w:firstLine="509"/>
        <w:spacing w:after="0" w:line="289" w:lineRule="auto"/>
        <w:rPr>
          <w:sz w:val="20"/>
          <w:szCs w:val="20"/>
          <w:color w:val="auto"/>
        </w:rPr>
      </w:pPr>
      <w:r>
        <w:rPr>
          <w:rFonts w:ascii="Times New Roman" w:cs="Times New Roman" w:eastAsia="Times New Roman" w:hAnsi="Times New Roman"/>
          <w:sz w:val="17"/>
          <w:szCs w:val="17"/>
          <w:color w:val="auto"/>
        </w:rPr>
        <w:t>In April 2021, the Company sold 11,500,000 shares of its common stock at a public offering price of $3.00 per share pursuant to an underwritten public offering. The net proceeds to the Company from the offering, after deducting the underwriting discounts and commissions and offering expenses payable by the Company, were approximately $32.6 million. All shares of common stock sold in the offering were sold by the Company.</w:t>
      </w:r>
    </w:p>
    <w:p>
      <w:pPr>
        <w:spacing w:after="0" w:line="15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Company sold 17,250,000 shares of its common stock at a public offering price of $3.00 per share pursuant to an underwritten public offering. The net proceeds to the Company from the offering, after deducting the underwriting discounts and commissions and offering expenses payable by the Company, were approximately $48.4 million. All shares of common stock sold in the offering were sold by the Company.</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320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3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2,548,117</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to purchase common stock</w:t>
            </w:r>
          </w:p>
        </w:tc>
        <w:tc>
          <w:tcPr>
            <w:tcW w:w="3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3,328,011</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52,648</w:t>
            </w: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5,928,776</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5"/>
              </w:rPr>
              <w:t>(9)</w:t>
            </w:r>
          </w:p>
        </w:tc>
        <w:tc>
          <w:tcPr>
            <w:tcW w:w="7120" w:type="dxa"/>
            <w:vAlign w:val="bottom"/>
            <w:gridSpan w:val="2"/>
            <w:vMerge w:val="restart"/>
          </w:tcPr>
          <w:p>
            <w:pPr>
              <w:ind w:left="160"/>
              <w:spacing w:after="0" w:line="207" w:lineRule="exact"/>
              <w:rPr>
                <w:sz w:val="20"/>
                <w:szCs w:val="20"/>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and Equity Incentive Plans</w:t>
            </w: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60" w:type="dxa"/>
            <w:vAlign w:val="bottom"/>
            <w:vMerge w:val="continue"/>
          </w:tcPr>
          <w:p>
            <w:pPr>
              <w:spacing w:after="0"/>
              <w:rPr>
                <w:sz w:val="24"/>
                <w:szCs w:val="24"/>
                <w:color w:val="auto"/>
              </w:rPr>
            </w:pPr>
          </w:p>
        </w:tc>
        <w:tc>
          <w:tcPr>
            <w:tcW w:w="7120" w:type="dxa"/>
            <w:vAlign w:val="bottom"/>
            <w:gridSpan w:val="2"/>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currently has three active equity plans.</w:t>
      </w:r>
    </w:p>
    <w:p>
      <w:pPr>
        <w:spacing w:after="0" w:line="225" w:lineRule="exact"/>
        <w:rPr>
          <w:sz w:val="20"/>
          <w:szCs w:val="20"/>
          <w:color w:val="auto"/>
        </w:rPr>
      </w:pPr>
    </w:p>
    <w:p>
      <w:pPr>
        <w:ind w:right="40" w:firstLine="509"/>
        <w:spacing w:after="0" w:line="221" w:lineRule="exact"/>
        <w:rPr>
          <w:sz w:val="20"/>
          <w:szCs w:val="20"/>
          <w:color w:val="auto"/>
        </w:rPr>
      </w:pPr>
      <w:r>
        <w:rPr>
          <w:rFonts w:ascii="Times New Roman" w:cs="Times New Roman" w:eastAsia="Times New Roman" w:hAnsi="Times New Roman"/>
          <w:sz w:val="18"/>
          <w:szCs w:val="18"/>
          <w:color w:val="auto"/>
        </w:rPr>
        <w:t>The 2015 Equity Incentive Award Plan (2015 Plan) functions as the primary equity plan for the Company. The 2015 Plan includes an “evergreen provision” that allows for an annual increase in the number of shares of common stock available for issuance under the 2015 Plan, which annual increase will be added on the first day of each fiscal year from 2016 through 2025, inclusive, and will be equal to the lesser of (i) five percent of the shares outstanding on the last day of the immediately preceding fiscal year and (ii) such smaller number of shares as determined by the Board of Directors. On January 1, 2022, the Company added 3,484,942 shares to the 2015 Plan pursuant to the “evergreen provision”. The 2015 Plan provides for the granting of a variety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w:t>
      </w:r>
    </w:p>
    <w:p>
      <w:pPr>
        <w:spacing w:after="0" w:line="183"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2017 Stock Incentive Plan (the 2017 Plan) provides for the grant of incentive stock options, non-qualified stock options, restricted and unrestricted stock awards and other stock-based awards.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2015 Employee Stock Purchase Plan (ESPP)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2015 ESPP and approved an amendment to the ESPP to (i) reduce the permitted payroll deduction and number of shares of the Company’s common stock that a participant may purchase per calendar year and offering period under the ESPP and (ii) establish a period for enrollment for eligible participants. The reactivation of the 2015 ESPP was effective immediately. The Company’s executive officers are eligible to participate in the 2015 ESPP. The ESPP includes an “evergreen provision,” allowing for an annual increase in the number of shares of common stock available for issuance. On January 1, 2022, the Company added 696,988 shares to the ESPP pursuant to the “evergreen provision”. There were 106,629 shares of common stock purchased under the ESPP during the year ended December 31, 2022.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the Black-Scholes option-pricing model for stock options issued to employees and non-employees under the 2015 Plan and the 2017 Plan, during the years ended December 31, 2022 and 2021 were: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7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24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4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36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40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6.2 years</w:t>
            </w:r>
          </w:p>
        </w:tc>
        <w:tc>
          <w:tcPr>
            <w:tcW w:w="16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6.2 years</w:t>
            </w:r>
          </w:p>
        </w:tc>
        <w:tc>
          <w:tcPr>
            <w:tcW w:w="13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370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00" w:type="dxa"/>
            <w:vAlign w:val="bottom"/>
            <w:gridSpan w:val="2"/>
            <w:shd w:val="clear" w:color="auto" w:fill="CFF0FC"/>
          </w:tcPr>
          <w:p>
            <w:pPr>
              <w:jc w:val="center"/>
              <w:ind w:left="2310"/>
              <w:spacing w:after="0"/>
              <w:rPr>
                <w:sz w:val="20"/>
                <w:szCs w:val="20"/>
                <w:color w:val="auto"/>
              </w:rPr>
            </w:pPr>
            <w:r>
              <w:rPr>
                <w:rFonts w:ascii="Times New Roman" w:cs="Times New Roman" w:eastAsia="Times New Roman" w:hAnsi="Times New Roman"/>
                <w:sz w:val="18"/>
                <w:szCs w:val="18"/>
                <w:color w:val="auto"/>
                <w:w w:val="98"/>
              </w:rPr>
              <w:t>82.5%</w:t>
            </w:r>
          </w:p>
        </w:tc>
        <w:tc>
          <w:tcPr>
            <w:tcW w:w="1440" w:type="dxa"/>
            <w:vAlign w:val="bottom"/>
            <w:gridSpan w:val="2"/>
            <w:shd w:val="clear" w:color="auto" w:fill="CFF0FC"/>
          </w:tcPr>
          <w:p>
            <w:pPr>
              <w:jc w:val="center"/>
              <w:ind w:left="56"/>
              <w:spacing w:after="0"/>
              <w:rPr>
                <w:sz w:val="20"/>
                <w:szCs w:val="20"/>
                <w:color w:val="auto"/>
              </w:rPr>
            </w:pPr>
            <w:r>
              <w:rPr>
                <w:rFonts w:ascii="Times New Roman" w:cs="Times New Roman" w:eastAsia="Times New Roman" w:hAnsi="Times New Roman"/>
                <w:sz w:val="18"/>
                <w:szCs w:val="18"/>
                <w:color w:val="auto"/>
                <w:w w:val="98"/>
              </w:rPr>
              <w:t>84.9%</w:t>
            </w:r>
          </w:p>
        </w:tc>
        <w:tc>
          <w:tcPr>
            <w:tcW w:w="136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spacing w:after="0"/>
              <w:rPr>
                <w:sz w:val="20"/>
                <w:szCs w:val="20"/>
                <w:color w:val="auto"/>
              </w:rPr>
            </w:pPr>
          </w:p>
        </w:tc>
      </w:tr>
      <w:tr>
        <w:trPr>
          <w:trHeight w:val="900"/>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F-18</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2015 and 2017 Plans.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4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4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5"/>
                <w:szCs w:val="15"/>
                <w:color w:val="auto"/>
              </w:rPr>
            </w:pPr>
          </w:p>
        </w:tc>
      </w:tr>
      <w:tr>
        <w:trPr>
          <w:trHeight w:val="156"/>
        </w:trPr>
        <w:tc>
          <w:tcPr>
            <w:tcW w:w="4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35"/>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95"/>
              <w:spacing w:after="0" w:line="15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5"/>
              <w:spacing w:after="0" w:line="194" w:lineRule="exact"/>
              <w:rPr>
                <w:sz w:val="20"/>
                <w:szCs w:val="20"/>
                <w:color w:val="auto"/>
              </w:rPr>
            </w:pPr>
            <w:r>
              <w:rPr>
                <w:rFonts w:ascii="Times New Roman" w:cs="Times New Roman" w:eastAsia="Times New Roman" w:hAnsi="Times New Roman"/>
                <w:sz w:val="14"/>
                <w:szCs w:val="14"/>
                <w:b w:val="1"/>
                <w:bCs w:val="1"/>
                <w:color w:val="auto"/>
                <w:w w:val="91"/>
              </w:rPr>
              <w:t xml:space="preserve">value </w:t>
            </w:r>
            <w:r>
              <w:rPr>
                <w:rFonts w:ascii="Times New Roman" w:cs="Times New Roman" w:eastAsia="Times New Roman" w:hAnsi="Times New Roman"/>
                <w:sz w:val="19"/>
                <w:szCs w:val="19"/>
                <w:b w:val="1"/>
                <w:bCs w:val="1"/>
                <w:color w:val="auto"/>
                <w:w w:val="91"/>
                <w:vertAlign w:val="superscript"/>
              </w:rPr>
              <w:t>(a)</w:t>
            </w:r>
          </w:p>
        </w:tc>
        <w:tc>
          <w:tcPr>
            <w:tcW w:w="80" w:type="dxa"/>
            <w:vAlign w:val="bottom"/>
          </w:tcPr>
          <w:p>
            <w:pPr>
              <w:spacing w:after="0"/>
              <w:rPr>
                <w:sz w:val="16"/>
                <w:szCs w:val="16"/>
                <w:color w:val="auto"/>
              </w:rPr>
            </w:pPr>
          </w:p>
        </w:tc>
      </w:tr>
      <w:tr>
        <w:trPr>
          <w:trHeight w:val="187"/>
        </w:trPr>
        <w:tc>
          <w:tcPr>
            <w:tcW w:w="478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r>
      <w:tr>
        <w:trPr>
          <w:trHeight w:val="23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4,500,913</w:t>
            </w: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FF0FC"/>
          </w:tcPr>
          <w:p>
            <w:pPr>
              <w:spacing w:after="0"/>
              <w:rPr>
                <w:sz w:val="20"/>
                <w:szCs w:val="20"/>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(35,562 )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(956,655 )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82"/>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7,247,695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4780" w:type="dxa"/>
            <w:vAlign w:val="bottom"/>
            <w:tcBorders>
              <w:top w:val="single" w:sz="8" w:color="CFF0FC"/>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4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gridSpan w:val="2"/>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r>
      <w:tr>
        <w:trPr>
          <w:trHeight w:val="24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7,247,695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1"/>
                <w:szCs w:val="2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-482600</wp:posOffset>
            </wp:positionV>
            <wp:extent cx="5969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-465455</wp:posOffset>
            </wp:positionV>
            <wp:extent cx="51435"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51435" cy="163195"/>
                    </a:xfrm>
                    <a:prstGeom prst="rect">
                      <a:avLst/>
                    </a:prstGeom>
                    <a:noFill/>
                  </pic:spPr>
                </pic:pic>
              </a:graphicData>
            </a:graphic>
          </wp:anchor>
        </w:drawing>
      </w:r>
    </w:p>
    <w:p>
      <w:pPr>
        <w:spacing w:after="0" w:line="177" w:lineRule="exact"/>
        <w:rPr>
          <w:sz w:val="20"/>
          <w:szCs w:val="20"/>
          <w:color w:val="auto"/>
        </w:rPr>
      </w:pPr>
    </w:p>
    <w:p>
      <w:pPr>
        <w:ind w:right="220" w:firstLine="8"/>
        <w:spacing w:after="0" w:line="254" w:lineRule="auto"/>
        <w:tabs>
          <w:tab w:leader="none" w:pos="161"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aggregate intrinsic value is calculated as the difference between the exercise price of the options and the fair market value of the underlying common stock for the options that were in the money at December 31, 2022 and 2021. 185,500 and 1,210,026 options were in the money at December 31, 2022 and 2021, respectively.</w:t>
      </w:r>
    </w:p>
    <w:p>
      <w:pPr>
        <w:spacing w:after="0" w:line="19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of options granted during the years ended December 31, 2022 and 2021 was approximately $1.16 and $2.42, respectively. The total fair value of awards that vested during the years ended December 31, 2022 and 2021 was $3.2 million and $2.8 million, respectively.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approximately $4.9 million of unrecognized share-based compensation for unvested stock option grants which is expected to be recognized over a weighted average period of 2.6 years. The total unrecognized share-based compensation cost will be adjusted for actual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2022 and 2021, 762,772 and 242,454 shares of restricted common stock were granted,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restricted common stock activity:</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80" w:type="dxa"/>
            <w:vAlign w:val="bottom"/>
          </w:tcPr>
          <w:p>
            <w:pPr>
              <w:spacing w:after="0"/>
              <w:rPr>
                <w:sz w:val="16"/>
                <w:szCs w:val="16"/>
                <w:color w:val="auto"/>
              </w:rPr>
            </w:pPr>
          </w:p>
        </w:tc>
      </w:tr>
      <w:tr>
        <w:trPr>
          <w:trHeight w:val="131"/>
        </w:trPr>
        <w:tc>
          <w:tcPr>
            <w:tcW w:w="5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r>
      <w:tr>
        <w:trPr>
          <w:trHeight w:val="148"/>
        </w:trPr>
        <w:tc>
          <w:tcPr>
            <w:tcW w:w="5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r>
      <w:tr>
        <w:trPr>
          <w:trHeight w:val="175"/>
        </w:trPr>
        <w:tc>
          <w:tcPr>
            <w:tcW w:w="5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5"/>
                <w:szCs w:val="15"/>
                <w:color w:val="auto"/>
              </w:rPr>
            </w:pPr>
          </w:p>
        </w:tc>
      </w:tr>
      <w:tr>
        <w:trPr>
          <w:trHeight w:val="176"/>
        </w:trPr>
        <w:tc>
          <w:tcPr>
            <w:tcW w:w="5320" w:type="dxa"/>
            <w:vAlign w:val="bottom"/>
          </w:tcPr>
          <w:p>
            <w:pPr>
              <w:spacing w:after="0"/>
              <w:rPr>
                <w:sz w:val="15"/>
                <w:szCs w:val="15"/>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r>
      <w:tr>
        <w:trPr>
          <w:trHeight w:val="187"/>
        </w:trPr>
        <w:tc>
          <w:tcPr>
            <w:tcW w:w="532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299,248</w:t>
            </w: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(83,637 )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(152,118 )</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r>
      <w:tr>
        <w:trPr>
          <w:trHeight w:val="277"/>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826,265</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fair value of shares that vested during the years ended December 31, 2022 and 2021 was $0.2 million and $0.8 million, respectively.</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approximately $1.2 million of unrecognized share-based compensation related to restricted stock awards granted, which is expected to be recognized over a weighted average period of 2.8 years. The total unrecognized share-based compensation cost will be adjusted for actual forfeitures as they occur.</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0" w:name="page121"/>
    <w:bookmarkEnd w:id="1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ESPP is considered a compensatory plan with the related compensation expense recognized over the six-month offering periods. The compensation expense for the years ended December 31, 2022 and December 31, 2021 was less than $0.1 million in both years.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92" w:lineRule="exact"/>
        <w:rPr>
          <w:sz w:val="20"/>
          <w:szCs w:val="20"/>
          <w:color w:val="auto"/>
        </w:rPr>
      </w:pPr>
    </w:p>
    <w:p>
      <w:pPr>
        <w:jc w:val="both"/>
        <w:ind w:right="500" w:firstLine="509"/>
        <w:spacing w:after="0" w:line="232" w:lineRule="exact"/>
        <w:rPr>
          <w:sz w:val="20"/>
          <w:szCs w:val="20"/>
          <w:color w:val="auto"/>
        </w:rPr>
      </w:pPr>
      <w:r>
        <w:rPr>
          <w:rFonts w:ascii="Times New Roman" w:cs="Times New Roman" w:eastAsia="Times New Roman" w:hAnsi="Times New Roman"/>
          <w:sz w:val="18"/>
          <w:szCs w:val="18"/>
          <w:color w:val="auto"/>
        </w:rPr>
        <w:t>The Company has recorded total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$3.6 million and $3.4 million, during the years ended December 31, 2022 and 2021, respectively. Equity compensation during the years ended December 31, 2022 and 2021 is derived from stock options, restricted stock awards, and the ESPP.</w:t>
      </w:r>
    </w:p>
    <w:p>
      <w:pPr>
        <w:spacing w:after="0" w:line="171" w:lineRule="exact"/>
        <w:rPr>
          <w:sz w:val="20"/>
          <w:szCs w:val="20"/>
          <w:color w:val="auto"/>
        </w:rPr>
      </w:pPr>
    </w:p>
    <w:p>
      <w:pPr>
        <w:ind w:right="1060" w:firstLine="509"/>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years ended December 31, 2022 and 2021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1,565</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2,074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20"/>
                <w:szCs w:val="20"/>
                <w:color w:val="auto"/>
              </w:rPr>
            </w:pPr>
          </w:p>
        </w:tc>
      </w:tr>
      <w:tr>
        <w:trPr>
          <w:trHeight w:val="277"/>
        </w:trPr>
        <w:tc>
          <w:tcPr>
            <w:tcW w:w="53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3,639</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ind w:right="640" w:firstLine="509"/>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years ended December 31, 2022 and 2021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3,168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spacing w:after="0"/>
              <w:rPr>
                <w:sz w:val="20"/>
                <w:szCs w:val="20"/>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3,639</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w:t>
      </w:r>
    </w:p>
    <w:p>
      <w:pPr>
        <w:spacing w:after="0" w:line="13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 (the Product Candidate).</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Roche Collaboration and Option Agreement, Roche agreed to pay the Company, an upfront, nonrefundable technology access fee of $1.0 million, which the Company received in July 2021. In addition, the Company is eligible to receive up to $5.0 million in milestone payments upon the achievement of certain success criteria. Following the research period, Roche holds an exclusive option right (the Option) to negotiate a definitive Collaboration and License Agreement (CLA) for further development and commercialization of the Product Candidate.</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will establish a Joint Research Committee (JRC) to oversee and manage the execution of the underlying study plan for the Roche Collaboration and Option Agreement.</w:t>
      </w:r>
    </w:p>
    <w:p>
      <w:pPr>
        <w:spacing w:after="0" w:line="20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Roche Collaboration and Option Agreement includes various representations, warranties, covenants, indemnities, and other customary provisions. Roche may terminate the Roche Collaboration and Option Agreement without cause immediately upon written notice where certain success criteria have been met for parts of the study plan, or upon ninety (90) days’ prior written notice to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Either party may terminate the Roche Collaboration and Option Agreement in the event of an uncured material breach of the other party.</w:t>
      </w:r>
    </w:p>
    <w:p>
      <w:pPr>
        <w:spacing w:after="0" w:line="252" w:lineRule="exact"/>
        <w:rPr>
          <w:sz w:val="20"/>
          <w:szCs w:val="20"/>
          <w:color w:val="auto"/>
        </w:rPr>
      </w:pPr>
    </w:p>
    <w:p>
      <w:pPr>
        <w:jc w:val="both"/>
        <w:ind w:right="180" w:firstLine="509"/>
        <w:spacing w:after="0" w:line="312" w:lineRule="auto"/>
        <w:rPr>
          <w:sz w:val="20"/>
          <w:szCs w:val="20"/>
          <w:color w:val="auto"/>
        </w:rPr>
      </w:pPr>
      <w:r>
        <w:rPr>
          <w:rFonts w:ascii="Times New Roman" w:cs="Times New Roman" w:eastAsia="Times New Roman" w:hAnsi="Times New Roman"/>
          <w:sz w:val="17"/>
          <w:szCs w:val="17"/>
          <w:color w:val="auto"/>
        </w:rPr>
        <w:t>The research and development will be performed by the Company for approximately two years according to three phases of research as defined in the research plan. The Company is eligible to receive milestone payments from Roche upon the achievement of success criteria for respective milestones.</w:t>
      </w:r>
    </w:p>
    <w:p>
      <w:pPr>
        <w:spacing w:after="0" w:line="16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concluded that the contract counterparty, Roche, is a customer. The Company identified the following material promises made by the Company to Roche at the outset of the arrangement: (1) a non-exclusive royalty-free research and development license; (2) research and development services for pre-clinical activities under the research plan; (3) implicit renewal options created by Roche’s decision not to terminate the contract; (4) the Company’s participation on the JRC; and (5) an exclusive right to negotiate a definitive CLA for further development and commercialization of the Product Candidate. The Company determined that the license and research and development activities were not distinct from one another, as the license has limited value without the performance of research and development activities. The Company’s participation on the JRC was determined to be quantitatively and qualitatively immaterial and therefore is excluded from performance obligations. As such, the Company determined that the promises associated with the license and research and development services should be combined into a single performance obligation.</w:t>
      </w:r>
    </w:p>
    <w:p>
      <w:pPr>
        <w:spacing w:after="0" w:line="2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next evaluated the milestone payments relating to the three phases of research as defined in the research plan and the option to negotiate and enter into the CLA, to determine whether they provide Roche with any material rights. The Company concluded that the option was not issued at a significant and incremental discount, and therefore do not provide material rights. As such, they were excluded as performance obligations at the outset of the arrangement. If Roche elects to exercise the options, the additional consideration will be added to the transaction price and allocated to the resulting performance obligations.</w:t>
      </w:r>
    </w:p>
    <w:p>
      <w:pPr>
        <w:spacing w:after="0" w:line="21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Roche Collaboration and Option Agreement, which consists of: (1) the non-exclusive license and (2) the research and development activities.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only the $1.0 million up-front consideration received and which was allocated to the single performance obligation. The milestone payments that may be received are excluded from the transaction price until each respective milestone has been achieved. The Company will reevaluate the transaction price at the end of each reporting period and as uncertain events are resolved or other changes in circumstances occur, and, if necessary, adjust its estimate of the transaction price.</w:t>
      </w:r>
    </w:p>
    <w:p>
      <w:pPr>
        <w:spacing w:after="0" w:line="20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2021, the Company began work on the research and development services for the first phase of the research plan and the $1.0 million upfront payment was recognized over the time of the first phase of the research plan. In September 2021, the Company completed the research and development services for the first phase of the research plan and achieved a milestone payment of $1.0 million, which was paid by Roche in November 2021. At this time, the milestone payment was allocated to a new performance obligation consisting of the underlying research and development services to be performed over the second phase of the research plan. In August 2022, the Company completed the research and development services for the second phase of the research plan and achieved a milestone payment of $1.5 million, which was paid by Roche in October 2022. At this time, the milestone payment was allocated to a new performance obligation consisting of the underlying research and development services to be performed over the third phase of the research plan. Upon the Company’s completion of these activities and subject to Roche’s termination right, the additional milestone payments based on the achievement of specific events outlined in the Roche Collaboration and Option Agreement will become due.</w:t>
      </w:r>
    </w:p>
    <w:p>
      <w:pPr>
        <w:spacing w:after="0" w:line="21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Revenue associated with performance obligations under the Roche Collaboration and Option Agreement are recognized as the research and development services are provided using an input method, according to the full-time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$1.2 million and $1.5 million for the years ended December 31, 2022 and 2021, respectively, as collaboration revenue in the Company’s consolidated statements of operations and comprehensive loss. Deferred revenue from the collaboration amounted to $0.9 million as of December 31, 2022, all of which is included in current liabilities.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Collaboration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2017, the Company established a technology collaboration with Ginkgo. In June 2019, in connection with the issuance to Ginkgo of an aggregate of 6,340,771 shares of common stock and Pre-Funded Warrants to purchase an aggregate of 2,548,117 common stock (See Note 8),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The current and non-current balances relating to the prepayment of foundry services is recorded in prepaid expenses and other current assets and prepaid research and development, net of current portion, respectively, on the December 31, 2022 consolidated balance sheet. At December 31, 2022, the Company had remaining balances of $0.1 million and $8.2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292"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for share and per share amounts):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(66,147 )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(60,561 )</w:t>
            </w: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71,725,479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55,329,711</w:t>
            </w:r>
          </w:p>
        </w:tc>
        <w:tc>
          <w:tcPr>
            <w:tcW w:w="8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64"/>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76" w:lineRule="exact"/>
        <w:rPr>
          <w:sz w:val="20"/>
          <w:szCs w:val="20"/>
          <w:color w:val="auto"/>
        </w:rPr>
      </w:pPr>
    </w:p>
    <w:p>
      <w:pPr>
        <w:ind w:right="400" w:firstLine="509"/>
        <w:spacing w:after="0" w:line="312" w:lineRule="auto"/>
        <w:rPr>
          <w:sz w:val="20"/>
          <w:szCs w:val="20"/>
          <w:color w:val="auto"/>
        </w:rPr>
      </w:pPr>
      <w:r>
        <w:rPr>
          <w:rFonts w:ascii="Times New Roman" w:cs="Times New Roman" w:eastAsia="Times New Roman" w:hAnsi="Times New Roman"/>
          <w:sz w:val="17"/>
          <w:szCs w:val="17"/>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9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826,265</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299,248</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7,247,695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4,500,913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52,648</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80" w:type="dxa"/>
            <w:vAlign w:val="bottom"/>
            <w:shd w:val="clear" w:color="auto" w:fill="CFF0FC"/>
          </w:tcPr>
          <w:p>
            <w:pPr>
              <w:spacing w:after="0"/>
              <w:rPr>
                <w:sz w:val="21"/>
                <w:szCs w:val="21"/>
                <w:color w:val="auto"/>
              </w:rPr>
            </w:pPr>
          </w:p>
        </w:tc>
      </w:tr>
    </w:tbl>
    <w:p>
      <w:pPr>
        <w:spacing w:after="0" w:line="342"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no income tax benefits for the net operating losses incurred due to its uncertainty of reclaiming a benefit for those losses.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consist of the following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76,802</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Amortizable intangibles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ind w:left="180"/>
              <w:spacing w:after="0" w:line="248" w:lineRule="exact"/>
              <w:rPr>
                <w:sz w:val="20"/>
                <w:szCs w:val="20"/>
                <w:color w:val="auto"/>
              </w:rPr>
            </w:pPr>
            <w:r>
              <w:rPr>
                <w:rFonts w:ascii="Times New Roman" w:cs="Times New Roman" w:eastAsia="Times New Roman" w:hAnsi="Times New Roman"/>
                <w:sz w:val="18"/>
                <w:szCs w:val="18"/>
                <w:color w:val="auto"/>
              </w:rPr>
              <w:t xml:space="preserve">Amortizable research expenditures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r>
      <w:tr>
        <w:trPr>
          <w:trHeight w:val="241"/>
        </w:trPr>
        <w:tc>
          <w:tcPr>
            <w:tcW w:w="61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113,521</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94,271</w:t>
            </w:r>
          </w:p>
        </w:tc>
        <w:tc>
          <w:tcPr>
            <w:tcW w:w="80" w:type="dxa"/>
            <w:vAlign w:val="bottom"/>
            <w:shd w:val="clear" w:color="auto" w:fill="CFF0FC"/>
          </w:tcPr>
          <w:p>
            <w:pPr>
              <w:spacing w:after="0"/>
              <w:rPr>
                <w:sz w:val="20"/>
                <w:szCs w:val="20"/>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(3,922 )</w:t>
            </w: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(3,794 )</w:t>
            </w:r>
          </w:p>
        </w:tc>
      </w:tr>
      <w:tr>
        <w:trPr>
          <w:trHeight w:val="20"/>
        </w:trPr>
        <w:tc>
          <w:tcPr>
            <w:tcW w:w="6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(3,922 </w:t>
            </w:r>
            <w:r>
              <w:rPr>
                <w:rFonts w:ascii="Times New Roman" w:cs="Times New Roman" w:eastAsia="Times New Roman" w:hAnsi="Times New Roman"/>
                <w:sz w:val="18"/>
                <w:szCs w:val="18"/>
                <w:color w:val="auto"/>
                <w:highlight w:val="white"/>
              </w:rPr>
              <w:t>)</w:t>
            </w:r>
          </w:p>
        </w:tc>
        <w:tc>
          <w:tcPr>
            <w:tcW w:w="3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(3,794 </w:t>
            </w:r>
            <w:r>
              <w:rPr>
                <w:rFonts w:ascii="Times New Roman" w:cs="Times New Roman" w:eastAsia="Times New Roman" w:hAnsi="Times New Roman"/>
                <w:sz w:val="18"/>
                <w:szCs w:val="18"/>
                <w:color w:val="auto"/>
                <w:highlight w:val="white"/>
              </w:rPr>
              <w:t>)</w:t>
            </w: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(109,599 )</w:t>
            </w: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(90,477 )</w:t>
            </w:r>
          </w:p>
        </w:tc>
      </w:tr>
      <w:tr>
        <w:trPr>
          <w:trHeight w:val="237"/>
        </w:trPr>
        <w:tc>
          <w:tcPr>
            <w:tcW w:w="61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16" w:lineRule="exact"/>
        <w:rPr>
          <w:sz w:val="20"/>
          <w:szCs w:val="20"/>
          <w:color w:val="auto"/>
        </w:rPr>
      </w:pPr>
    </w:p>
    <w:p>
      <w:pPr>
        <w:ind w:left="520" w:right="160" w:hanging="3"/>
        <w:spacing w:after="0" w:line="231" w:lineRule="auto"/>
        <w:tabs>
          <w:tab w:leader="none" w:pos="696"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Under the Tax Cuts and Jobs Act (TCJA), research and experimental (R&amp;D) expenditures are capitalized and amortized under section 174 for tax years beginning after December 31, 2021. These costs are amortized for tax purposes over 5 years since the R&amp;D was performed in the U.S. The unamortized balance of these costs is presented as a deferred tax asset in the table above.</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$109.6 million and $90.5 million was established at December 31, 2022 and 2021,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w:t>
      </w:r>
    </w:p>
    <w:p>
      <w:pPr>
        <w:spacing w:after="0" w:line="23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92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5920" w:type="dxa"/>
            <w:vAlign w:val="bottom"/>
          </w:tcPr>
          <w:p>
            <w:pPr>
              <w:spacing w:after="0"/>
              <w:rPr>
                <w:sz w:val="14"/>
                <w:szCs w:val="14"/>
                <w:color w:val="auto"/>
              </w:rPr>
            </w:pPr>
          </w:p>
        </w:tc>
        <w:tc>
          <w:tcPr>
            <w:tcW w:w="10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Tax Rate</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Tax Rate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1"/>
                <w:szCs w:val="21"/>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items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1"/>
                <w:szCs w:val="21"/>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9"/>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8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valuation allowance for the years ended December 31, 2022 and 2021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(90,477</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(19,122 )</w:t>
            </w:r>
          </w:p>
        </w:tc>
        <w:tc>
          <w:tcPr>
            <w:tcW w:w="3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(17,686 )</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8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(109,599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(90,477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4"/>
                <w:szCs w:val="24"/>
                <w:color w:val="auto"/>
              </w:rPr>
            </w:pPr>
          </w:p>
        </w:tc>
      </w:tr>
      <w:tr>
        <w:trPr>
          <w:trHeight w:val="633"/>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20" w:type="dxa"/>
            <w:vAlign w:val="bottom"/>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F-23</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-513715</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-496570</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that may be available to reduce future taxable income of $302.5 million. Of the $302.5 million of federal net operating loss carryforwards, $79.4 million will expire on various dates from 2034 to 2037. The remaining $223.1 million of federal net operating loss carryforwards do not expire. The Company also had state net operating loss carryforwards that may be available to reduce future taxable income of $289.2 million for the period ended December 31, 2022. The state net operating loss carryforwards begin to expire in 2029. In addition, as of December 31, 2022, the Company had federal and state research and development tax credit carryforwards available to reduce future tax liabilities of $5.9 million and $3.6 million, respectively.</w:t>
      </w:r>
    </w:p>
    <w:p>
      <w:pPr>
        <w:spacing w:after="0" w:line="21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into law which contained provisions that include a 15% corporate minimum tax effective for taxable years beginning after December 31, 2022 and a 1% excise tax on certain stock buybacks after December 31, 2022. The Company expects the impact of these provisions to be immaterial.</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The Company has not completed a study to assess whether an ownership change has occurred, or whether there have been multiple ownership changes since its formation, due to the significant complexity and related costs associated with such a study. There could be additional ownership changes in the future that may result in additional limitations on the utilization of NOL carryforwards and credits.</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is required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2022. The Company’s policy is to record interest and penalties related to unrecognized tax benefits on the income tax expense line in the consolidated statement of operations. There are no interest or penalties accrued at December 31, 2022 and 2021.</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2019 to the present are open to examination under the statute. The Company’s net operating losses and other attributes generated in a closed tax year may still be adjusted to determine the amount of carryforward deduction available in an open year under examination.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November 25, 2022, the Company entered into a definitive share repurchase agreement with a stockholder, as part of a privately negotiated transaction, to repurchase 4,196,889 shares of common stock held by them for an aggregate purchase price of $2.5 million, or $0.60 per share. This repurchase was completed on November 28, 2022.</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Repurchased shares are held as treasury stock at cost until they are retired or re-issued. There were no retirements or re-issuances of treasury stock during the year ended December 31, 2022.</w:t>
      </w:r>
    </w:p>
    <w:p>
      <w:pPr>
        <w:spacing w:after="0" w:line="266"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July 2017, the Company entered into an agreement to lease approximately 41,346 square feet of laboratory and office space at 301 Binney Street in Cambridge, Massachusetts. Annual rent is approximately $3.4 million. The ten-year lease commenced in January 2018 and contains provisions for a free-rent period, annual rent increases and an allowance for tenant improvements. The Company is responsible for real estate taxes, maintenance, and other operating expenses applicable to the leased premises. The Company has paid for tenant improvements of approximately $2.9 million. Additionally, the Company has capitalized approximately $6.6 million of landlord-funded tenant improvements. The Company was deemed to be the accounting owner of the tenant improvements primarily because it was responsible for project cost overruns, and as such, the amounts were recorded as a leasehold improvement. The landlord-funded tenant improvement allowance is being amortized as a reduction to lease expense ratably over the lease term. In conjunction with the lease, the Company established a letter of credit of approximately $1.0 million secured by cash balances included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in restricted cash. Variable payments based on our portion of the operating expenses, including real estate taxes and insurance, are recorded as a period expense when incurred. The Company has an option to extend the term by five years and an option to terminate the agreement if a similar agreement is executed with the landlord or an affiliate of the landlord. Neither option is reasonably certain of exercise and both are excluded from the lease liability calculation.</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2018, the Company entered into an agreement (the First SOW) with Azzur Group, LLC (Azzur) whereby Azzur agreed to provide the Company with access to, and the use of, an approximately 700 square foot cleanroom space to be constructed in Waltham, Massachusetts (the Azzur Suite), for a period of 44 months, from May 1, 2019 to December 31, 2022 (the Initial Term). In April 2021, Synlogic entered into a new agreement (the Second SOW) with Azzur which replaced the First SOW. Pursuant to the Second SOW, Synlogic was granted access to, and use of, the Azzur Suite for a period of 20 months, from May 2021 to December 2022 (the Second Term). On January 21, 2022, the Company entered into two agreements with Azzur. Pursuant to the first of the agreements (the Third SOW), the Company has agreed to pay Azzur $0.7 million to renovate and upgrade the cleanroom space at Azzur for the Company’s expanded use. The second of the agreements (the Fourth SOW) replaces the Second SOW that the Company entered into with Azzur in April 2021. The Fourth SOW extends the term of the lease, for the period beginning January 2022 through March 2023 (the Third Term). In November 2022, the Company entered into a new agreement (the Fifth SOW) with Azzur that extended the term of the lease, for the period beginning April 2023 through December 2023 (the Fourth Term). The Fifth SOW contains two options to extend the lease, the first option goes through June 2024, and the second option goes through December 2024. The Company determined that the agreement contained an embedded lease because the Company controls the use of the Azzur Suite. Accordingly, the fixed and in-substance fixed consideration under the agreement was used to measure the ROU asset and lease liability at the effective date. The ROU asset and lease liability are subsequently remeasured to reflect the impact of each subsequent modification. As of December 31, 2022, the Company determined that it was reasonably certain to exercise the first option to extend the lease under the Fifth SOW, and thus was included in the lease liability calculation.</w:t>
      </w:r>
    </w:p>
    <w:p>
      <w:pPr>
        <w:spacing w:after="0" w:line="19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Leases classified as operating leases are included in operating lease ROU assets, current operating lease liabilities and noncurrent operating lease liabilities in our consolidated balance sheets. The operating lease right-of-use asset and operating lease liability represents the Binney Street lease and the Azzur Suite lease. Cash paid for amounts included in the present value of operating lease liabilities was $5.5 and $4.4 million during the years ended December 31, 2022 and 2021, respectively, which is included in operating cash flows.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operating leases for the years ended December 31, 2022 and 2021 were (in thousands):</w:t>
      </w:r>
    </w:p>
    <w:p>
      <w:pPr>
        <w:spacing w:after="0" w:line="300" w:lineRule="exact"/>
        <w:rPr>
          <w:sz w:val="20"/>
          <w:szCs w:val="20"/>
          <w:color w:val="auto"/>
        </w:rPr>
      </w:pPr>
    </w:p>
    <w:tbl>
      <w:tblPr>
        <w:tblLayout w:type="fixed"/>
        <w:tblInd w:w="2260" w:type="dxa"/>
        <w:tblCellMar>
          <w:top w:w="0" w:type="dxa"/>
          <w:left w:w="0" w:type="dxa"/>
          <w:bottom w:w="0" w:type="dxa"/>
          <w:right w:w="0" w:type="dxa"/>
        </w:tblCellMar>
      </w:tblPr>
      <w:tr>
        <w:trPr>
          <w:trHeight w:val="19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60" w:type="dxa"/>
            <w:vAlign w:val="bottom"/>
          </w:tcPr>
          <w:p>
            <w:pPr>
              <w:spacing w:after="0"/>
              <w:rPr>
                <w:sz w:val="16"/>
                <w:szCs w:val="16"/>
                <w:color w:val="auto"/>
              </w:rPr>
            </w:pPr>
          </w:p>
        </w:tc>
        <w:tc>
          <w:tcPr>
            <w:tcW w:w="29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6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right-of-use asset for the operating lease is disclosed on the consolidated balance sheets.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leases were: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6"/>
        </w:trPr>
        <w:tc>
          <w:tcPr>
            <w:tcW w:w="7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8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644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F-25</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-788035</wp:posOffset>
            </wp:positionV>
            <wp:extent cx="641223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operating leases at December 31, 2022 to the operating lease liabilities recorded on the balance sheet: December 31, 2022</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6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3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FF0FC"/>
          </w:tcPr>
          <w:p>
            <w:pPr>
              <w:spacing w:after="0"/>
              <w:rPr>
                <w:sz w:val="21"/>
                <w:szCs w:val="21"/>
                <w:color w:val="auto"/>
              </w:rPr>
            </w:pP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FF0FC"/>
          </w:tcPr>
          <w:p>
            <w:pPr>
              <w:spacing w:after="0"/>
              <w:rPr>
                <w:sz w:val="21"/>
                <w:szCs w:val="21"/>
                <w:color w:val="auto"/>
              </w:rPr>
            </w:pP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20"/>
                <w:szCs w:val="20"/>
                <w:color w:val="auto"/>
              </w:rPr>
            </w:pPr>
          </w:p>
        </w:tc>
      </w:tr>
      <w:tr>
        <w:trPr>
          <w:trHeight w:val="241"/>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shd w:val="clear" w:color="auto" w:fill="CFF0FC"/>
          </w:tcPr>
          <w:p>
            <w:pPr>
              <w:spacing w:after="0"/>
              <w:rPr>
                <w:sz w:val="20"/>
                <w:szCs w:val="20"/>
                <w:color w:val="auto"/>
              </w:rPr>
            </w:pP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24,761</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20"/>
                <w:szCs w:val="20"/>
                <w:color w:val="auto"/>
              </w:rPr>
            </w:pPr>
          </w:p>
        </w:tc>
      </w:tr>
      <w:tr>
        <w:trPr>
          <w:trHeight w:val="241"/>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62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20" w:type="dxa"/>
            <w:vAlign w:val="bottom"/>
            <w:shd w:val="clear" w:color="auto" w:fill="CFF0FC"/>
          </w:tcPr>
          <w:p>
            <w:pPr>
              <w:spacing w:after="0"/>
              <w:rPr>
                <w:sz w:val="21"/>
                <w:szCs w:val="21"/>
                <w:color w:val="auto"/>
              </w:rPr>
            </w:pP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0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lease cost for finance leases during the years ended December 31, 2022 and 2021, and the finance lease liability at December 31, 2022, were not material.</w:t>
      </w:r>
    </w:p>
    <w:p>
      <w:pPr>
        <w:spacing w:after="0" w:line="266"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84"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a defined contribution 401(k) plan for eligible employees. Employees are eligible to participate in the plan beginning on their date of hire. Under the terms of the plan, employees may make voluntary contributions as a percentage of compensation. The Company started to match employee contributions effective January 1, 2019. The Company matched 50% of the employee contributions to the 401(k) plan up to a maximum of 4% of the participating employee’s eligible earnings, resulting in a maximum company match of 2% of the participating employee’s eligible earnings, and subject to certain additional statutory dollar limitations. In 2021, the Company increased the match to 50% of the employee contributions up to a maximum of 6% of the participating employee’s eligible earnings, resulting in a maximum company match of 3% of the participating employee’s eligible earnings, and subject to certain additional statutory dollar limitations. For the years ended December 31, 2022 and 2021, the Company made $0.5 million and $0.3 million contributions to the plan, respectively.</w:t>
      </w:r>
    </w:p>
    <w:p>
      <w:pPr>
        <w:spacing w:after="0" w:line="296"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8"/>
          <w:szCs w:val="18"/>
          <w:color w:val="auto"/>
        </w:rPr>
        <w:t xml:space="preserve">In June 2019, the Company expanded its collaboration and entered into an agreement with Ginkgo for the research and development of engineered microbial therapeutic products. As of December 31, 2022, Ginkgo owns 6,340,771 shares of the Company’s outstanding common stock. See Note 10,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Ginkgo Collaboration.</w:t>
      </w:r>
    </w:p>
    <w:p>
      <w:pPr>
        <w:spacing w:after="0" w:line="16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Under the agreement the Company made a prepayment to Ginkgo of $30.0 million for its foundry services that will be provided to the Company over an initial term of five years. At December 31, 2022, the Company had remaining balances of $0.1 million and $8.2 million of current and non-current pre-paid research and development costs related to this transaction, respectively. For the year ended December 31, 2022, the Company used $2.9 million of the pre-paid research and development expenses.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ind w:left="7972"/>
        <w:spacing w:after="0"/>
        <w:rPr>
          <w:sz w:val="20"/>
          <w:szCs w:val="20"/>
          <w:color w:val="auto"/>
        </w:rPr>
      </w:pPr>
      <w:r>
        <w:rPr>
          <w:rFonts w:ascii="Times New Roman" w:cs="Times New Roman" w:eastAsia="Times New Roman" w:hAnsi="Times New Roman"/>
          <w:sz w:val="20"/>
          <w:szCs w:val="20"/>
          <w:b w:val="1"/>
          <w:bCs w:val="1"/>
          <w:color w:val="auto"/>
        </w:rPr>
        <w:t>Exhibit 10.32</w:t>
      </w:r>
    </w:p>
    <w:p>
      <w:pPr>
        <w:spacing w:after="0" w:line="229" w:lineRule="exact"/>
        <w:rPr>
          <w:sz w:val="20"/>
          <w:szCs w:val="20"/>
          <w:color w:val="auto"/>
        </w:rPr>
      </w:pPr>
    </w:p>
    <w:p>
      <w:pPr>
        <w:ind w:left="-8" w:firstLine="8"/>
        <w:spacing w:after="0" w:line="256" w:lineRule="auto"/>
        <w:tabs>
          <w:tab w:leader="none" w:pos="47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25"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20"/>
          <w:szCs w:val="20"/>
          <w:b w:val="1"/>
          <w:bCs w:val="1"/>
          <w:u w:val="single" w:color="auto"/>
          <w:color w:val="auto"/>
        </w:rPr>
        <w:t>Scope of Work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831215</wp:posOffset>
            </wp:positionV>
            <wp:extent cx="4140200" cy="8826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414020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12"/>
        <w:spacing w:after="0"/>
        <w:rPr>
          <w:sz w:val="20"/>
          <w:szCs w:val="20"/>
          <w:color w:val="auto"/>
        </w:rPr>
      </w:pPr>
      <w:r>
        <w:rPr>
          <w:rFonts w:ascii="Times New Roman" w:cs="Times New Roman" w:eastAsia="Times New Roman" w:hAnsi="Times New Roman"/>
          <w:sz w:val="32"/>
          <w:szCs w:val="32"/>
          <w:color w:val="auto"/>
        </w:rPr>
        <w:t>Scope of Work</w:t>
      </w:r>
    </w:p>
    <w:p>
      <w:pPr>
        <w:spacing w:after="0" w:line="213" w:lineRule="exact"/>
        <w:rPr>
          <w:sz w:val="20"/>
          <w:szCs w:val="20"/>
          <w:color w:val="auto"/>
        </w:rPr>
      </w:pPr>
    </w:p>
    <w:p>
      <w:pPr>
        <w:ind w:left="4012"/>
        <w:spacing w:after="0"/>
        <w:rPr>
          <w:sz w:val="20"/>
          <w:szCs w:val="20"/>
          <w:color w:val="auto"/>
        </w:rPr>
      </w:pPr>
      <w:r>
        <w:rPr>
          <w:rFonts w:ascii="Times New Roman" w:cs="Times New Roman" w:eastAsia="Times New Roman" w:hAnsi="Times New Roman"/>
          <w:sz w:val="32"/>
          <w:szCs w:val="32"/>
          <w:color w:val="auto"/>
        </w:rPr>
        <w:t>P-10558-01 Extension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752475</wp:posOffset>
            </wp:positionV>
            <wp:extent cx="2434590" cy="1054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243459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32"/>
          <w:szCs w:val="32"/>
          <w:color w:val="auto"/>
        </w:rPr>
        <w:t>Scope of Work for Cleanroom 3 Use</w:t>
      </w:r>
    </w:p>
    <w:p>
      <w:pPr>
        <w:spacing w:after="0" w:line="226"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426720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572" w:right="719" w:bottom="1440" w:gutter="0" w:footer="0" w:header="0"/>
        </w:sectPr>
      </w:pPr>
    </w:p>
    <w:bookmarkStart w:id="128" w:name="page129"/>
    <w:bookmarkEnd w:id="128"/>
    <w:p>
      <w:pPr>
        <w:jc w:val="center"/>
        <w:ind w:right="-640"/>
        <w:spacing w:after="0"/>
        <w:rPr>
          <w:sz w:val="20"/>
          <w:szCs w:val="20"/>
          <w:color w:val="auto"/>
        </w:rPr>
      </w:pPr>
      <w:r>
        <w:rPr>
          <w:rFonts w:ascii="Times New Roman" w:cs="Times New Roman" w:eastAsia="Times New Roman" w:hAnsi="Times New Roman"/>
          <w:sz w:val="32"/>
          <w:szCs w:val="32"/>
          <w:color w:val="auto"/>
        </w:rPr>
        <w:t>(April 1</w:t>
      </w:r>
      <w:r>
        <w:rPr>
          <w:rFonts w:ascii="Times New Roman" w:cs="Times New Roman" w:eastAsia="Times New Roman" w:hAnsi="Times New Roman"/>
          <w:sz w:val="21"/>
          <w:szCs w:val="21"/>
          <w:color w:val="auto"/>
        </w:rPr>
        <w:t>st</w:t>
      </w:r>
      <w:r>
        <w:rPr>
          <w:rFonts w:ascii="Times New Roman" w:cs="Times New Roman" w:eastAsia="Times New Roman" w:hAnsi="Times New Roman"/>
          <w:sz w:val="32"/>
          <w:szCs w:val="32"/>
          <w:color w:val="auto"/>
        </w:rPr>
        <w:t>, 2023 to December 31</w:t>
      </w:r>
      <w:r>
        <w:rPr>
          <w:rFonts w:ascii="Times New Roman" w:cs="Times New Roman" w:eastAsia="Times New Roman" w:hAnsi="Times New Roman"/>
          <w:sz w:val="21"/>
          <w:szCs w:val="21"/>
          <w:color w:val="auto"/>
        </w:rPr>
        <w:t>st</w:t>
      </w:r>
      <w:r>
        <w:rPr>
          <w:rFonts w:ascii="Times New Roman" w:cs="Times New Roman" w:eastAsia="Times New Roman" w:hAnsi="Times New Roman"/>
          <w:sz w:val="32"/>
          <w:szCs w:val="32"/>
          <w:color w:val="auto"/>
        </w:rPr>
        <w:t xml:space="preserve"> 2023</w:t>
      </w:r>
    </w:p>
    <w:p>
      <w:pPr>
        <w:spacing w:after="0" w:line="21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32"/>
          <w:szCs w:val="32"/>
          <w:color w:val="auto"/>
        </w:rPr>
        <w:t>With Options through Q4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426720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7" w:right="1440" w:bottom="1440" w:gutter="0" w:footer="0" w:header="0"/>
        </w:sectPr>
      </w:pPr>
    </w:p>
    <w:bookmarkStart w:id="129" w:name="page130"/>
    <w:bookmarkEnd w:id="129"/>
    <w:p>
      <w:pPr>
        <w:ind w:left="320"/>
        <w:spacing w:after="0"/>
        <w:rPr>
          <w:sz w:val="20"/>
          <w:szCs w:val="20"/>
          <w:color w:val="auto"/>
        </w:rPr>
      </w:pPr>
      <w:r>
        <w:rPr>
          <w:rFonts w:ascii="Times New Roman" w:cs="Times New Roman" w:eastAsia="Times New Roman" w:hAnsi="Times New Roman"/>
          <w:sz w:val="20"/>
          <w:szCs w:val="20"/>
          <w:color w:val="12559A"/>
        </w:rPr>
        <w:t>Section 1 - Background/Scope</w:t>
      </w:r>
    </w:p>
    <w:p>
      <w:pPr>
        <w:spacing w:after="0" w:line="200" w:lineRule="exact"/>
        <w:rPr>
          <w:sz w:val="20"/>
          <w:szCs w:val="20"/>
          <w:color w:val="auto"/>
        </w:rPr>
      </w:pPr>
    </w:p>
    <w:p>
      <w:pPr>
        <w:spacing w:after="0" w:line="353" w:lineRule="exact"/>
        <w:rPr>
          <w:sz w:val="20"/>
          <w:szCs w:val="20"/>
          <w:color w:val="auto"/>
        </w:rPr>
      </w:pPr>
    </w:p>
    <w:p>
      <w:pPr>
        <w:ind w:left="320" w:right="80"/>
        <w:spacing w:after="0" w:line="244" w:lineRule="auto"/>
        <w:rPr>
          <w:sz w:val="20"/>
          <w:szCs w:val="20"/>
          <w:color w:val="auto"/>
        </w:rPr>
      </w:pPr>
      <w:r>
        <w:rPr>
          <w:rFonts w:ascii="Times New Roman" w:cs="Times New Roman" w:eastAsia="Times New Roman" w:hAnsi="Times New Roman"/>
          <w:sz w:val="20"/>
          <w:szCs w:val="20"/>
          <w:color w:val="auto"/>
        </w:rPr>
        <w:t xml:space="preserve">Azzur Cleanrooms On Demand (“COD”) facilities are designed for clients to utilize controlled clean areas and services related to early phase cGMP manufacturing. This Scope of Work (“SOW”) is for 9 months, subject to terms and conditions specified in the </w:t>
      </w:r>
      <w:r>
        <w:rPr>
          <w:rFonts w:ascii="Times New Roman" w:cs="Times New Roman" w:eastAsia="Times New Roman" w:hAnsi="Times New Roman"/>
          <w:sz w:val="20"/>
          <w:szCs w:val="20"/>
          <w:b w:val="1"/>
          <w:bCs w:val="1"/>
          <w:u w:val="single" w:color="auto"/>
          <w:color w:val="auto"/>
        </w:rPr>
        <w:t>LICENSE AND SERVICES AGREEMENT</w:t>
      </w:r>
      <w:r>
        <w:rPr>
          <w:rFonts w:ascii="Times New Roman" w:cs="Times New Roman" w:eastAsia="Times New Roman" w:hAnsi="Times New Roman"/>
          <w:sz w:val="20"/>
          <w:szCs w:val="20"/>
          <w:color w:val="auto"/>
        </w:rPr>
        <w:t>, of cleanroom use (“CR3”) and support related services at the COD facility located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411 Waverley Oaks Rd., #126, Waltham, MA 02452. This SOW is an Extension to P-10558-01 for the duration of April 2023 to December 2023. This SOW is entered into by and COD (“Licensor”) and Synlogic (“Licensee”) effective as of the approval date of this SOW. Upon execution of this SOW, this SOW will be incorporated into the mutually approved License and Services Agreement (“LSA”) that contains additional terms and conditions of the COD Cleanrooms and support services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6687185</wp:posOffset>
            </wp:positionH>
            <wp:positionV relativeFrom="paragraph">
              <wp:posOffset>-758190</wp:posOffset>
            </wp:positionV>
            <wp:extent cx="311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12559A"/>
        </w:rPr>
        <w:t>Section 2 – License and Technical Requirements</w:t>
      </w:r>
    </w:p>
    <w:p>
      <w:pPr>
        <w:spacing w:after="0" w:line="216" w:lineRule="exact"/>
        <w:rPr>
          <w:sz w:val="20"/>
          <w:szCs w:val="20"/>
          <w:color w:val="auto"/>
        </w:rPr>
      </w:pPr>
    </w:p>
    <w:p>
      <w:pPr>
        <w:ind w:left="340" w:right="20"/>
        <w:spacing w:after="0" w:line="245" w:lineRule="auto"/>
        <w:rPr>
          <w:sz w:val="20"/>
          <w:szCs w:val="20"/>
          <w:color w:val="auto"/>
        </w:rPr>
      </w:pPr>
      <w:r>
        <w:rPr>
          <w:rFonts w:ascii="Times New Roman" w:cs="Times New Roman" w:eastAsia="Times New Roman" w:hAnsi="Times New Roman"/>
          <w:sz w:val="20"/>
          <w:szCs w:val="20"/>
          <w:color w:val="auto"/>
        </w:rPr>
        <w:t>Commencing on the Effective Date and subject to the terms and conditions of the LSA, Licensor grants to Licensee a license to access and use the cleanroom with specification described in Section 3. Licensor will provide the support services described in this Section 3 using Licensor personnel. Licensor personnel will perform the services in a timely, professional and workmanlike manner and in accordance with all applicable laws, regulations and guidelines. Licensor will maintain all permits, licenses or other approvals necessary for the operation of the Cleanroom in accordance with the requirements set forth herein. Specifically, Licensor will perform Services in accordance with the following:</w:t>
      </w:r>
    </w:p>
    <w:p>
      <w:pPr>
        <w:spacing w:after="0" w:line="76" w:lineRule="exact"/>
        <w:rPr>
          <w:sz w:val="20"/>
          <w:szCs w:val="20"/>
          <w:color w:val="auto"/>
        </w:rPr>
      </w:pPr>
    </w:p>
    <w:p>
      <w:pPr>
        <w:ind w:left="740" w:hanging="358"/>
        <w:spacing w:after="0" w:line="269" w:lineRule="auto"/>
        <w:tabs>
          <w:tab w:leader="none" w:pos="7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personnel will be experienced with FDA facility compliance expectations. Licensor has based this Statement of Work upon the following documents.</w:t>
      </w:r>
    </w:p>
    <w:p>
      <w:pPr>
        <w:spacing w:after="0" w:line="51" w:lineRule="exact"/>
        <w:rPr>
          <w:rFonts w:ascii="Times New Roman" w:cs="Times New Roman" w:eastAsia="Times New Roman" w:hAnsi="Times New Roman"/>
          <w:sz w:val="20"/>
          <w:szCs w:val="20"/>
          <w:color w:val="auto"/>
        </w:rPr>
      </w:pPr>
    </w:p>
    <w:p>
      <w:pPr>
        <w:ind w:left="740" w:right="460" w:hanging="358"/>
        <w:spacing w:after="0" w:line="269" w:lineRule="auto"/>
        <w:tabs>
          <w:tab w:leader="none" w:pos="7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of Federal Regulations Title 21 Part 210 – Current Good Manufacturing Practice in the Manufacturing, Processing, Packing, or Holding of Drugs; General</w:t>
      </w:r>
    </w:p>
    <w:p>
      <w:pPr>
        <w:spacing w:after="0" w:line="51" w:lineRule="exact"/>
        <w:rPr>
          <w:rFonts w:ascii="Times New Roman" w:cs="Times New Roman" w:eastAsia="Times New Roman" w:hAnsi="Times New Roman"/>
          <w:sz w:val="20"/>
          <w:szCs w:val="20"/>
          <w:color w:val="auto"/>
        </w:rPr>
      </w:pPr>
    </w:p>
    <w:p>
      <w:pPr>
        <w:ind w:left="660" w:hanging="352"/>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of Federal Regulations Title 21 Part 211 – Current Good Manufacturing Practice for Finished Pharmaceutical</w:t>
      </w:r>
    </w:p>
    <w:p>
      <w:pPr>
        <w:spacing w:after="0" w:line="107" w:lineRule="exact"/>
        <w:rPr>
          <w:rFonts w:ascii="Times New Roman" w:cs="Times New Roman" w:eastAsia="Times New Roman" w:hAnsi="Times New Roman"/>
          <w:sz w:val="20"/>
          <w:szCs w:val="20"/>
          <w:color w:val="auto"/>
        </w:rPr>
      </w:pPr>
    </w:p>
    <w:p>
      <w:pPr>
        <w:ind w:left="660" w:hanging="352"/>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ISPE Good Practice Guide – Science and Risk-Based Approach for the Delivery of Facility Systems and Equipment</w:t>
      </w:r>
    </w:p>
    <w:p>
      <w:pPr>
        <w:spacing w:after="0" w:line="107" w:lineRule="exact"/>
        <w:rPr>
          <w:rFonts w:ascii="Times New Roman" w:cs="Times New Roman" w:eastAsia="Times New Roman" w:hAnsi="Times New Roman"/>
          <w:sz w:val="20"/>
          <w:szCs w:val="20"/>
          <w:color w:val="auto"/>
        </w:rPr>
      </w:pPr>
    </w:p>
    <w:p>
      <w:pPr>
        <w:ind w:left="660" w:hanging="352"/>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ISPE Good Practice Guide – Good Engineering Practices</w:t>
      </w:r>
    </w:p>
    <w:p>
      <w:pPr>
        <w:spacing w:after="0" w:line="107" w:lineRule="exact"/>
        <w:rPr>
          <w:rFonts w:ascii="Times New Roman" w:cs="Times New Roman" w:eastAsia="Times New Roman" w:hAnsi="Times New Roman"/>
          <w:sz w:val="20"/>
          <w:szCs w:val="20"/>
          <w:color w:val="auto"/>
        </w:rPr>
      </w:pPr>
    </w:p>
    <w:p>
      <w:pPr>
        <w:ind w:left="660" w:right="200" w:hanging="352"/>
        <w:spacing w:after="0" w:line="269" w:lineRule="auto"/>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PDA Technical Report 56 – Application of Phase Appropriate Quality System and cGMP to the Development of Therapeutic Protein Drug Substance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1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643" w:right="799" w:bottom="1440" w:gutter="0" w:footer="0" w:header="0"/>
        </w:sectPr>
      </w:pPr>
    </w:p>
    <w:bookmarkStart w:id="130" w:name="page131"/>
    <w:bookmarkEnd w:id="130"/>
    <w:p>
      <w:pPr>
        <w:ind w:right="1260"/>
        <w:spacing w:after="0" w:line="269" w:lineRule="auto"/>
        <w:rPr>
          <w:sz w:val="20"/>
          <w:szCs w:val="20"/>
          <w:color w:val="auto"/>
        </w:rPr>
      </w:pPr>
      <w:r>
        <w:rPr>
          <w:rFonts w:ascii="Times New Roman" w:cs="Times New Roman" w:eastAsia="Times New Roman" w:hAnsi="Times New Roman"/>
          <w:sz w:val="20"/>
          <w:szCs w:val="20"/>
          <w:color w:val="auto"/>
        </w:rPr>
        <w:t>Licensee personnel using the classified areas are to be trained on Licensor SOPs on gowning, personnel movement, material control, gowning training, safety training etc.</w:t>
      </w:r>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12559A"/>
        </w:rPr>
        <w:t>Section 3 – Detailed Scope</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This SOW provides details of the licensed cleanroom space, office space, support services and the related inclusions.</w:t>
      </w:r>
    </w:p>
    <w:p>
      <w:pPr>
        <w:spacing w:after="0" w:line="108" w:lineRule="exact"/>
        <w:rPr>
          <w:sz w:val="20"/>
          <w:szCs w:val="20"/>
          <w:color w:val="auto"/>
        </w:rPr>
      </w:pPr>
    </w:p>
    <w:p>
      <w:pPr>
        <w:ind w:left="600" w:hanging="382"/>
        <w:spacing w:after="0"/>
        <w:tabs>
          <w:tab w:leader="none" w:pos="600" w:val="left"/>
        </w:tabs>
        <w:numPr>
          <w:ilvl w:val="0"/>
          <w:numId w:val="73"/>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Cleanroom</w:t>
      </w:r>
    </w:p>
    <w:p>
      <w:pPr>
        <w:spacing w:after="0" w:line="2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Dedicated CR3 cleanroom space for a duration of 9 months with a start date of April 2023, with the automatic option by Licensee to extend through the end of Q2 2024. (June 30, 2024) (the “First Option”). Licensee shall notify Azzur by October 1, 2023 if it seeks to exercise the First Option. If Licensee exercises the First Option, Licensee shall then have the automatic option to extend through the end of Q4 2024 (December 31, 2024) on the same 2024 monthly cost terms as set forth below. Licensee shall notify Azzur by April 1, 2024 if it seeks to exercise the Second Option.</w:t>
      </w:r>
    </w:p>
    <w:p>
      <w:pPr>
        <w:spacing w:after="0" w:line="200" w:lineRule="exact"/>
        <w:rPr>
          <w:sz w:val="20"/>
          <w:szCs w:val="20"/>
          <w:color w:val="auto"/>
        </w:rPr>
      </w:pPr>
    </w:p>
    <w:p>
      <w:pPr>
        <w:spacing w:after="0" w:line="214" w:lineRule="exact"/>
        <w:rPr>
          <w:sz w:val="20"/>
          <w:szCs w:val="20"/>
          <w:color w:val="auto"/>
        </w:rPr>
      </w:pPr>
    </w:p>
    <w:p>
      <w:pPr>
        <w:jc w:val="center"/>
        <w:spacing w:after="0"/>
        <w:tabs>
          <w:tab w:leader="none" w:pos="240" w:val="left"/>
          <w:tab w:leader="none" w:pos="220" w:val="left"/>
        </w:tabs>
        <w:rPr>
          <w:sz w:val="20"/>
          <w:szCs w:val="20"/>
          <w:color w:val="auto"/>
        </w:rPr>
      </w:pPr>
      <w:r>
        <w:rPr>
          <w:rFonts w:ascii="Times New Roman" w:cs="Times New Roman" w:eastAsia="Times New Roman" w:hAnsi="Times New Roman"/>
          <w:sz w:val="20"/>
          <w:szCs w:val="20"/>
          <w:color w:val="auto"/>
        </w:rPr>
        <w:t>o</w:t>
        <w:tab/>
        <w:t>All entry/exit door to controlled or classified spaces will be access controlled via badge access</w:t>
      </w:r>
      <w:r>
        <w:rPr>
          <w:sz w:val="20"/>
          <w:szCs w:val="20"/>
          <w:color w:val="auto"/>
        </w:rPr>
        <w:tab/>
      </w:r>
      <w:r>
        <w:rPr>
          <w:rFonts w:ascii="Times New Roman" w:cs="Times New Roman" w:eastAsia="Times New Roman" w:hAnsi="Times New Roman"/>
          <w:sz w:val="19"/>
          <w:szCs w:val="19"/>
          <w:color w:val="auto"/>
        </w:rPr>
        <w:t>and security controls</w:t>
      </w:r>
    </w:p>
    <w:p>
      <w:pPr>
        <w:spacing w:after="0" w:line="28" w:lineRule="exact"/>
        <w:rPr>
          <w:sz w:val="20"/>
          <w:szCs w:val="20"/>
          <w:color w:val="auto"/>
        </w:rPr>
      </w:pPr>
    </w:p>
    <w:p>
      <w:pPr>
        <w:ind w:left="1060" w:hanging="378"/>
        <w:spacing w:after="0"/>
        <w:tabs>
          <w:tab w:leader="none" w:pos="10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Cleanroom entry/exit doors will be interlocked with access only to Licensee and Licensor personnel.</w:t>
      </w:r>
    </w:p>
    <w:p>
      <w:pPr>
        <w:spacing w:after="0" w:line="92" w:lineRule="exact"/>
        <w:rPr>
          <w:rFonts w:ascii="Times New Roman" w:cs="Times New Roman" w:eastAsia="Times New Roman" w:hAnsi="Times New Roman"/>
          <w:sz w:val="20"/>
          <w:szCs w:val="20"/>
          <w:color w:val="auto"/>
        </w:rPr>
      </w:pPr>
    </w:p>
    <w:p>
      <w:pPr>
        <w:ind w:left="1060" w:hanging="378"/>
        <w:spacing w:after="0"/>
        <w:tabs>
          <w:tab w:leader="none" w:pos="10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Room differential pressures which will meet ISO 7 classification in the core.</w:t>
      </w:r>
    </w:p>
    <w:p>
      <w:pPr>
        <w:spacing w:after="0" w:line="107" w:lineRule="exact"/>
        <w:rPr>
          <w:rFonts w:ascii="Times New Roman" w:cs="Times New Roman" w:eastAsia="Times New Roman" w:hAnsi="Times New Roman"/>
          <w:sz w:val="20"/>
          <w:szCs w:val="20"/>
          <w:color w:val="auto"/>
        </w:rPr>
      </w:pPr>
    </w:p>
    <w:p>
      <w:pPr>
        <w:ind w:left="1040" w:hanging="358"/>
        <w:spacing w:after="0"/>
        <w:tabs>
          <w:tab w:leader="none" w:pos="10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Room differential pressures which will meet ISO 8 classification in the gown-in and gown-out areas.</w:t>
      </w:r>
    </w:p>
    <w:p>
      <w:pPr>
        <w:spacing w:after="0" w:line="28" w:lineRule="exact"/>
        <w:rPr>
          <w:rFonts w:ascii="Times New Roman" w:cs="Times New Roman" w:eastAsia="Times New Roman" w:hAnsi="Times New Roman"/>
          <w:sz w:val="20"/>
          <w:szCs w:val="20"/>
          <w:color w:val="auto"/>
        </w:rPr>
      </w:pPr>
    </w:p>
    <w:p>
      <w:pPr>
        <w:ind w:left="1060" w:hanging="378"/>
        <w:spacing w:after="0"/>
        <w:tabs>
          <w:tab w:leader="none" w:pos="10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Temperature specification range of [***] °C with operational control of [***]°C</w:t>
      </w:r>
    </w:p>
    <w:p>
      <w:pPr>
        <w:spacing w:after="0" w:line="92" w:lineRule="exact"/>
        <w:rPr>
          <w:rFonts w:ascii="Times New Roman" w:cs="Times New Roman" w:eastAsia="Times New Roman" w:hAnsi="Times New Roman"/>
          <w:sz w:val="20"/>
          <w:szCs w:val="20"/>
          <w:color w:val="auto"/>
        </w:rPr>
      </w:pPr>
    </w:p>
    <w:p>
      <w:pPr>
        <w:ind w:left="1060" w:hanging="378"/>
        <w:spacing w:after="0"/>
        <w:tabs>
          <w:tab w:leader="none" w:pos="10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Differential pressure, temperature and humidity will be continually monitored and alarmed.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Remote alarm management is performed by Licensor.</w:t>
      </w:r>
    </w:p>
    <w:p>
      <w:pPr>
        <w:spacing w:after="0" w:line="94" w:lineRule="exact"/>
        <w:rPr>
          <w:sz w:val="20"/>
          <w:szCs w:val="20"/>
          <w:color w:val="auto"/>
        </w:rPr>
      </w:pPr>
    </w:p>
    <w:p>
      <w:pPr>
        <w:ind w:left="1060" w:right="600" w:hanging="378"/>
        <w:spacing w:after="0" w:line="269" w:lineRule="auto"/>
        <w:tabs>
          <w:tab w:leader="none" w:pos="10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ISO 7 core will be furnished with a Biosafety Cabinet (ISO 5), two 6 ft. stainless steel tables and associated chairs. Additional room furnishings can be installed upon request, the costs for which are not included in this SOW.</w:t>
      </w:r>
    </w:p>
    <w:p>
      <w:pPr>
        <w:spacing w:after="0" w:line="37" w:lineRule="exact"/>
        <w:rPr>
          <w:rFonts w:ascii="Times New Roman" w:cs="Times New Roman" w:eastAsia="Times New Roman" w:hAnsi="Times New Roman"/>
          <w:sz w:val="20"/>
          <w:szCs w:val="20"/>
          <w:color w:val="auto"/>
        </w:rPr>
      </w:pPr>
    </w:p>
    <w:p>
      <w:pPr>
        <w:ind w:left="680" w:hanging="372"/>
        <w:spacing w:after="0"/>
        <w:tabs>
          <w:tab w:leader="none" w:pos="6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Qualified ISO5 BSC in the cleanroom</w:t>
      </w:r>
    </w:p>
    <w:p>
      <w:pPr>
        <w:spacing w:after="0" w:line="107" w:lineRule="exact"/>
        <w:rPr>
          <w:rFonts w:ascii="Times New Roman" w:cs="Times New Roman" w:eastAsia="Times New Roman" w:hAnsi="Times New Roman"/>
          <w:sz w:val="20"/>
          <w:szCs w:val="20"/>
          <w:color w:val="auto"/>
        </w:rPr>
      </w:pPr>
    </w:p>
    <w:p>
      <w:pPr>
        <w:ind w:left="1060" w:hanging="378"/>
        <w:spacing w:after="0"/>
        <w:tabs>
          <w:tab w:leader="none" w:pos="10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BSC certification/maintenance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1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43" w:right="479" w:bottom="1440" w:gutter="0" w:footer="0" w:header="0"/>
        </w:sectPr>
      </w:pPr>
    </w:p>
    <w:bookmarkStart w:id="131" w:name="page132"/>
    <w:bookmarkEnd w:id="131"/>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NOTE: BSC cleaning and disinfection during routine use is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b w:val="1"/>
          <w:bCs w:val="1"/>
          <w:i w:val="1"/>
          <w:iCs w:val="1"/>
          <w:color w:val="auto"/>
        </w:rPr>
        <w:t>’s responsibility.</w:t>
      </w:r>
    </w:p>
    <w:p>
      <w:pPr>
        <w:spacing w:after="0" w:line="217" w:lineRule="exact"/>
        <w:rPr>
          <w:sz w:val="20"/>
          <w:szCs w:val="20"/>
          <w:color w:val="auto"/>
        </w:rPr>
      </w:pPr>
    </w:p>
    <w:p>
      <w:pPr>
        <w:ind w:left="680" w:hanging="372"/>
        <w:spacing w:after="0"/>
        <w:tabs>
          <w:tab w:leader="none" w:pos="6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Cleanroom Cleaning</w:t>
      </w:r>
    </w:p>
    <w:p>
      <w:pPr>
        <w:spacing w:after="0" w:line="107" w:lineRule="exact"/>
        <w:rPr>
          <w:rFonts w:ascii="Times New Roman" w:cs="Times New Roman" w:eastAsia="Times New Roman" w:hAnsi="Times New Roman"/>
          <w:sz w:val="20"/>
          <w:szCs w:val="20"/>
          <w:color w:val="auto"/>
        </w:rPr>
      </w:pPr>
    </w:p>
    <w:p>
      <w:pPr>
        <w:ind w:left="1020" w:right="920" w:hanging="347"/>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Weekly – Horizontal and vertical surfaces including wiped using IPA, floors vacuumed and mopped using the latest version of the following approved cleaning solution ([***]).</w:t>
      </w:r>
    </w:p>
    <w:p>
      <w:pPr>
        <w:spacing w:after="0" w:line="1" w:lineRule="exact"/>
        <w:rPr>
          <w:rFonts w:ascii="Times New Roman" w:cs="Times New Roman" w:eastAsia="Times New Roman" w:hAnsi="Times New Roman"/>
          <w:sz w:val="20"/>
          <w:szCs w:val="20"/>
          <w:color w:val="auto"/>
        </w:rPr>
      </w:pPr>
    </w:p>
    <w:p>
      <w:pPr>
        <w:ind w:left="1020" w:right="1020" w:hanging="347"/>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Monthly – Same as weekly cleaning followed by second cleaning using approved cleaning solution on all surfaces ([***]).</w:t>
      </w:r>
    </w:p>
    <w:p>
      <w:pPr>
        <w:spacing w:after="0" w:line="1"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Quarterly (once every 3 months) – Same as monthly cleaning ([***]).</w:t>
      </w:r>
    </w:p>
    <w:p>
      <w:pPr>
        <w:spacing w:after="0" w:line="380" w:lineRule="exact"/>
        <w:rPr>
          <w:sz w:val="20"/>
          <w:szCs w:val="20"/>
          <w:color w:val="auto"/>
        </w:rPr>
      </w:pPr>
    </w:p>
    <w:p>
      <w:pPr>
        <w:ind w:left="560" w:hanging="374"/>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NOTE: Changes in cleaning regimen including type of agents and frequency as well as enhanced cleaning for changeover can be implemented, the costs for which are not included in this SOW.</w:t>
      </w:r>
    </w:p>
    <w:p>
      <w:pPr>
        <w:spacing w:after="0" w:line="156" w:lineRule="exact"/>
        <w:rPr>
          <w:sz w:val="20"/>
          <w:szCs w:val="20"/>
          <w:color w:val="auto"/>
        </w:rPr>
      </w:pPr>
    </w:p>
    <w:p>
      <w:pPr>
        <w:ind w:left="680" w:hanging="372"/>
        <w:spacing w:after="0"/>
        <w:tabs>
          <w:tab w:leader="none" w:pos="6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Routine Environmental Monitoring (EM)</w:t>
      </w:r>
    </w:p>
    <w:p>
      <w:pPr>
        <w:spacing w:after="0" w:line="107"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Weekly TAP, Viable Air and Surface Monitoring</w:t>
      </w:r>
    </w:p>
    <w:p>
      <w:pPr>
        <w:spacing w:after="0" w:line="94" w:lineRule="exact"/>
        <w:rPr>
          <w:rFonts w:ascii="Times New Roman" w:cs="Times New Roman" w:eastAsia="Times New Roman" w:hAnsi="Times New Roman"/>
          <w:sz w:val="20"/>
          <w:szCs w:val="20"/>
          <w:color w:val="auto"/>
        </w:rPr>
      </w:pPr>
    </w:p>
    <w:p>
      <w:pPr>
        <w:ind w:left="680" w:right="5420"/>
        <w:spacing w:after="0" w:line="3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Data review and quality support (in-case of any deviation) o Trending and reporting of EM data on a periodic basis</w:t>
      </w:r>
    </w:p>
    <w:p>
      <w:pPr>
        <w:spacing w:after="0" w:line="312" w:lineRule="exact"/>
        <w:rPr>
          <w:sz w:val="20"/>
          <w:szCs w:val="20"/>
          <w:color w:val="auto"/>
        </w:rPr>
      </w:pPr>
    </w:p>
    <w:p>
      <w:pPr>
        <w:ind w:left="560" w:right="80" w:hanging="374"/>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NOTE: Changes in environmental monitoring including additional in-process monitoring costs are included in Table 4 of this SOW.</w:t>
      </w:r>
    </w:p>
    <w:p>
      <w:pPr>
        <w:sectPr>
          <w:pgSz w:w="11900" w:h="16838" w:orient="portrait"/>
          <w:cols w:equalWidth="0" w:num="1">
            <w:col w:w="11100"/>
          </w:cols>
          <w:pgMar w:left="320" w:top="1092" w:right="479" w:bottom="1440" w:gutter="0" w:footer="0" w:header="0"/>
        </w:sectPr>
      </w:pPr>
    </w:p>
    <w:p>
      <w:pPr>
        <w:spacing w:after="0" w:line="156"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Access to consumable including gowning materials, cleaning supplies (wipes, alcohol) and dry ice. Licensor stock and re-stock such materials on a routine basis.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personnel will</w:t>
      </w:r>
    </w:p>
    <w:p>
      <w:pPr>
        <w:spacing w:after="0" w:line="497" w:lineRule="exact"/>
        <w:rPr>
          <w:sz w:val="20"/>
          <w:szCs w:val="20"/>
          <w:color w:val="auto"/>
        </w:rPr>
      </w:pPr>
    </w:p>
    <w:p>
      <w:pPr>
        <w:sectPr>
          <w:pgSz w:w="11900" w:h="16838" w:orient="portrait"/>
          <w:cols w:equalWidth="0" w:num="3">
            <w:col w:w="380" w:space="300"/>
            <w:col w:w="8620" w:space="200"/>
            <w:col w:w="1600"/>
          </w:cols>
          <w:pgMar w:left="320" w:top="1092" w:right="47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1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2" w:right="479" w:bottom="1440" w:gutter="0" w:footer="0" w:header="0"/>
          <w:type w:val="continuous"/>
        </w:sectPr>
      </w:pPr>
    </w:p>
    <w:bookmarkStart w:id="132" w:name="page133"/>
    <w:bookmarkEnd w:id="132"/>
    <w:p>
      <w:pPr>
        <w:ind w:left="600" w:hanging="382"/>
        <w:spacing w:after="0"/>
        <w:tabs>
          <w:tab w:leader="none" w:pos="600" w:val="left"/>
        </w:tabs>
        <w:numPr>
          <w:ilvl w:val="0"/>
          <w:numId w:val="78"/>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Facility Infrastructure/ Quality Management (Licensor owned assets)</w:t>
      </w:r>
    </w:p>
    <w:p>
      <w:pPr>
        <w:spacing w:after="0" w:line="200" w:lineRule="exact"/>
        <w:rPr>
          <w:sz w:val="20"/>
          <w:szCs w:val="20"/>
          <w:color w:val="auto"/>
        </w:rPr>
      </w:pPr>
    </w:p>
    <w:p>
      <w:pPr>
        <w:spacing w:after="0" w:line="217" w:lineRule="exact"/>
        <w:rPr>
          <w:sz w:val="20"/>
          <w:szCs w:val="20"/>
          <w:color w:val="auto"/>
        </w:rPr>
      </w:pPr>
    </w:p>
    <w:p>
      <w:pPr>
        <w:ind w:left="680" w:hanging="372"/>
        <w:spacing w:after="0"/>
        <w:tabs>
          <w:tab w:leader="none" w:pos="6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and access control for cGMP areas. Issuance and management of badges.</w:t>
      </w:r>
    </w:p>
    <w:p>
      <w:pPr>
        <w:spacing w:after="0" w:line="107" w:lineRule="exact"/>
        <w:rPr>
          <w:rFonts w:ascii="Times New Roman" w:cs="Times New Roman" w:eastAsia="Times New Roman" w:hAnsi="Times New Roman"/>
          <w:sz w:val="20"/>
          <w:szCs w:val="20"/>
          <w:color w:val="auto"/>
        </w:rPr>
      </w:pPr>
    </w:p>
    <w:p>
      <w:pPr>
        <w:ind w:left="680" w:hanging="372"/>
        <w:spacing w:after="0"/>
        <w:tabs>
          <w:tab w:leader="none" w:pos="6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Back-up power for entire facility with all controlled assets (both Licensor and client owned)</w:t>
      </w:r>
    </w:p>
    <w:p>
      <w:pPr>
        <w:spacing w:after="0" w:line="121" w:lineRule="exact"/>
        <w:rPr>
          <w:rFonts w:ascii="Times New Roman" w:cs="Times New Roman" w:eastAsia="Times New Roman" w:hAnsi="Times New Roman"/>
          <w:sz w:val="20"/>
          <w:szCs w:val="20"/>
          <w:color w:val="auto"/>
        </w:rPr>
      </w:pPr>
    </w:p>
    <w:p>
      <w:pPr>
        <w:ind w:left="680" w:hanging="372"/>
        <w:spacing w:after="0"/>
        <w:tabs>
          <w:tab w:leader="none" w:pos="6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Pest control, housekeeping and non-gmp cleaning</w:t>
      </w:r>
    </w:p>
    <w:p>
      <w:pPr>
        <w:spacing w:after="0" w:line="107" w:lineRule="exact"/>
        <w:rPr>
          <w:rFonts w:ascii="Times New Roman" w:cs="Times New Roman" w:eastAsia="Times New Roman" w:hAnsi="Times New Roman"/>
          <w:sz w:val="20"/>
          <w:szCs w:val="20"/>
          <w:color w:val="auto"/>
        </w:rPr>
      </w:pPr>
    </w:p>
    <w:p>
      <w:pPr>
        <w:ind w:left="680" w:hanging="372"/>
        <w:spacing w:after="0"/>
        <w:tabs>
          <w:tab w:leader="none" w:pos="6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Waste removal and disposal (Biological, Hazardous, Non-Hazardous)</w:t>
      </w:r>
    </w:p>
    <w:p>
      <w:pPr>
        <w:spacing w:after="0" w:line="107" w:lineRule="exact"/>
        <w:rPr>
          <w:rFonts w:ascii="Times New Roman" w:cs="Times New Roman" w:eastAsia="Times New Roman" w:hAnsi="Times New Roman"/>
          <w:sz w:val="20"/>
          <w:szCs w:val="20"/>
          <w:color w:val="auto"/>
        </w:rPr>
      </w:pPr>
    </w:p>
    <w:p>
      <w:pPr>
        <w:ind w:left="660" w:right="240" w:hanging="352"/>
        <w:spacing w:after="0" w:line="254" w:lineRule="auto"/>
        <w:tabs>
          <w:tab w:leader="none" w:pos="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owned asset management including installation, calibration, qualification, routine monitoring, maintenance, alarm management and documentation.</w:t>
      </w:r>
    </w:p>
    <w:p>
      <w:pPr>
        <w:spacing w:after="0" w:line="1" w:lineRule="exact"/>
        <w:rPr>
          <w:rFonts w:ascii="Times New Roman" w:cs="Times New Roman" w:eastAsia="Times New Roman" w:hAnsi="Times New Roman"/>
          <w:sz w:val="20"/>
          <w:szCs w:val="20"/>
          <w:color w:val="auto"/>
        </w:rPr>
      </w:pPr>
    </w:p>
    <w:p>
      <w:pPr>
        <w:ind w:left="680" w:hanging="372"/>
        <w:spacing w:after="0"/>
        <w:tabs>
          <w:tab w:leader="none" w:pos="6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management of all Licensor owned assets including incident management.</w:t>
      </w:r>
    </w:p>
    <w:p>
      <w:pPr>
        <w:spacing w:after="0" w:line="200" w:lineRule="exact"/>
        <w:rPr>
          <w:sz w:val="20"/>
          <w:szCs w:val="20"/>
          <w:color w:val="auto"/>
        </w:rPr>
      </w:pPr>
    </w:p>
    <w:p>
      <w:pPr>
        <w:spacing w:after="0" w:line="257" w:lineRule="exact"/>
        <w:rPr>
          <w:sz w:val="20"/>
          <w:szCs w:val="20"/>
          <w:color w:val="auto"/>
        </w:rPr>
      </w:pPr>
    </w:p>
    <w:p>
      <w:pPr>
        <w:ind w:left="580" w:hanging="362"/>
        <w:spacing w:after="0" w:line="253" w:lineRule="auto"/>
        <w:tabs>
          <w:tab w:leader="none" w:pos="580" w:val="left"/>
        </w:tabs>
        <w:numPr>
          <w:ilvl w:val="0"/>
          <w:numId w:val="80"/>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Material Storage for 9 months in Licensor owned assets in dedicated qualified, controlled, monitored and maintained environments in the following Standard Minimum Units (SMU) monthly amounts. The monthly SMU amounts are determined based on the previous usage rates.</w:t>
      </w:r>
    </w:p>
    <w:p>
      <w:pPr>
        <w:spacing w:after="0" w:line="324" w:lineRule="exact"/>
        <w:rPr>
          <w:rFonts w:ascii="Arial" w:cs="Arial" w:eastAsia="Arial" w:hAnsi="Arial"/>
          <w:sz w:val="20"/>
          <w:szCs w:val="20"/>
          <w:b w:val="1"/>
          <w:bCs w:val="1"/>
          <w:color w:val="auto"/>
        </w:rPr>
      </w:pPr>
    </w:p>
    <w:p>
      <w:pPr>
        <w:ind w:left="780" w:hanging="383"/>
        <w:spacing w:after="0"/>
        <w:tabs>
          <w:tab w:leader="none" w:pos="78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ambient pallets</w:t>
      </w:r>
    </w:p>
    <w:p>
      <w:pPr>
        <w:spacing w:after="0" w:line="350" w:lineRule="exact"/>
        <w:rPr>
          <w:rFonts w:ascii="Times New Roman" w:cs="Times New Roman" w:eastAsia="Times New Roman" w:hAnsi="Times New Roman"/>
          <w:sz w:val="20"/>
          <w:szCs w:val="20"/>
          <w:color w:val="auto"/>
        </w:rPr>
      </w:pPr>
    </w:p>
    <w:p>
      <w:pPr>
        <w:ind w:left="780" w:hanging="383"/>
        <w:spacing w:after="0"/>
        <w:tabs>
          <w:tab w:leader="none" w:pos="78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CTUs ([***]˚C) or equivalent controlled storage space</w:t>
      </w:r>
    </w:p>
    <w:p>
      <w:pPr>
        <w:spacing w:after="0" w:line="364" w:lineRule="exact"/>
        <w:rPr>
          <w:rFonts w:ascii="Times New Roman" w:cs="Times New Roman" w:eastAsia="Times New Roman" w:hAnsi="Times New Roman"/>
          <w:sz w:val="20"/>
          <w:szCs w:val="20"/>
          <w:color w:val="auto"/>
        </w:rPr>
      </w:pPr>
    </w:p>
    <w:p>
      <w:pPr>
        <w:ind w:left="780" w:hanging="383"/>
        <w:spacing w:after="0"/>
        <w:tabs>
          <w:tab w:leader="none" w:pos="78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CTU ([***]˚C) or equivalent controlled storage space</w:t>
      </w:r>
    </w:p>
    <w:p>
      <w:pPr>
        <w:spacing w:after="0" w:line="350" w:lineRule="exact"/>
        <w:rPr>
          <w:rFonts w:ascii="Times New Roman" w:cs="Times New Roman" w:eastAsia="Times New Roman" w:hAnsi="Times New Roman"/>
          <w:sz w:val="20"/>
          <w:szCs w:val="20"/>
          <w:color w:val="auto"/>
        </w:rPr>
      </w:pPr>
    </w:p>
    <w:p>
      <w:pPr>
        <w:ind w:left="780" w:hanging="383"/>
        <w:spacing w:after="0"/>
        <w:tabs>
          <w:tab w:leader="none" w:pos="78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CTU ([***]˚C)</w:t>
      </w:r>
    </w:p>
    <w:p>
      <w:pPr>
        <w:spacing w:after="0" w:line="200" w:lineRule="exact"/>
        <w:rPr>
          <w:rFonts w:ascii="Times New Roman" w:cs="Times New Roman" w:eastAsia="Times New Roman" w:hAnsi="Times New Roman"/>
          <w:sz w:val="20"/>
          <w:szCs w:val="20"/>
          <w:color w:val="auto"/>
        </w:rPr>
      </w:pPr>
    </w:p>
    <w:p>
      <w:pPr>
        <w:spacing w:after="0" w:line="285" w:lineRule="exact"/>
        <w:rPr>
          <w:rFonts w:ascii="Times New Roman" w:cs="Times New Roman" w:eastAsia="Times New Roman" w:hAnsi="Times New Roman"/>
          <w:sz w:val="20"/>
          <w:szCs w:val="20"/>
          <w:color w:val="auto"/>
        </w:rPr>
      </w:pPr>
    </w:p>
    <w:p>
      <w:pPr>
        <w:ind w:left="600" w:hanging="382"/>
        <w:spacing w:after="0"/>
        <w:tabs>
          <w:tab w:leader="none" w:pos="600" w:val="left"/>
        </w:tabs>
        <w:numPr>
          <w:ilvl w:val="0"/>
          <w:numId w:val="80"/>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Personnel Support (180 hrs per month)</w:t>
      </w:r>
    </w:p>
    <w:p>
      <w:pPr>
        <w:spacing w:after="0" w:line="200" w:lineRule="exact"/>
        <w:rPr>
          <w:rFonts w:ascii="Arial" w:cs="Arial" w:eastAsia="Arial" w:hAnsi="Arial"/>
          <w:sz w:val="20"/>
          <w:szCs w:val="20"/>
          <w:b w:val="1"/>
          <w:bCs w:val="1"/>
          <w:color w:val="auto"/>
        </w:rPr>
      </w:pPr>
    </w:p>
    <w:p>
      <w:pPr>
        <w:spacing w:after="0" w:line="217" w:lineRule="exact"/>
        <w:rPr>
          <w:rFonts w:ascii="Arial" w:cs="Arial" w:eastAsia="Arial" w:hAnsi="Arial"/>
          <w:sz w:val="20"/>
          <w:szCs w:val="20"/>
          <w:b w:val="1"/>
          <w:bCs w:val="1"/>
          <w:color w:val="auto"/>
        </w:rPr>
      </w:pPr>
    </w:p>
    <w:p>
      <w:pPr>
        <w:ind w:left="680" w:right="60" w:hanging="372"/>
        <w:spacing w:after="0" w:line="269" w:lineRule="auto"/>
        <w:tabs>
          <w:tab w:leader="none" w:pos="6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Materials management including receipt, inspection, labeling, inventory management, segregation, movement, staging/kitting and raw materials quality release based on CofA.</w:t>
      </w:r>
    </w:p>
    <w:p>
      <w:pPr>
        <w:spacing w:after="0" w:line="64" w:lineRule="exact"/>
        <w:rPr>
          <w:rFonts w:ascii="Times New Roman" w:cs="Times New Roman" w:eastAsia="Times New Roman" w:hAnsi="Times New Roman"/>
          <w:sz w:val="20"/>
          <w:szCs w:val="20"/>
          <w:color w:val="auto"/>
        </w:rPr>
      </w:pPr>
    </w:p>
    <w:p>
      <w:pPr>
        <w:ind w:left="680" w:hanging="372"/>
        <w:spacing w:after="0"/>
        <w:tabs>
          <w:tab w:leader="none" w:pos="6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Routine project meetings for scheduling, reporting, budget updates and issue resolution.</w:t>
      </w:r>
    </w:p>
    <w:p>
      <w:pPr>
        <w:spacing w:after="0" w:line="323" w:lineRule="exact"/>
        <w:rPr>
          <w:rFonts w:ascii="Times New Roman" w:cs="Times New Roman" w:eastAsia="Times New Roman" w:hAnsi="Times New Roman"/>
          <w:sz w:val="20"/>
          <w:szCs w:val="20"/>
          <w:color w:val="auto"/>
        </w:rPr>
      </w:pPr>
    </w:p>
    <w:p>
      <w:pPr>
        <w:ind w:left="680" w:hanging="372"/>
        <w:spacing w:after="0"/>
        <w:tabs>
          <w:tab w:leader="none" w:pos="6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On-site support on an on-going basis.</w:t>
      </w:r>
    </w:p>
    <w:p>
      <w:pPr>
        <w:spacing w:after="0" w:line="323" w:lineRule="exact"/>
        <w:rPr>
          <w:rFonts w:ascii="Times New Roman" w:cs="Times New Roman" w:eastAsia="Times New Roman" w:hAnsi="Times New Roman"/>
          <w:sz w:val="20"/>
          <w:szCs w:val="20"/>
          <w:color w:val="auto"/>
        </w:rPr>
      </w:pPr>
    </w:p>
    <w:p>
      <w:pPr>
        <w:ind w:left="660" w:right="1160" w:hanging="352"/>
        <w:spacing w:after="0" w:line="269" w:lineRule="auto"/>
        <w:tabs>
          <w:tab w:leader="none" w:pos="6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Coordination/scheduling of shipment pickup and drop-off activities, packaging and labeling of samples, product shipments etc. Reconciliation of temperature monitors used for shipments.</w:t>
      </w:r>
    </w:p>
    <w:p>
      <w:pPr>
        <w:spacing w:after="0" w:line="186" w:lineRule="exact"/>
        <w:rPr>
          <w:rFonts w:ascii="Times New Roman" w:cs="Times New Roman" w:eastAsia="Times New Roman" w:hAnsi="Times New Roman"/>
          <w:sz w:val="20"/>
          <w:szCs w:val="20"/>
          <w:color w:val="auto"/>
        </w:rPr>
      </w:pPr>
    </w:p>
    <w:p>
      <w:pPr>
        <w:ind w:left="660" w:right="1340" w:hanging="352"/>
        <w:spacing w:after="0" w:line="247" w:lineRule="auto"/>
        <w:tabs>
          <w:tab w:leader="none" w:pos="6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Standard hours of support are Monday-Friday 0700-1900. Off-hour support must be coordinated with Facility management.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643" w:right="8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color w:val="auto"/>
        </w:rPr>
        <w:t>P</w:t>
      </w:r>
    </w:p>
    <w:p>
      <w:pPr>
        <w:spacing w:after="0" w:line="100" w:lineRule="exact"/>
        <w:rPr>
          <w:sz w:val="20"/>
          <w:szCs w:val="20"/>
          <w:color w:val="auto"/>
        </w:rPr>
      </w:pPr>
    </w:p>
    <w:p>
      <w:pPr>
        <w:jc w:val="right"/>
        <w:ind w:right="99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5" w:right="1440" w:bottom="1440" w:gutter="0" w:footer="0" w:header="0"/>
        </w:sectPr>
      </w:pPr>
    </w:p>
    <w:bookmarkStart w:id="134" w:name="page135"/>
    <w:bookmarkEnd w:id="134"/>
    <w:p>
      <w:pPr>
        <w:ind w:left="560" w:right="2060" w:hanging="342"/>
        <w:spacing w:after="0" w:line="275" w:lineRule="auto"/>
        <w:tabs>
          <w:tab w:leader="none" w:pos="560" w:val="left"/>
        </w:tabs>
        <w:numPr>
          <w:ilvl w:val="0"/>
          <w:numId w:val="8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Dedicated office space for </w:t>
      </w:r>
      <w:r>
        <w:rPr>
          <w:rFonts w:ascii="Times New Roman" w:cs="Times New Roman" w:eastAsia="Times New Roman" w:hAnsi="Times New Roman"/>
          <w:sz w:val="21"/>
          <w:szCs w:val="21"/>
          <w:color w:val="auto"/>
        </w:rPr>
        <w:t>Licensee</w:t>
      </w:r>
      <w:r>
        <w:rPr>
          <w:rFonts w:ascii="Times New Roman" w:cs="Times New Roman" w:eastAsia="Times New Roman" w:hAnsi="Times New Roman"/>
          <w:sz w:val="20"/>
          <w:szCs w:val="20"/>
          <w:color w:val="auto"/>
        </w:rPr>
        <w:t xml:space="preserve"> personnel with access to telephone, printer/scanner, wireless internet, television/Monitor, office supplies and cafeteria.</w:t>
      </w: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12559A"/>
        </w:rPr>
        <w:t>Section 4 – Fees</w:t>
      </w:r>
    </w:p>
    <w:p>
      <w:pPr>
        <w:spacing w:after="0" w:line="274" w:lineRule="exact"/>
        <w:rPr>
          <w:sz w:val="20"/>
          <w:szCs w:val="20"/>
          <w:color w:val="auto"/>
        </w:rPr>
      </w:pPr>
    </w:p>
    <w:p>
      <w:pPr>
        <w:ind w:left="600" w:hanging="382"/>
        <w:spacing w:after="0"/>
        <w:tabs>
          <w:tab w:leader="none" w:pos="6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License Fee</w:t>
      </w:r>
    </w:p>
    <w:p>
      <w:pPr>
        <w:spacing w:after="0" w:line="328" w:lineRule="exact"/>
        <w:rPr>
          <w:sz w:val="20"/>
          <w:szCs w:val="20"/>
          <w:color w:val="auto"/>
        </w:rPr>
      </w:pPr>
    </w:p>
    <w:p>
      <w:pPr>
        <w:ind w:left="120"/>
        <w:spacing w:after="0" w:line="244" w:lineRule="auto"/>
        <w:rPr>
          <w:sz w:val="20"/>
          <w:szCs w:val="20"/>
          <w:color w:val="auto"/>
        </w:rPr>
      </w:pPr>
      <w:r>
        <w:rPr>
          <w:rFonts w:ascii="Times New Roman" w:cs="Times New Roman" w:eastAsia="Times New Roman" w:hAnsi="Times New Roman"/>
          <w:sz w:val="22"/>
          <w:szCs w:val="22"/>
          <w:color w:val="auto"/>
        </w:rPr>
        <w:t>The License Fee will be pre-paid on a monthly basis and includes items listed under the relevant category in Table 1 below. A monthly Variable Budget for support services overage compared to SMU amounts and out of scope activities has been established at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per month. Specifically, the variable budget will cover the following known items, as needed:</w:t>
      </w:r>
    </w:p>
    <w:p>
      <w:pPr>
        <w:spacing w:after="0" w:line="124" w:lineRule="exact"/>
        <w:rPr>
          <w:sz w:val="20"/>
          <w:szCs w:val="20"/>
          <w:color w:val="auto"/>
        </w:rPr>
      </w:pPr>
    </w:p>
    <w:p>
      <w:pPr>
        <w:ind w:left="1300" w:hanging="333"/>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1300" w:hanging="333"/>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300" w:hanging="333"/>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120" w:right="200"/>
        <w:spacing w:after="0" w:line="238" w:lineRule="auto"/>
        <w:rPr>
          <w:sz w:val="20"/>
          <w:szCs w:val="20"/>
          <w:color w:val="auto"/>
        </w:rPr>
      </w:pPr>
      <w:r>
        <w:rPr>
          <w:rFonts w:ascii="Times New Roman" w:cs="Times New Roman" w:eastAsia="Times New Roman" w:hAnsi="Times New Roman"/>
          <w:sz w:val="22"/>
          <w:szCs w:val="22"/>
          <w:color w:val="auto"/>
        </w:rPr>
        <w:t xml:space="preserve">Table 1 below shows the costs related to support services for monthly overages and other services to be covered by the Variable Budget, if required. 2023 Monthly Costs have stayed as proposed previously, while 2024 Monthly Costs have been added as an option and include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annual rate adjustment to account for increased facility maintenance and personnel costs etc. Note that the unit costs of overages are higher than unit costs included in the License Fees as unplanned activities result in additional costs such as offsite storage, material movement and personnel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48260</wp:posOffset>
            </wp:positionV>
            <wp:extent cx="6300470" cy="2139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6300470" cy="213995"/>
                    </a:xfrm>
                    <a:prstGeom prst="rect">
                      <a:avLst/>
                    </a:prstGeom>
                    <a:noFill/>
                  </pic:spPr>
                </pic:pic>
              </a:graphicData>
            </a:graphic>
          </wp:anchor>
        </w:drawing>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1: 2023 Monthly Costs and 2024 Monthly Costs (Extension Options)</w:t>
      </w:r>
    </w:p>
    <w:p>
      <w:pPr>
        <w:spacing w:after="0" w:line="53" w:lineRule="exact"/>
        <w:rPr>
          <w:sz w:val="20"/>
          <w:szCs w:val="20"/>
          <w:color w:val="auto"/>
        </w:rPr>
      </w:pPr>
    </w:p>
    <w:tbl>
      <w:tblPr>
        <w:tblLayout w:type="fixed"/>
        <w:tblInd w:w="690" w:type="dxa"/>
        <w:tblCellMar>
          <w:top w:w="0" w:type="dxa"/>
          <w:left w:w="0" w:type="dxa"/>
          <w:bottom w:w="0" w:type="dxa"/>
          <w:right w:w="0" w:type="dxa"/>
        </w:tblCellMar>
      </w:tblPr>
      <w:tr>
        <w:trPr>
          <w:trHeight w:val="211"/>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Item Description</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 of Units/ month</w:t>
            </w:r>
          </w:p>
        </w:tc>
        <w:tc>
          <w:tcPr>
            <w:tcW w:w="1940" w:type="dxa"/>
            <w:vAlign w:val="bottom"/>
            <w:tcBorders>
              <w:bottom w:val="single" w:sz="8" w:color="auto"/>
              <w:right w:val="single" w:sz="8" w:color="auto"/>
            </w:tcBorders>
            <w:shd w:val="clear" w:color="auto" w:fill="D9D9D9"/>
          </w:tcPr>
          <w:p>
            <w:pPr>
              <w:jc w:val="center"/>
              <w:ind w:right="3"/>
              <w:spacing w:after="0"/>
              <w:rPr>
                <w:sz w:val="20"/>
                <w:szCs w:val="20"/>
                <w:color w:val="auto"/>
              </w:rPr>
            </w:pPr>
            <w:r>
              <w:rPr>
                <w:rFonts w:ascii="Arial" w:cs="Arial" w:eastAsia="Arial" w:hAnsi="Arial"/>
                <w:sz w:val="16"/>
                <w:szCs w:val="16"/>
                <w:b w:val="1"/>
                <w:bCs w:val="1"/>
                <w:color w:val="auto"/>
              </w:rPr>
              <w:t>2023 Monthly Costs</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2024 Monthly Costs</w:t>
            </w:r>
          </w:p>
        </w:tc>
        <w:tc>
          <w:tcPr>
            <w:tcW w:w="0" w:type="dxa"/>
            <w:vAlign w:val="bottom"/>
          </w:tcPr>
          <w:p>
            <w:pPr>
              <w:spacing w:after="0"/>
              <w:rPr>
                <w:sz w:val="1"/>
                <w:szCs w:val="1"/>
                <w:color w:val="auto"/>
              </w:rPr>
            </w:pPr>
          </w:p>
        </w:tc>
      </w:tr>
      <w:tr>
        <w:trPr>
          <w:trHeight w:val="250"/>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50"/>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50"/>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50"/>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50"/>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50"/>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Personnel Support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96"/>
        </w:trPr>
        <w:tc>
          <w:tcPr>
            <w:tcW w:w="4180" w:type="dxa"/>
            <w:vAlign w:val="bottom"/>
            <w:tcBorders>
              <w:left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Material Management Warehouse Movement</w:t>
            </w:r>
          </w:p>
        </w:tc>
        <w:tc>
          <w:tcPr>
            <w:tcW w:w="18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75"/>
        </w:trPr>
        <w:tc>
          <w:tcPr>
            <w:tcW w:w="4180" w:type="dxa"/>
            <w:vAlign w:val="bottom"/>
            <w:tcBorders>
              <w:left w:val="single" w:sz="8" w:color="D9D9D9"/>
              <w:bottom w:val="single" w:sz="8" w:color="auto"/>
              <w:right w:val="single" w:sz="8" w:color="auto"/>
            </w:tcBorders>
            <w:shd w:val="clear" w:color="auto" w:fill="D9D9D9"/>
          </w:tcPr>
          <w:p>
            <w:pPr>
              <w:spacing w:after="0"/>
              <w:rPr>
                <w:sz w:val="6"/>
                <w:szCs w:val="6"/>
                <w:color w:val="auto"/>
              </w:rPr>
            </w:pPr>
          </w:p>
        </w:tc>
        <w:tc>
          <w:tcPr>
            <w:tcW w:w="1800" w:type="dxa"/>
            <w:vAlign w:val="bottom"/>
            <w:tcBorders>
              <w:bottom w:val="single" w:sz="8" w:color="auto"/>
              <w:right w:val="single" w:sz="8" w:color="auto"/>
            </w:tcBorders>
            <w:shd w:val="clear" w:color="auto" w:fill="D9D9D9"/>
          </w:tcPr>
          <w:p>
            <w:pPr>
              <w:spacing w:after="0"/>
              <w:rPr>
                <w:sz w:val="6"/>
                <w:szCs w:val="6"/>
                <w:color w:val="auto"/>
              </w:rPr>
            </w:pPr>
          </w:p>
        </w:tc>
        <w:tc>
          <w:tcPr>
            <w:tcW w:w="1940" w:type="dxa"/>
            <w:vAlign w:val="bottom"/>
            <w:tcBorders>
              <w:bottom w:val="single" w:sz="8" w:color="auto"/>
              <w:right w:val="single" w:sz="8" w:color="auto"/>
            </w:tcBorders>
            <w:shd w:val="clear" w:color="auto" w:fill="D9D9D9"/>
          </w:tcPr>
          <w:p>
            <w:pPr>
              <w:spacing w:after="0"/>
              <w:rPr>
                <w:sz w:val="6"/>
                <w:szCs w:val="6"/>
                <w:color w:val="auto"/>
              </w:rPr>
            </w:pPr>
          </w:p>
        </w:tc>
        <w:tc>
          <w:tcPr>
            <w:tcW w:w="198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180" w:type="dxa"/>
            <w:vAlign w:val="bottom"/>
            <w:tcBorders>
              <w:left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Consumables</w:t>
            </w:r>
          </w:p>
        </w:tc>
        <w:tc>
          <w:tcPr>
            <w:tcW w:w="18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61"/>
        </w:trPr>
        <w:tc>
          <w:tcPr>
            <w:tcW w:w="4180" w:type="dxa"/>
            <w:vAlign w:val="bottom"/>
            <w:tcBorders>
              <w:left w:val="single" w:sz="8" w:color="D9D9D9"/>
              <w:bottom w:val="single" w:sz="8" w:color="auto"/>
              <w:right w:val="single" w:sz="8" w:color="auto"/>
            </w:tcBorders>
            <w:shd w:val="clear" w:color="auto" w:fill="D9D9D9"/>
          </w:tcPr>
          <w:p>
            <w:pPr>
              <w:spacing w:after="0"/>
              <w:rPr>
                <w:sz w:val="5"/>
                <w:szCs w:val="5"/>
                <w:color w:val="auto"/>
              </w:rPr>
            </w:pPr>
          </w:p>
        </w:tc>
        <w:tc>
          <w:tcPr>
            <w:tcW w:w="1800" w:type="dxa"/>
            <w:vAlign w:val="bottom"/>
            <w:tcBorders>
              <w:bottom w:val="single" w:sz="8" w:color="auto"/>
              <w:right w:val="single" w:sz="8" w:color="auto"/>
            </w:tcBorders>
            <w:shd w:val="clear" w:color="auto" w:fill="D9D9D9"/>
          </w:tcPr>
          <w:p>
            <w:pPr>
              <w:spacing w:after="0"/>
              <w:rPr>
                <w:sz w:val="5"/>
                <w:szCs w:val="5"/>
                <w:color w:val="auto"/>
              </w:rPr>
            </w:pPr>
          </w:p>
        </w:tc>
        <w:tc>
          <w:tcPr>
            <w:tcW w:w="1940" w:type="dxa"/>
            <w:vAlign w:val="bottom"/>
            <w:tcBorders>
              <w:bottom w:val="single" w:sz="8" w:color="auto"/>
              <w:right w:val="single" w:sz="8" w:color="auto"/>
            </w:tcBorders>
            <w:shd w:val="clear" w:color="auto" w:fill="D9D9D9"/>
          </w:tcPr>
          <w:p>
            <w:pPr>
              <w:spacing w:after="0"/>
              <w:rPr>
                <w:sz w:val="5"/>
                <w:szCs w:val="5"/>
                <w:color w:val="auto"/>
              </w:rPr>
            </w:pPr>
          </w:p>
        </w:tc>
        <w:tc>
          <w:tcPr>
            <w:tcW w:w="198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18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Waste Surcharge</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40" w:type="dxa"/>
            <w:vAlign w:val="bottom"/>
            <w:tcBorders>
              <w:bottom w:val="single" w:sz="8" w:color="auto"/>
              <w:right w:val="single" w:sz="8" w:color="auto"/>
            </w:tcBorders>
            <w:shd w:val="clear" w:color="auto" w:fill="D9D9D9"/>
          </w:tcPr>
          <w:p>
            <w:pPr>
              <w:spacing w:after="0"/>
              <w:rPr>
                <w:sz w:val="22"/>
                <w:szCs w:val="22"/>
                <w:color w:val="auto"/>
              </w:rPr>
            </w:pP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76"/>
        </w:trPr>
        <w:tc>
          <w:tcPr>
            <w:tcW w:w="4180" w:type="dxa"/>
            <w:vAlign w:val="bottom"/>
            <w:tcBorders>
              <w:bottom w:val="single" w:sz="8" w:color="auto"/>
            </w:tcBorders>
          </w:tcPr>
          <w:p>
            <w:pPr>
              <w:jc w:val="center"/>
              <w:ind w:left="1672"/>
              <w:spacing w:after="0"/>
              <w:rPr>
                <w:sz w:val="20"/>
                <w:szCs w:val="20"/>
                <w:color w:val="auto"/>
              </w:rPr>
            </w:pPr>
            <w:r>
              <w:rPr>
                <w:rFonts w:ascii="Arial" w:cs="Arial" w:eastAsia="Arial" w:hAnsi="Arial"/>
                <w:sz w:val="16"/>
                <w:szCs w:val="16"/>
                <w:b w:val="1"/>
                <w:bCs w:val="1"/>
                <w:color w:val="auto"/>
              </w:rPr>
              <w:t>Monthly Totals</w:t>
            </w:r>
          </w:p>
        </w:tc>
        <w:tc>
          <w:tcPr>
            <w:tcW w:w="1800" w:type="dxa"/>
            <w:vAlign w:val="bottom"/>
            <w:tcBorders>
              <w:bottom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32"/>
        </w:trPr>
        <w:tc>
          <w:tcPr>
            <w:tcW w:w="4180" w:type="dxa"/>
            <w:vAlign w:val="bottom"/>
            <w:tcBorders>
              <w:left w:val="single" w:sz="8" w:color="auto"/>
            </w:tcBorders>
          </w:tcPr>
          <w:p>
            <w:pPr>
              <w:jc w:val="center"/>
              <w:ind w:left="1672"/>
              <w:spacing w:after="0"/>
              <w:rPr>
                <w:sz w:val="20"/>
                <w:szCs w:val="20"/>
                <w:color w:val="auto"/>
              </w:rPr>
            </w:pPr>
            <w:r>
              <w:rPr>
                <w:rFonts w:ascii="Arial" w:cs="Arial" w:eastAsia="Arial" w:hAnsi="Arial"/>
                <w:sz w:val="16"/>
                <w:szCs w:val="16"/>
                <w:b w:val="1"/>
                <w:bCs w:val="1"/>
                <w:color w:val="auto"/>
              </w:rPr>
              <w:t>Variable Budget</w:t>
            </w:r>
          </w:p>
        </w:tc>
        <w:tc>
          <w:tcPr>
            <w:tcW w:w="18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72"/>
        </w:trPr>
        <w:tc>
          <w:tcPr>
            <w:tcW w:w="4180" w:type="dxa"/>
            <w:vAlign w:val="bottom"/>
            <w:tcBorders>
              <w:lef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180" w:type="dxa"/>
            <w:vAlign w:val="bottom"/>
            <w:tcBorders>
              <w:left w:val="single" w:sz="8" w:color="auto"/>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1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71" w:right="539" w:bottom="1440" w:gutter="0" w:footer="0" w:header="0"/>
        </w:sectPr>
      </w:pPr>
    </w:p>
    <w:bookmarkStart w:id="135" w:name="page136"/>
    <w:bookmarkEnd w:id="135"/>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1461770</wp:posOffset>
            </wp:positionH>
            <wp:positionV relativeFrom="page">
              <wp:posOffset>965200</wp:posOffset>
            </wp:positionV>
            <wp:extent cx="4624705" cy="1758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4624705" cy="175895"/>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b w:val="1"/>
          <w:bCs w:val="1"/>
          <w:color w:val="auto"/>
        </w:rPr>
        <w:t>Table 2: Overage/Other Costs</w:t>
      </w:r>
    </w:p>
    <w:p>
      <w:pPr>
        <w:spacing w:after="0" w:line="60" w:lineRule="exact"/>
        <w:rPr>
          <w:sz w:val="20"/>
          <w:szCs w:val="20"/>
          <w:color w:val="auto"/>
        </w:rPr>
      </w:pPr>
    </w:p>
    <w:tbl>
      <w:tblPr>
        <w:tblLayout w:type="fixed"/>
        <w:tblInd w:w="1990" w:type="dxa"/>
        <w:tblCellMar>
          <w:top w:w="0" w:type="dxa"/>
          <w:left w:w="0" w:type="dxa"/>
          <w:bottom w:w="0" w:type="dxa"/>
          <w:right w:w="0" w:type="dxa"/>
        </w:tblCellMar>
      </w:tblPr>
      <w:tr>
        <w:trPr>
          <w:trHeight w:val="224"/>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Type</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Unit Cost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Materials Management Warehouse Movement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3rd party costs</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Personnel Support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Enhanced EM*</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5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Personnel Training</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4580" w:type="dxa"/>
            <w:vAlign w:val="bottom"/>
            <w:tcBorders>
              <w:left w:val="single" w:sz="8" w:color="auto"/>
              <w:bottom w:val="single" w:sz="8" w:color="auto"/>
              <w:right w:val="single" w:sz="8" w:color="auto"/>
            </w:tcBorders>
            <w:shd w:val="clear" w:color="auto" w:fill="D9D9D9"/>
          </w:tcPr>
          <w:p>
            <w:pPr>
              <w:ind w:left="680"/>
              <w:spacing w:after="0"/>
              <w:rPr>
                <w:sz w:val="20"/>
                <w:szCs w:val="20"/>
                <w:color w:val="auto"/>
              </w:rPr>
            </w:pPr>
            <w:r>
              <w:rPr>
                <w:rFonts w:ascii="Arial" w:cs="Arial" w:eastAsia="Arial" w:hAnsi="Arial"/>
                <w:sz w:val="18"/>
                <w:szCs w:val="18"/>
                <w:color w:val="auto"/>
              </w:rPr>
              <w:t>Non – Standard Business Hour Support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2559A"/>
        </w:rPr>
        <w:t>Section 5 – Payments and Invoicing</w:t>
      </w:r>
    </w:p>
    <w:p>
      <w:pPr>
        <w:spacing w:after="0" w:line="287"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All invoices are due net +30 days from the invoice date. Fixed amounts for the monthly License Fee will be generated at the start of each month. Monthly invoices for variable amounts will be generated out at the end of each month, if required based on actual usage.</w:t>
      </w:r>
    </w:p>
    <w:p>
      <w:pPr>
        <w:spacing w:after="0" w:line="6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total amount for cleanroom use and related services for 9 months starting April 2023 to December 2023 is $</w:t>
      </w:r>
      <w:r>
        <w:rPr>
          <w:rFonts w:ascii="Times New Roman" w:cs="Times New Roman" w:eastAsia="Times New Roman" w:hAnsi="Times New Roman"/>
          <w:sz w:val="19"/>
          <w:szCs w:val="19"/>
          <w:color w:val="auto"/>
        </w:rPr>
        <w:t>1,707,074</w:t>
      </w:r>
      <w:r>
        <w:rPr>
          <w:rFonts w:ascii="Times New Roman" w:cs="Times New Roman" w:eastAsia="Times New Roman" w:hAnsi="Times New Roman"/>
          <w:sz w:val="22"/>
          <w:szCs w:val="22"/>
          <w:color w:val="auto"/>
        </w:rPr>
        <w:t>. In addition, the variable budget of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/month, total amount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will also be required. A Purchase Order (“PO”) for the total amount is required for the reservation of the cleanroom and related services specified in this SOW.</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2559A"/>
        </w:rPr>
        <w:t>Section 6 – Approvals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SOW Generated by (COD):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22 Nov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 Daniel Dernbach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daniel.dernbach@azzur.com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SOW Accepted by (Synlogic):</w:t>
      </w:r>
    </w:p>
    <w:p>
      <w:pPr>
        <w:spacing w:after="0" w:line="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11/22/2022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136" w:name="page137"/>
    <w:bookmarkEnd w:id="136"/>
    <w:p>
      <w:pPr>
        <w:spacing w:after="0"/>
        <w:tabs>
          <w:tab w:leader="none" w:pos="2760" w:val="left"/>
        </w:tabs>
        <w:rPr>
          <w:sz w:val="20"/>
          <w:szCs w:val="20"/>
          <w:color w:val="auto"/>
        </w:rPr>
      </w:pPr>
      <w:r>
        <w:rPr>
          <w:rFonts w:ascii="Times New Roman" w:cs="Times New Roman" w:eastAsia="Times New Roman" w:hAnsi="Times New Roman"/>
          <w:sz w:val="22"/>
          <w:szCs w:val="22"/>
          <w:color w:val="auto"/>
        </w:rPr>
        <w:t>NAME: Michael Jensen, CFO</w:t>
      </w:r>
      <w:r>
        <w:rPr>
          <w:sz w:val="20"/>
          <w:szCs w:val="20"/>
          <w:color w:val="auto"/>
        </w:rPr>
        <w:tab/>
      </w:r>
      <w:r>
        <w:rPr>
          <w:rFonts w:ascii="Times New Roman" w:cs="Times New Roman" w:eastAsia="Times New Roman" w:hAnsi="Times New Roman"/>
          <w:sz w:val="21"/>
          <w:szCs w:val="21"/>
          <w:color w:val="auto"/>
        </w:rPr>
        <w:t>/s/ Michael Jensen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820" w:type="dxa"/>
            <w:vAlign w:val="bottom"/>
            <w:gridSpan w:val="3"/>
          </w:tcPr>
          <w:p>
            <w:pPr>
              <w:ind w:left="380"/>
              <w:spacing w:after="0"/>
              <w:rPr>
                <w:sz w:val="20"/>
                <w:szCs w:val="20"/>
                <w:color w:val="auto"/>
              </w:rPr>
            </w:pPr>
            <w:r>
              <w:rPr>
                <w:rFonts w:ascii="Times New Roman" w:cs="Times New Roman" w:eastAsia="Times New Roman" w:hAnsi="Times New Roman"/>
                <w:sz w:val="22"/>
                <w:szCs w:val="22"/>
                <w:b w:val="1"/>
                <w:bCs w:val="1"/>
                <w:color w:val="auto"/>
              </w:rPr>
              <w:t>SUBSIDIARIES OF SYNLOGIC, INC.</w:t>
            </w:r>
          </w:p>
        </w:tc>
      </w:tr>
      <w:tr>
        <w:trPr>
          <w:trHeight w:val="420"/>
        </w:trPr>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Subsidiary</w:t>
            </w:r>
          </w:p>
        </w:tc>
        <w:tc>
          <w:tcPr>
            <w:tcW w:w="2400" w:type="dxa"/>
            <w:vAlign w:val="bottom"/>
          </w:tcPr>
          <w:p>
            <w:pPr>
              <w:spacing w:after="0"/>
              <w:rPr>
                <w:sz w:val="24"/>
                <w:szCs w:val="24"/>
                <w:color w:val="auto"/>
              </w:rPr>
            </w:pP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Operating Company, Inc.</w:t>
            </w: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Synlogic Securities Corporation</w:t>
            </w: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2"/>
                <w:szCs w:val="22"/>
                <w:color w:val="auto"/>
              </w:rPr>
              <w:t>Massachusetts</w:t>
            </w:r>
          </w:p>
        </w:tc>
      </w:tr>
      <w:tr>
        <w:trPr>
          <w:trHeight w:val="603"/>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333-207299, 333-210466, 333-220841, 333-223798, 333-230224, 333-237104, 333-237105, 333-254688, 333-254689, 333-263629 and 333-263630) on Form S-8 and (Nos. 333-233139 and 333-258151) on Form S-3 of our report dated March 29, 2023, with respect to the consolidated financial statements of Synlogic, Inc.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9" w:name="page140"/>
    <w:bookmarkEnd w:id="139"/>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Aoife Brennan, certify that:</w:t>
      </w:r>
    </w:p>
    <w:p>
      <w:pPr>
        <w:spacing w:after="0" w:line="225" w:lineRule="exact"/>
        <w:rPr>
          <w:sz w:val="20"/>
          <w:szCs w:val="20"/>
          <w:color w:val="auto"/>
        </w:rPr>
      </w:pPr>
    </w:p>
    <w:p>
      <w:pPr>
        <w:ind w:left="980" w:hanging="223"/>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Synlogic, Inc.;</w:t>
      </w:r>
    </w:p>
    <w:p>
      <w:pPr>
        <w:spacing w:after="0" w:line="225" w:lineRule="exact"/>
        <w:rPr>
          <w:rFonts w:ascii="Times New Roman" w:cs="Times New Roman" w:eastAsia="Times New Roman" w:hAnsi="Times New Roman"/>
          <w:sz w:val="18"/>
          <w:szCs w:val="18"/>
          <w:color w:val="auto"/>
        </w:rPr>
      </w:pPr>
    </w:p>
    <w:p>
      <w:pPr>
        <w:jc w:val="both"/>
        <w:ind w:firstLine="757"/>
        <w:spacing w:after="0" w:line="282" w:lineRule="auto"/>
        <w:tabs>
          <w:tab w:leader="none" w:pos="9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7" w:lineRule="exact"/>
        <w:rPr>
          <w:rFonts w:ascii="Times New Roman" w:cs="Times New Roman" w:eastAsia="Times New Roman" w:hAnsi="Times New Roman"/>
          <w:sz w:val="18"/>
          <w:szCs w:val="18"/>
          <w:color w:val="auto"/>
        </w:rPr>
      </w:pPr>
    </w:p>
    <w:p>
      <w:pPr>
        <w:ind w:right="20" w:firstLine="757"/>
        <w:spacing w:after="0" w:line="282" w:lineRule="auto"/>
        <w:tabs>
          <w:tab w:leader="none" w:pos="9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60" w:firstLine="757"/>
        <w:spacing w:after="0" w:line="261" w:lineRule="auto"/>
        <w:tabs>
          <w:tab w:leader="none" w:pos="9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right="80" w:firstLine="757"/>
        <w:spacing w:after="0" w:line="266" w:lineRule="auto"/>
        <w:tabs>
          <w:tab w:leader="none" w:pos="97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9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80" w:firstLine="757"/>
        <w:spacing w:after="0" w:line="282" w:lineRule="auto"/>
        <w:tabs>
          <w:tab w:leader="none" w:pos="97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00" w:firstLine="757"/>
        <w:spacing w:after="0" w:line="266" w:lineRule="auto"/>
        <w:tabs>
          <w:tab w:leader="none" w:pos="9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20" w:firstLine="757"/>
        <w:spacing w:after="0" w:line="312" w:lineRule="auto"/>
        <w:tabs>
          <w:tab w:leader="none" w:pos="97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sz w:val="20"/>
          <w:szCs w:val="20"/>
          <w:color w:val="auto"/>
        </w:rPr>
      </w:pPr>
    </w:p>
    <w:p>
      <w:pPr>
        <w:ind w:right="820" w:firstLine="757"/>
        <w:spacing w:after="0" w:line="282" w:lineRule="auto"/>
        <w:tabs>
          <w:tab w:leader="none" w:pos="97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757"/>
        <w:spacing w:after="0" w:line="282" w:lineRule="auto"/>
        <w:tabs>
          <w:tab w:leader="none" w:pos="98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29, 2023</w:t>
            </w:r>
          </w:p>
        </w:tc>
        <w:tc>
          <w:tcPr>
            <w:tcW w:w="22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AOIFE BRENNAN</w:t>
            </w:r>
          </w:p>
        </w:tc>
      </w:tr>
      <w:tr>
        <w:trPr>
          <w:trHeight w:val="203"/>
        </w:trPr>
        <w:tc>
          <w:tcPr>
            <w:tcW w:w="3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Aoife Brennan</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60"/>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Jensen, certify that:</w:t>
      </w:r>
    </w:p>
    <w:p>
      <w:pPr>
        <w:spacing w:after="0" w:line="225" w:lineRule="exact"/>
        <w:rPr>
          <w:sz w:val="20"/>
          <w:szCs w:val="20"/>
          <w:color w:val="auto"/>
        </w:rPr>
      </w:pPr>
    </w:p>
    <w:p>
      <w:pPr>
        <w:ind w:left="980" w:hanging="223"/>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Synlogic, Inc.;</w:t>
      </w:r>
    </w:p>
    <w:p>
      <w:pPr>
        <w:spacing w:after="0" w:line="225" w:lineRule="exact"/>
        <w:rPr>
          <w:rFonts w:ascii="Times New Roman" w:cs="Times New Roman" w:eastAsia="Times New Roman" w:hAnsi="Times New Roman"/>
          <w:sz w:val="18"/>
          <w:szCs w:val="18"/>
          <w:color w:val="auto"/>
        </w:rPr>
      </w:pPr>
    </w:p>
    <w:p>
      <w:pPr>
        <w:jc w:val="both"/>
        <w:ind w:firstLine="757"/>
        <w:spacing w:after="0" w:line="282" w:lineRule="auto"/>
        <w:tabs>
          <w:tab w:leader="none" w:pos="9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7" w:lineRule="exact"/>
        <w:rPr>
          <w:rFonts w:ascii="Times New Roman" w:cs="Times New Roman" w:eastAsia="Times New Roman" w:hAnsi="Times New Roman"/>
          <w:sz w:val="18"/>
          <w:szCs w:val="18"/>
          <w:color w:val="auto"/>
        </w:rPr>
      </w:pPr>
    </w:p>
    <w:p>
      <w:pPr>
        <w:ind w:right="20" w:firstLine="757"/>
        <w:spacing w:after="0" w:line="282" w:lineRule="auto"/>
        <w:tabs>
          <w:tab w:leader="none" w:pos="9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60" w:firstLine="757"/>
        <w:spacing w:after="0" w:line="261" w:lineRule="auto"/>
        <w:tabs>
          <w:tab w:leader="none" w:pos="9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right="80" w:firstLine="757"/>
        <w:spacing w:after="0" w:line="266" w:lineRule="auto"/>
        <w:tabs>
          <w:tab w:leader="none" w:pos="97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9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80" w:firstLine="757"/>
        <w:spacing w:after="0" w:line="282" w:lineRule="auto"/>
        <w:tabs>
          <w:tab w:leader="none" w:pos="97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00" w:firstLine="757"/>
        <w:spacing w:after="0" w:line="266" w:lineRule="auto"/>
        <w:tabs>
          <w:tab w:leader="none" w:pos="9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20" w:firstLine="757"/>
        <w:spacing w:after="0" w:line="312" w:lineRule="auto"/>
        <w:tabs>
          <w:tab w:leader="none" w:pos="97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sz w:val="20"/>
          <w:szCs w:val="20"/>
          <w:color w:val="auto"/>
        </w:rPr>
      </w:pPr>
    </w:p>
    <w:p>
      <w:pPr>
        <w:ind w:right="820" w:firstLine="757"/>
        <w:spacing w:after="0" w:line="282" w:lineRule="auto"/>
        <w:tabs>
          <w:tab w:leader="none" w:pos="97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757"/>
        <w:spacing w:after="0" w:line="282" w:lineRule="auto"/>
        <w:tabs>
          <w:tab w:leader="none" w:pos="9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29, 2023</w:t>
            </w:r>
          </w:p>
        </w:tc>
        <w:tc>
          <w:tcPr>
            <w:tcW w:w="22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JENSEN</w:t>
            </w:r>
          </w:p>
        </w:tc>
      </w:tr>
      <w:tr>
        <w:trPr>
          <w:trHeight w:val="203"/>
        </w:trPr>
        <w:tc>
          <w:tcPr>
            <w:tcW w:w="3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Michael Jensen</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560"/>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Synlogic, Inc. (the “Company”) on Form 10-K for the period ending December 31, 2022 as filed with the Securities and Exchange Commission on the date hereof (the “Report”), I, Aoife Brennan, President and Chief Executive Officer of the Company,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2023</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AOIFE BRENNAN</w:t>
            </w:r>
          </w:p>
        </w:tc>
      </w:tr>
      <w:tr>
        <w:trPr>
          <w:trHeight w:val="203"/>
        </w:trPr>
        <w:tc>
          <w:tcPr>
            <w:tcW w:w="3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Aoife Brennan</w:t>
            </w:r>
          </w:p>
        </w:tc>
      </w:tr>
      <w:tr>
        <w:trPr>
          <w:trHeight w:val="216"/>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211"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Synlogic, Inc. (the “Company”) on Form 10-K for the period ending December 31, 2022 as filed with the Securities and Exchange Commission on the date hereof (the “Report”), I, Michael Jensen, Chief Financial Officer,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2023</w:t>
            </w:r>
          </w:p>
        </w:tc>
        <w:tc>
          <w:tcPr>
            <w:tcW w:w="22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JENSEN</w:t>
            </w:r>
          </w:p>
        </w:tc>
      </w:tr>
      <w:tr>
        <w:trPr>
          <w:trHeight w:val="203"/>
        </w:trPr>
        <w:tc>
          <w:tcPr>
            <w:tcW w:w="3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Michael Jensen</w:t>
            </w:r>
          </w:p>
        </w:tc>
      </w:tr>
      <w:tr>
        <w:trPr>
          <w:trHeight w:val="216"/>
        </w:trPr>
        <w:tc>
          <w:tcPr>
            <w:tcW w:w="3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bl>
    <w:p>
      <w:pPr>
        <w:spacing w:after="0" w:line="211"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lvl w:ilvl="1">
      <w:lvlJc w:val="left"/>
      <w:lvlText w:val="•"/>
      <w:numFmt w:val="bullet"/>
      <w:start w:val="1"/>
    </w:lvl>
  </w:abstractNum>
  <w:abstractNum w:abstractNumId="7">
    <w:nsid w:val="3DC240FB"/>
    <w:multiLevelType w:val="hybridMultilevel"/>
    <w:lvl w:ilvl="0">
      <w:lvlJc w:val="left"/>
      <w:lvlText w:val="%1."/>
      <w:numFmt w:val="decimal"/>
      <w:start w:val="3"/>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1."/>
      <w:numFmt w:val="decimal"/>
      <w:start w:val="3"/>
    </w:lvl>
    <w:lvl w:ilvl="1">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1)"/>
      <w:numFmt w:val="lowerLetter"/>
      <w:start w:val="2"/>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2"/>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lowerRoman"/>
      <w:start w:val="2"/>
    </w:lvl>
  </w:abstractNum>
  <w:abstractNum w:abstractNumId="55">
    <w:nsid w:val="540A471C"/>
    <w:multiLevelType w:val="hybridMultilevel"/>
    <w:lvl w:ilvl="0">
      <w:lvlJc w:val="left"/>
      <w:lvlText w:val="(%1)"/>
      <w:numFmt w:val="decimal"/>
      <w:start w:val="3"/>
    </w:lvl>
  </w:abstractNum>
  <w:abstractNum w:abstractNumId="56">
    <w:nsid w:val="7BD3EE7B"/>
    <w:multiLevelType w:val="hybridMultilevel"/>
    <w:lvl w:ilvl="0">
      <w:lvlJc w:val="left"/>
      <w:lvlText w:val="(%1)"/>
      <w:numFmt w:val="decimal"/>
      <w:start w:val="4"/>
    </w:lvl>
  </w:abstractNum>
  <w:abstractNum w:abstractNumId="57">
    <w:nsid w:val="51D9C564"/>
    <w:multiLevelType w:val="hybridMultilevel"/>
    <w:lvl w:ilvl="0">
      <w:lvlJc w:val="left"/>
      <w:lvlText w:val="(%1)"/>
      <w:numFmt w:val="decimal"/>
      <w:start w:val="5"/>
    </w:lvl>
  </w:abstractNum>
  <w:abstractNum w:abstractNumId="58">
    <w:nsid w:val="613EFDC5"/>
    <w:multiLevelType w:val="hybridMultilevel"/>
    <w:lvl w:ilvl="0">
      <w:lvlJc w:val="left"/>
      <w:lvlText w:val="(%1)"/>
      <w:numFmt w:val="decimal"/>
      <w:start w:val="6"/>
    </w:lvl>
  </w:abstractNum>
  <w:abstractNum w:abstractNumId="59">
    <w:nsid w:val="BF72B14"/>
    <w:multiLevelType w:val="hybridMultilevel"/>
    <w:lvl w:ilvl="0">
      <w:lvlJc w:val="left"/>
      <w:lvlText w:val="(%1)"/>
      <w:numFmt w:val="decimal"/>
      <w:start w:val="7"/>
    </w:lvl>
  </w:abstractNum>
  <w:abstractNum w:abstractNumId="60">
    <w:nsid w:val="11447B73"/>
    <w:multiLevelType w:val="hybridMultilevel"/>
    <w:lvl w:ilvl="0">
      <w:lvlJc w:val="left"/>
      <w:lvlText w:val="(%1)"/>
      <w:numFmt w:val="decimal"/>
      <w:start w:val="8"/>
    </w:lvl>
    <w:lvl w:ilvl="1">
      <w:lvlJc w:val="left"/>
      <w:lvlText w:val="•"/>
      <w:numFmt w:val="bullet"/>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decimal"/>
      <w:start w:val="10"/>
    </w:lvl>
  </w:abstractNum>
  <w:abstractNum w:abstractNumId="63">
    <w:nsid w:val="8F2B15E"/>
    <w:multiLevelType w:val="hybridMultilevel"/>
    <w:lvl w:ilvl="0">
      <w:lvlJc w:val="left"/>
      <w:lvlText w:val="(%1)"/>
      <w:numFmt w:val="decimal"/>
      <w:start w:val="11"/>
    </w:lvl>
  </w:abstractNum>
  <w:abstractNum w:abstractNumId="64">
    <w:nsid w:val="1A32234B"/>
    <w:multiLevelType w:val="hybridMultilevel"/>
    <w:lvl w:ilvl="0">
      <w:lvlJc w:val="left"/>
      <w:lvlText w:val="(%1)"/>
      <w:numFmt w:val="decimal"/>
      <w:start w:val="12"/>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14"/>
    </w:lvl>
  </w:abstractNum>
  <w:abstractNum w:abstractNumId="67">
    <w:nsid w:val="4962813B"/>
    <w:multiLevelType w:val="hybridMultilevel"/>
    <w:lvl w:ilvl="0">
      <w:lvlJc w:val="left"/>
      <w:lvlText w:val="(%1)"/>
      <w:numFmt w:val="decimal"/>
      <w:start w:val="15"/>
    </w:lvl>
  </w:abstractNum>
  <w:abstractNum w:abstractNumId="68">
    <w:nsid w:val="60B6DF70"/>
    <w:multiLevelType w:val="hybridMultilevel"/>
    <w:lvl w:ilvl="0">
      <w:lvlJc w:val="left"/>
      <w:lvlText w:val="(%1)"/>
      <w:numFmt w:val="decimal"/>
      <w:start w:val="16"/>
    </w:lvl>
  </w:abstractNum>
  <w:abstractNum w:abstractNumId="69">
    <w:nsid w:val="6A5EE64"/>
    <w:multiLevelType w:val="hybridMultilevel"/>
    <w:lvl w:ilvl="0">
      <w:lvlJc w:val="left"/>
      <w:lvlText w:val="(%1)"/>
      <w:numFmt w:val="decimal"/>
      <w:start w:val="17"/>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lvl w:ilvl="1">
      <w:lvlJc w:val="left"/>
      <w:lvlText w:val="•"/>
      <w:numFmt w:val="bullet"/>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o"/>
      <w:numFmt w:val="bullet"/>
      <w:start w:val="1"/>
    </w:lvl>
  </w:abstractNum>
  <w:abstractNum w:abstractNumId="74">
    <w:nsid w:val="100F59DC"/>
    <w:multiLevelType w:val="hybridMultilevel"/>
    <w:lvl w:ilvl="0">
      <w:lvlJc w:val="left"/>
      <w:lvlText w:val="•"/>
      <w:numFmt w:val="bullet"/>
      <w:start w:val="1"/>
    </w:lvl>
    <w:lvl w:ilvl="1">
      <w:lvlJc w:val="left"/>
      <w:lvlText w:val="o"/>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1)"/>
      <w:numFmt w:val="lowerLetter"/>
      <w:start w:val="2"/>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80">
    <w:nsid w:val="76272110"/>
    <w:multiLevelType w:val="hybridMultilevel"/>
    <w:lvl w:ilvl="0">
      <w:lvlJc w:val="left"/>
      <w:lvlText w:val="%1)"/>
      <w:numFmt w:val="lowerLetter"/>
      <w:start w:val="5"/>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o"/>
      <w:numFmt w:val="bullet"/>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decimal"/>
      <w:start w:val="5"/>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decimal"/>
      <w:start w:val="5"/>
    </w:lvl>
  </w:abstractNum>
  <w:abstractNum w:abstractNumId="90">
    <w:nsid w:val="39EE015C"/>
    <w:multiLevelType w:val="hybridMultilevel"/>
    <w:lvl w:ilvl="0">
      <w:lvlJc w:val="left"/>
      <w:lvlText w:val="%1)"/>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jpeg"/><Relationship Id="rId334" Type="http://schemas.openxmlformats.org/officeDocument/2006/relationships/image" Target="media/image288.jpe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132" Type="http://schemas.openxmlformats.org/officeDocument/2006/relationships/hyperlink" Target="https://www.sec.gov/Archives/edgar/data/1527599/000110465917032941/a17-13113_1ex2d1.htm" TargetMode="External"/><Relationship Id="rId133" Type="http://schemas.openxmlformats.org/officeDocument/2006/relationships/hyperlink" Target="https://www.sec.gov/Archives/edgar/data/1527599/000110465915069368/a15-14644_8ex3d1.htm" TargetMode="External"/><Relationship Id="rId134" Type="http://schemas.openxmlformats.org/officeDocument/2006/relationships/hyperlink" Target="https://www.sec.gov/Archives/edgar/data/1527599/000119312517270395/d431294dex31.htm" TargetMode="External"/><Relationship Id="rId135" Type="http://schemas.openxmlformats.org/officeDocument/2006/relationships/hyperlink" Target="https://www.sec.gov/Archives/edgar/data/1527599/000119312517270395/d431294dex32.htm" TargetMode="External"/><Relationship Id="rId136" Type="http://schemas.openxmlformats.org/officeDocument/2006/relationships/hyperlink" Target="https://www.sec.gov/Archives/edgar/data/1527599/000110465915069368/a15-14644_8ex3d2.htm" TargetMode="External"/><Relationship Id="rId137" Type="http://schemas.openxmlformats.org/officeDocument/2006/relationships/hyperlink" Target="https://www.sec.gov/Archives/edgar/data/1527599/000104746915007386/a2226006zex-4_2.htm" TargetMode="External"/><Relationship Id="rId138" Type="http://schemas.openxmlformats.org/officeDocument/2006/relationships/hyperlink" Target="https://www.sec.gov/Archives/edgar/data/1527599/000119312519170721/d766098dex41.htm" TargetMode="External"/><Relationship Id="rId139" Type="http://schemas.openxmlformats.org/officeDocument/2006/relationships/hyperlink" Target="https://www.sec.gov/Archives/edgar/data/1527599/000156459020010261/sybx-ex43_732.htm" TargetMode="External"/><Relationship Id="rId140" Type="http://schemas.openxmlformats.org/officeDocument/2006/relationships/hyperlink" Target="https://www.sec.gov/Archives/edgar/data/1527599/000156459018006323/sybx-ex101_397.htm" TargetMode="External"/><Relationship Id="rId141" Type="http://schemas.openxmlformats.org/officeDocument/2006/relationships/hyperlink" Target="https://www.sec.gov/Archives/edgar/data/1527599/000104746915007251/a2225898zex-10_9b.htm" TargetMode="External"/><Relationship Id="rId142" Type="http://schemas.openxmlformats.org/officeDocument/2006/relationships/hyperlink" Target="https://www.sec.gov/Archives/edgar/data/1527599/000104746915007251/a2225898zex-10_9c.htm" TargetMode="External"/><Relationship Id="rId143" Type="http://schemas.openxmlformats.org/officeDocument/2006/relationships/hyperlink" Target="https://www.sec.gov/Archives/edgar/data/1527599/000156459018006323/sybx-ex104_396.htm" TargetMode="External"/><Relationship Id="rId144" Type="http://schemas.openxmlformats.org/officeDocument/2006/relationships/hyperlink" Target="https://www.sec.gov/Archives/edgar/data/1527599/000119312517340965/d458814dex1017.htm" TargetMode="External"/><Relationship Id="rId145" Type="http://schemas.openxmlformats.org/officeDocument/2006/relationships/hyperlink" Target="https://www.sec.gov/Archives/edgar/data/1527599/000156459018006323/sybx-ex106_235.htm" TargetMode="External"/><Relationship Id="rId148" Type="http://schemas.openxmlformats.org/officeDocument/2006/relationships/hyperlink" Target="https://www.sec.gov/Archives/edgar/data/1527599/000104746915007251/a2225898zex-10_13.htm" TargetMode="External"/><Relationship Id="rId149" Type="http://schemas.openxmlformats.org/officeDocument/2006/relationships/hyperlink" Target="https://www.sec.gov/Archives/edgar/data/1527599/000119312517270395/d431294dex106.htm" TargetMode="External"/><Relationship Id="rId150" Type="http://schemas.openxmlformats.org/officeDocument/2006/relationships/hyperlink" Target="https://www.sec.gov/Archives/edgar/data/1527599/000119312517270395/d431294dex107.htm" TargetMode="External"/><Relationship Id="rId151" Type="http://schemas.openxmlformats.org/officeDocument/2006/relationships/hyperlink" Target="https://www.sec.gov/Archives/edgar/data/1527599/000119312517270395/d431294dex108.htm" TargetMode="External"/><Relationship Id="rId152" Type="http://schemas.openxmlformats.org/officeDocument/2006/relationships/hyperlink" Target="https://www.sec.gov/Archives/edgar/data/1527599/000156459018020755/sybx-ex101_100.htm" TargetMode="External"/><Relationship Id="rId153" Type="http://schemas.openxmlformats.org/officeDocument/2006/relationships/hyperlink" Target="https://www.sec.gov/Archives/edgar/data/1527599/000156459018029326/sybx-ex101_305.htm" TargetMode="External"/><Relationship Id="rId154" Type="http://schemas.openxmlformats.org/officeDocument/2006/relationships/hyperlink" Target="https://www.sec.gov/Archives/edgar/data/1527599/000119312522064445/d291506dex101.htm" TargetMode="External"/><Relationship Id="rId155" Type="http://schemas.openxmlformats.org/officeDocument/2006/relationships/hyperlink" Target="https://www.sec.gov/Archives/edgar/data/1527599/000156459021015256/sybx-ex10141_239.htm" TargetMode="External"/><Relationship Id="rId156" Type="http://schemas.openxmlformats.org/officeDocument/2006/relationships/hyperlink" Target="https://www.sec.gov/Archives/edgar/data/1527599/000156459021015256/sybx-ex10142_240.htm" TargetMode="External"/><Relationship Id="rId157" Type="http://schemas.openxmlformats.org/officeDocument/2006/relationships/hyperlink" Target="https://www.sec.gov/Archives/edgar/data/1527599/000119312517270395/d431294dex1012.htm" TargetMode="External"/><Relationship Id="rId158" Type="http://schemas.openxmlformats.org/officeDocument/2006/relationships/hyperlink" Target="https://www.sec.gov/Archives/edgar/data/1527599/000156459018029326/sybx-ex102_304.htm" TargetMode="External"/><Relationship Id="rId159" Type="http://schemas.openxmlformats.org/officeDocument/2006/relationships/hyperlink" Target="https://www.sec.gov/Archives/edgar/data/1527599/000156459019007367/sybx-ex1025_537.htm" TargetMode="External"/><Relationship Id="rId160" Type="http://schemas.openxmlformats.org/officeDocument/2006/relationships/hyperlink" Target="https://www.sec.gov/Archives/edgar/data/1527599/000119312517270395/d431294dex1013.htm" TargetMode="External"/><Relationship Id="rId163" Type="http://schemas.openxmlformats.org/officeDocument/2006/relationships/hyperlink" Target="https://www.sec.gov/Archives/edgar/data/1527599/000119312517310897/d671201dex11.htm" TargetMode="External"/><Relationship Id="rId164" Type="http://schemas.openxmlformats.org/officeDocument/2006/relationships/hyperlink" Target="https://www.sec.gov/Archives/edgar/data/1527599/000119312518109307/d564416dex101.htm" TargetMode="External"/><Relationship Id="rId165" Type="http://schemas.openxmlformats.org/officeDocument/2006/relationships/hyperlink" Target="https://www.sec.gov/Archives/edgar/data/1527599/000156459019007367/sybx-ex1029_621.htm" TargetMode="External"/><Relationship Id="rId166" Type="http://schemas.openxmlformats.org/officeDocument/2006/relationships/hyperlink" Target="https://www.sec.gov/Archives/edgar/data/1527599/000156459019007367/sybx-ex1030_620.htm" TargetMode="External"/><Relationship Id="rId167" Type="http://schemas.openxmlformats.org/officeDocument/2006/relationships/hyperlink" Target="https://www.sec.gov/Archives/edgar/data/1527599/000119312519170721/d766098dex101.htm" TargetMode="External"/><Relationship Id="rId168" Type="http://schemas.openxmlformats.org/officeDocument/2006/relationships/hyperlink" Target="https://www.sec.gov/Archives/edgar/data/1527599/000156459019030838/sybx-ex102_134.htm" TargetMode="External"/><Relationship Id="rId169" Type="http://schemas.openxmlformats.org/officeDocument/2006/relationships/hyperlink" Target="https://www.sec.gov/Archives/edgar/data/1527599/000119312519273622/d820489dex101.htm" TargetMode="External"/><Relationship Id="rId170" Type="http://schemas.openxmlformats.org/officeDocument/2006/relationships/hyperlink" Target="https://www.sec.gov/Archives/edgar/data/1527599/000119312519321039/d853861dex101.htm" TargetMode="External"/><Relationship Id="rId171" Type="http://schemas.openxmlformats.org/officeDocument/2006/relationships/hyperlink" Target="https://www.sec.gov/Archives/edgar/data/1527599/000156459021043681/sybx-ex101_149.htm" TargetMode="External"/><Relationship Id="rId172" Type="http://schemas.openxmlformats.org/officeDocument/2006/relationships/hyperlink" Target="https://www.sec.gov/Archives/edgar/data/0001527599/000156459021043681/sybx-ex102_148.htm" TargetMode="External"/><Relationship Id="rId173" Type="http://schemas.openxmlformats.org/officeDocument/2006/relationships/hyperlink" Target="https://www.sec.gov/Archives/edgar/data/1527599/000156459022010714/sybx-ex1030_463.htm" TargetMode="External"/><Relationship Id="rId174" Type="http://schemas.openxmlformats.org/officeDocument/2006/relationships/hyperlink" Target="https://www.sec.gov/Archives/edgar/data/1527599/000156459022010714/sybx-ex1031_46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2023-03-29T05:39:00Z</dcterms:created>
  <dcterms:modified xsi:type="dcterms:W3CDTF">2023-03-29T05:39:00Z</dcterms:modified>
</cp:coreProperties>
</file>