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540" w:right="260" w:hanging="519"/>
        <w:spacing w:after="0" w:line="256" w:lineRule="auto"/>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62"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540"/>
        <w:spacing w:after="0"/>
        <w:tabs>
          <w:tab w:leader="none" w:pos="570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1"/>
          <w:szCs w:val="21"/>
          <w:b w:val="1"/>
          <w:bCs w:val="1"/>
          <w:color w:val="auto"/>
        </w:rPr>
        <w:t>TO</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525"/>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Arial" w:cs="Arial" w:eastAsia="Arial" w:hAnsi="Arial"/>
                <w:sz w:val="43"/>
                <w:szCs w:val="43"/>
                <w:b w:val="1"/>
                <w:bCs w:val="1"/>
                <w:color w:val="auto"/>
              </w:rPr>
              <w:t>SYNLOGIC, INC.</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43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jc w:val="center"/>
              <w:ind w:left="1519"/>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vMerge w:val="restart"/>
          </w:tcPr>
          <w:p>
            <w:pPr>
              <w:jc w:val="right"/>
              <w:ind w:right="2060"/>
              <w:spacing w:after="0"/>
              <w:rPr>
                <w:sz w:val="20"/>
                <w:szCs w:val="20"/>
                <w:color w:val="auto"/>
              </w:rPr>
            </w:pPr>
            <w:r>
              <w:rPr>
                <w:rFonts w:ascii="Arial" w:cs="Arial" w:eastAsia="Arial" w:hAnsi="Arial"/>
                <w:sz w:val="18"/>
                <w:szCs w:val="18"/>
                <w:b w:val="1"/>
                <w:bCs w:val="1"/>
                <w:color w:val="auto"/>
              </w:rPr>
              <w:t>26-1824804</w:t>
            </w:r>
          </w:p>
        </w:tc>
        <w:tc>
          <w:tcPr>
            <w:tcW w:w="0" w:type="dxa"/>
            <w:vAlign w:val="bottom"/>
          </w:tcPr>
          <w:p>
            <w:pPr>
              <w:spacing w:after="0"/>
              <w:rPr>
                <w:sz w:val="1"/>
                <w:szCs w:val="1"/>
                <w:color w:val="auto"/>
              </w:rPr>
            </w:pPr>
          </w:p>
        </w:tc>
      </w:tr>
      <w:tr>
        <w:trPr>
          <w:trHeight w:val="227"/>
        </w:trPr>
        <w:tc>
          <w:tcPr>
            <w:tcW w:w="35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560" w:type="dxa"/>
            <w:vAlign w:val="bottom"/>
          </w:tcPr>
          <w:p>
            <w:pPr>
              <w:jc w:val="center"/>
              <w:ind w:left="15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tcPr>
          <w:p>
            <w:pPr>
              <w:jc w:val="center"/>
              <w:ind w:right="172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60" w:type="dxa"/>
            <w:vAlign w:val="bottom"/>
          </w:tcPr>
          <w:p>
            <w:pPr>
              <w:jc w:val="center"/>
              <w:ind w:left="1519"/>
              <w:spacing w:after="0"/>
              <w:rPr>
                <w:sz w:val="20"/>
                <w:szCs w:val="20"/>
                <w:color w:val="auto"/>
              </w:rPr>
            </w:pPr>
            <w:r>
              <w:rPr>
                <w:rFonts w:ascii="Arial" w:cs="Arial" w:eastAsia="Arial" w:hAnsi="Arial"/>
                <w:sz w:val="14"/>
                <w:szCs w:val="14"/>
                <w:b w:val="1"/>
                <w:bCs w:val="1"/>
                <w:color w:val="auto"/>
                <w:w w:val="94"/>
              </w:rPr>
              <w:t>incorporation or organization)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58"/>
        </w:trPr>
        <w:tc>
          <w:tcPr>
            <w:tcW w:w="3560" w:type="dxa"/>
            <w:vAlign w:val="bottom"/>
          </w:tcPr>
          <w:p>
            <w:pPr>
              <w:jc w:val="center"/>
              <w:ind w:left="1499"/>
              <w:spacing w:after="0"/>
              <w:rPr>
                <w:sz w:val="20"/>
                <w:szCs w:val="20"/>
                <w:color w:val="auto"/>
              </w:rPr>
            </w:pPr>
            <w:r>
              <w:rPr>
                <w:rFonts w:ascii="Arial" w:cs="Arial" w:eastAsia="Arial" w:hAnsi="Arial"/>
                <w:sz w:val="18"/>
                <w:szCs w:val="18"/>
                <w:b w:val="1"/>
                <w:bCs w:val="1"/>
                <w:color w:val="auto"/>
                <w:w w:val="89"/>
              </w:rPr>
              <w:t>301 Binney St., Suite 402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60" w:type="dxa"/>
            <w:vAlign w:val="bottom"/>
          </w:tcPr>
          <w:p>
            <w:pPr>
              <w:jc w:val="center"/>
              <w:ind w:left="1499"/>
              <w:spacing w:after="0"/>
              <w:rPr>
                <w:sz w:val="20"/>
                <w:szCs w:val="20"/>
                <w:color w:val="auto"/>
              </w:rPr>
            </w:pPr>
            <w:r>
              <w:rPr>
                <w:rFonts w:ascii="Arial" w:cs="Arial" w:eastAsia="Arial" w:hAnsi="Arial"/>
                <w:sz w:val="18"/>
                <w:szCs w:val="18"/>
                <w:b w:val="1"/>
                <w:bCs w:val="1"/>
                <w:color w:val="auto"/>
                <w:w w:val="95"/>
              </w:rPr>
              <w:t>Cambridge, MA</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jc w:val="right"/>
              <w:ind w:right="2260"/>
              <w:spacing w:after="0"/>
              <w:rPr>
                <w:sz w:val="20"/>
                <w:szCs w:val="20"/>
                <w:color w:val="auto"/>
              </w:rPr>
            </w:pPr>
            <w:r>
              <w:rPr>
                <w:rFonts w:ascii="Arial" w:cs="Arial" w:eastAsia="Arial" w:hAnsi="Arial"/>
                <w:sz w:val="18"/>
                <w:szCs w:val="18"/>
                <w:b w:val="1"/>
                <w:bCs w:val="1"/>
                <w:color w:val="auto"/>
              </w:rPr>
              <w:t>02142</w:t>
            </w:r>
          </w:p>
        </w:tc>
        <w:tc>
          <w:tcPr>
            <w:tcW w:w="0" w:type="dxa"/>
            <w:vAlign w:val="bottom"/>
          </w:tcPr>
          <w:p>
            <w:pPr>
              <w:spacing w:after="0"/>
              <w:rPr>
                <w:sz w:val="1"/>
                <w:szCs w:val="1"/>
                <w:color w:val="auto"/>
              </w:rPr>
            </w:pPr>
          </w:p>
        </w:tc>
      </w:tr>
      <w:tr>
        <w:trPr>
          <w:trHeight w:val="180"/>
        </w:trPr>
        <w:tc>
          <w:tcPr>
            <w:tcW w:w="7880" w:type="dxa"/>
            <w:vAlign w:val="bottom"/>
            <w:gridSpan w:val="6"/>
          </w:tcPr>
          <w:p>
            <w:pPr>
              <w:jc w:val="center"/>
              <w:ind w:right="2720"/>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33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31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0"/>
              </w:rPr>
              <w:t>(617) 401-9975</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400"/>
              <w:spacing w:after="0"/>
              <w:rPr>
                <w:sz w:val="20"/>
                <w:szCs w:val="20"/>
                <w:color w:val="auto"/>
              </w:rPr>
            </w:pPr>
            <w:r>
              <w:rPr>
                <w:rFonts w:ascii="Arial" w:cs="Arial" w:eastAsia="Arial" w:hAnsi="Arial"/>
                <w:sz w:val="16"/>
                <w:szCs w:val="16"/>
                <w:color w:val="auto"/>
                <w:w w:val="91"/>
              </w:rPr>
              <w:t>Securities registered pursuant to Section 12(b)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2"/>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Arial" w:cs="Arial" w:eastAsia="Arial" w:hAnsi="Arial"/>
                <w:sz w:val="16"/>
                <w:szCs w:val="16"/>
                <w:color w:val="auto"/>
                <w:w w:val="90"/>
              </w:rPr>
              <w:t>Title of each class</w:t>
            </w:r>
          </w:p>
        </w:tc>
        <w:tc>
          <w:tcPr>
            <w:tcW w:w="2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6"/>
                <w:szCs w:val="16"/>
                <w:color w:val="auto"/>
                <w:w w:val="92"/>
              </w:rPr>
              <w:t>Trading Symbol</w:t>
            </w:r>
          </w:p>
        </w:tc>
        <w:tc>
          <w:tcPr>
            <w:tcW w:w="38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jc w:val="center"/>
              <w:ind w:right="320"/>
              <w:spacing w:after="0"/>
              <w:rPr>
                <w:sz w:val="20"/>
                <w:szCs w:val="20"/>
                <w:color w:val="auto"/>
              </w:rPr>
            </w:pPr>
            <w:r>
              <w:rPr>
                <w:rFonts w:ascii="Arial" w:cs="Arial" w:eastAsia="Arial" w:hAnsi="Arial"/>
                <w:sz w:val="16"/>
                <w:szCs w:val="16"/>
                <w:color w:val="auto"/>
                <w:w w:val="90"/>
              </w:rPr>
              <w:t>Name of exchange on which registered</w:t>
            </w:r>
          </w:p>
        </w:tc>
        <w:tc>
          <w:tcPr>
            <w:tcW w:w="0" w:type="dxa"/>
            <w:vAlign w:val="bottom"/>
          </w:tcPr>
          <w:p>
            <w:pPr>
              <w:spacing w:after="0"/>
              <w:rPr>
                <w:sz w:val="1"/>
                <w:szCs w:val="1"/>
                <w:color w:val="auto"/>
              </w:rPr>
            </w:pPr>
          </w:p>
        </w:tc>
      </w:tr>
      <w:tr>
        <w:trPr>
          <w:trHeight w:val="203"/>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Arial" w:cs="Arial" w:eastAsia="Arial" w:hAnsi="Arial"/>
                <w:sz w:val="16"/>
                <w:szCs w:val="16"/>
                <w:color w:val="auto"/>
                <w:w w:val="90"/>
              </w:rPr>
              <w:t>Common Stock, par value $0.001 per share</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6"/>
                <w:szCs w:val="16"/>
                <w:color w:val="auto"/>
              </w:rPr>
              <w:t>SYBX</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20"/>
              <w:spacing w:after="0"/>
              <w:rPr>
                <w:sz w:val="20"/>
                <w:szCs w:val="20"/>
                <w:color w:val="auto"/>
              </w:rPr>
            </w:pPr>
            <w:r>
              <w:rPr>
                <w:rFonts w:ascii="Arial" w:cs="Arial" w:eastAsia="Arial" w:hAnsi="Arial"/>
                <w:sz w:val="16"/>
                <w:szCs w:val="16"/>
                <w:color w:val="auto"/>
                <w:w w:val="92"/>
              </w:rPr>
              <w:t>The Nasdaq Capital Market</w:t>
            </w:r>
          </w:p>
        </w:tc>
        <w:tc>
          <w:tcPr>
            <w:tcW w:w="0" w:type="dxa"/>
            <w:vAlign w:val="bottom"/>
          </w:tcPr>
          <w:p>
            <w:pPr>
              <w:spacing w:after="0"/>
              <w:rPr>
                <w:sz w:val="1"/>
                <w:szCs w:val="1"/>
                <w:color w:val="auto"/>
              </w:rPr>
            </w:pPr>
          </w:p>
        </w:tc>
      </w:tr>
    </w:tbl>
    <w:p>
      <w:pPr>
        <w:spacing w:after="0" w:line="193" w:lineRule="exact"/>
        <w:rPr>
          <w:sz w:val="24"/>
          <w:szCs w:val="24"/>
          <w:color w:val="auto"/>
        </w:rPr>
      </w:pPr>
    </w:p>
    <w:p>
      <w:pPr>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2"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92" w:lineRule="exact"/>
        <w:rPr>
          <w:sz w:val="24"/>
          <w:szCs w:val="24"/>
          <w:color w:val="auto"/>
        </w:rPr>
      </w:pPr>
    </w:p>
    <w:p>
      <w:pPr>
        <w:ind w:right="1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41" w:right="339" w:bottom="1440" w:gutter="0" w:footer="0" w:header="0"/>
        </w:sectPr>
      </w:pPr>
    </w:p>
    <w:p>
      <w:pPr>
        <w:spacing w:after="0" w:line="104" w:lineRule="exact"/>
        <w:rPr>
          <w:sz w:val="24"/>
          <w:szCs w:val="24"/>
          <w:color w:val="auto"/>
        </w:rPr>
      </w:pPr>
    </w:p>
    <w:p>
      <w:pPr>
        <w:ind w:left="20"/>
        <w:spacing w:after="0" w:line="184" w:lineRule="exact"/>
        <w:tabs>
          <w:tab w:leader="none" w:pos="2500" w:val="left"/>
          <w:tab w:leader="none" w:pos="748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Accelerated filer</w:t>
      </w:r>
    </w:p>
    <w:p>
      <w:pPr>
        <w:spacing w:after="0" w:line="86" w:lineRule="exact"/>
        <w:rPr>
          <w:sz w:val="24"/>
          <w:szCs w:val="24"/>
          <w:color w:val="auto"/>
        </w:rPr>
      </w:pPr>
    </w:p>
    <w:p>
      <w:pPr>
        <w:ind w:left="20"/>
        <w:spacing w:after="0" w:line="184" w:lineRule="exact"/>
        <w:tabs>
          <w:tab w:leader="none" w:pos="2500" w:val="left"/>
          <w:tab w:leader="none" w:pos="748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Smaller reporting company</w:t>
      </w:r>
    </w:p>
    <w:p>
      <w:pPr>
        <w:spacing w:after="0" w:line="46" w:lineRule="exact"/>
        <w:rPr>
          <w:sz w:val="24"/>
          <w:szCs w:val="24"/>
          <w:color w:val="auto"/>
        </w:rPr>
      </w:pPr>
    </w:p>
    <w:p>
      <w:pPr>
        <w:ind w:left="7500"/>
        <w:spacing w:after="0"/>
        <w:rPr>
          <w:sz w:val="20"/>
          <w:szCs w:val="20"/>
          <w:color w:val="auto"/>
        </w:rPr>
      </w:pPr>
      <w:r>
        <w:rPr>
          <w:rFonts w:ascii="Arial" w:cs="Arial" w:eastAsia="Arial" w:hAnsi="Arial"/>
          <w:sz w:val="16"/>
          <w:szCs w:val="16"/>
          <w:color w:val="auto"/>
        </w:rPr>
        <w:t>Emerging growth company</w:t>
      </w:r>
    </w:p>
    <w:p>
      <w:pPr>
        <w:spacing w:after="0" w:line="126" w:lineRule="exact"/>
        <w:rPr>
          <w:sz w:val="24"/>
          <w:szCs w:val="24"/>
          <w:color w:val="auto"/>
        </w:rPr>
      </w:pPr>
    </w:p>
    <w:p>
      <w:pPr>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3" w:lineRule="exact"/>
        <w:rPr>
          <w:sz w:val="24"/>
          <w:szCs w:val="24"/>
          <w:color w:val="auto"/>
        </w:rPr>
      </w:pPr>
    </w:p>
    <w:p>
      <w:pPr>
        <w:ind w:right="2100"/>
        <w:spacing w:after="0" w:line="285"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3, 2023, there were 68,604,305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420370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60" w:space="260"/>
            <w:col w:w="320"/>
          </w:cols>
          <w:pgMar w:left="320" w:top="341"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6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in manufacturing products, as well as agreements with third-party manufacturers;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II, Item 1A. “Risk Factors”.</w:t>
      </w:r>
    </w:p>
    <w:p>
      <w:pPr>
        <w:spacing w:after="0" w:line="225" w:lineRule="exact"/>
        <w:rPr>
          <w:sz w:val="20"/>
          <w:szCs w:val="20"/>
          <w:color w:val="auto"/>
        </w:rPr>
      </w:pPr>
    </w:p>
    <w:p>
      <w:pPr>
        <w:ind w:right="180" w:firstLine="509"/>
        <w:spacing w:after="0" w:line="254"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SYNLOGIC,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399"/>
        </w:trPr>
        <w:tc>
          <w:tcPr>
            <w:tcW w:w="10580" w:type="dxa"/>
            <w:vAlign w:val="bottom"/>
            <w:gridSpan w:val="17"/>
          </w:tcPr>
          <w:p>
            <w:pPr>
              <w:ind w:left="20"/>
              <w:spacing w:after="0"/>
              <w:rPr>
                <w:sz w:val="20"/>
                <w:szCs w:val="20"/>
                <w:color w:val="auto"/>
              </w:rPr>
            </w:pPr>
            <w:r>
              <w:rPr>
                <w:rFonts w:ascii="Arial" w:cs="Arial" w:eastAsia="Arial" w:hAnsi="Arial"/>
                <w:sz w:val="18"/>
                <w:szCs w:val="18"/>
                <w:b w:val="1"/>
                <w:bCs w:val="1"/>
                <w:color w:val="auto"/>
              </w:rPr>
              <w:t>PART I - FINANCIAL INFORMATION</w:t>
            </w:r>
          </w:p>
        </w:tc>
        <w:tc>
          <w:tcPr>
            <w:tcW w:w="66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auto"/>
              </w:rPr>
              <w:t>Item 1. Financial Statements</w:t>
            </w:r>
          </w:p>
        </w:tc>
        <w:tc>
          <w:tcPr>
            <w:tcW w:w="66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0000FF"/>
              </w:rPr>
              <w:t>Unaudited Consolidated Balance Sheets</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0000FF"/>
              </w:rPr>
              <w:t>Unaudited Consolidated Statements of Operations and Comprehensive Loss</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0000FF"/>
              </w:rPr>
              <w:t>Unaudited Consolidated Statements of Stockholders’ Equity</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0000FF"/>
              </w:rPr>
              <w:t>Unaudited Consolidated Statements of Cash Flows</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0000FF"/>
              </w:rPr>
              <w:t>Notes to Unaudited Consolidated Financial Statements</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4. Controls and Procedures</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10580" w:type="dxa"/>
            <w:vAlign w:val="bottom"/>
            <w:gridSpan w:val="17"/>
          </w:tcPr>
          <w:p>
            <w:pPr>
              <w:ind w:left="20"/>
              <w:spacing w:after="0"/>
              <w:rPr>
                <w:sz w:val="20"/>
                <w:szCs w:val="20"/>
                <w:color w:val="auto"/>
              </w:rPr>
            </w:pPr>
            <w:r>
              <w:rPr>
                <w:rFonts w:ascii="Arial" w:cs="Arial" w:eastAsia="Arial" w:hAnsi="Arial"/>
                <w:sz w:val="18"/>
                <w:szCs w:val="18"/>
                <w:b w:val="1"/>
                <w:bCs w:val="1"/>
                <w:color w:val="auto"/>
              </w:rPr>
              <w:t>PART II - OTHER INFORMATION</w:t>
            </w:r>
          </w:p>
        </w:tc>
        <w:tc>
          <w:tcPr>
            <w:tcW w:w="66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1. Legal Proceedings</w:t>
            </w: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1A. Risk Factors</w:t>
            </w: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3. Defaults Upon Senior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4. Mine Safety Disclosures</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98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5. Other Information</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4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6. Exhibits</w:t>
            </w: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16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Signatures</w:t>
            </w: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581"/>
        </w:trPr>
        <w:tc>
          <w:tcPr>
            <w:tcW w:w="28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6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46,261</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Short-term marketable securities</w:t>
            </w:r>
          </w:p>
        </w:tc>
        <w:tc>
          <w:tcPr>
            <w:tcW w:w="32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61,768</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3,296</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49,557</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79,782</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6,398</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7,323</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Right of use asset - operating lease</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13,662</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14,356</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Prepaid research and development, net of current portion</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8,554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8,300</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79,284</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110,865</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3,543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5,290</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Lease liability - operating lease</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4,339</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4,152</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Finance lease obligations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9,632</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12,122</w:t>
            </w: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Lease liability - operating lease, net of current portion</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14,878</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16,129</w:t>
            </w: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 obligations, net of current portion</w:t>
            </w:r>
          </w:p>
        </w:tc>
        <w:tc>
          <w:tcPr>
            <w:tcW w:w="3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long-term liabilities</w:t>
            </w:r>
          </w:p>
        </w:tc>
        <w:tc>
          <w:tcPr>
            <w:tcW w:w="3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14,878</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16,133</w:t>
            </w:r>
          </w:p>
        </w:tc>
        <w:tc>
          <w:tcPr>
            <w:tcW w:w="140" w:type="dxa"/>
            <w:vAlign w:val="bottom"/>
            <w:tcBorders>
              <w:top w:val="single" w:sz="8" w:color="CFF0FC"/>
            </w:tcBorders>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12)</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$0.001 par value</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8"/>
                <w:szCs w:val="18"/>
                <w:color w:val="auto"/>
              </w:rPr>
              <w:t>250,000,000 shares authorized as of June 30, 2023 and December 31, 2022;</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00" w:type="dxa"/>
            <w:vAlign w:val="bottom"/>
          </w:tcPr>
          <w:p>
            <w:pPr>
              <w:ind w:left="120"/>
              <w:spacing w:after="0"/>
              <w:rPr>
                <w:sz w:val="20"/>
                <w:szCs w:val="20"/>
                <w:color w:val="auto"/>
              </w:rPr>
            </w:pPr>
            <w:r>
              <w:rPr>
                <w:rFonts w:ascii="Arial" w:cs="Arial" w:eastAsia="Arial" w:hAnsi="Arial"/>
                <w:sz w:val="18"/>
                <w:szCs w:val="18"/>
                <w:color w:val="auto"/>
              </w:rPr>
              <w:t>72,810,751 shares issued and 68,613,862 shares outstanding as of June 30, 2023 and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70,933,140 shares issued and 66,736,251 shares outstanding as of December 31, 2022</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0"/>
                <w:szCs w:val="20"/>
                <w:color w:val="auto"/>
              </w:rPr>
            </w:pPr>
          </w:p>
        </w:tc>
      </w:tr>
      <w:tr>
        <w:trPr>
          <w:trHeight w:val="250"/>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444,906</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442,237</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(161 )</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(387,689 )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(357,019 )</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Treasury stock, at cost (4,196,889 shares at June 30, 2023 and at December 31, 2022)</w:t>
            </w:r>
          </w:p>
        </w:tc>
        <w:tc>
          <w:tcPr>
            <w:tcW w:w="32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(2,518 )</w:t>
            </w:r>
          </w:p>
        </w:tc>
        <w:tc>
          <w:tcPr>
            <w:tcW w:w="24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(2,518 )</w:t>
            </w:r>
          </w:p>
        </w:tc>
      </w:tr>
      <w:tr>
        <w:trPr>
          <w:trHeight w:val="237"/>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54,774</w:t>
            </w:r>
          </w:p>
        </w:tc>
        <w:tc>
          <w:tcPr>
            <w:tcW w:w="3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82,610</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60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79,284</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110,865</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-4868545</wp:posOffset>
            </wp:positionV>
            <wp:extent cx="8572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-4868545</wp:posOffset>
            </wp:positionV>
            <wp:extent cx="8572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-3934460</wp:posOffset>
            </wp:positionV>
            <wp:extent cx="8572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-3934460</wp:posOffset>
            </wp:positionV>
            <wp:extent cx="8572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-2665095</wp:posOffset>
            </wp:positionV>
            <wp:extent cx="857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-2665095</wp:posOffset>
            </wp:positionV>
            <wp:extent cx="8572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-2031365</wp:posOffset>
            </wp:positionV>
            <wp:extent cx="8572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-2031365</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8572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20" w:type="dxa"/>
            <w:vAlign w:val="bottom"/>
            <w:gridSpan w:val="5"/>
          </w:tcPr>
          <w:p>
            <w:pPr>
              <w:jc w:val="right"/>
              <w:ind w:right="761"/>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6"/>
                <w:szCs w:val="16"/>
                <w:color w:val="auto"/>
              </w:rPr>
            </w:pPr>
          </w:p>
        </w:tc>
        <w:tc>
          <w:tcPr>
            <w:tcW w:w="2860" w:type="dxa"/>
            <w:vAlign w:val="bottom"/>
            <w:gridSpan w:val="5"/>
          </w:tcPr>
          <w:p>
            <w:pPr>
              <w:jc w:val="right"/>
              <w:ind w:right="690"/>
              <w:spacing w:after="0"/>
              <w:rPr>
                <w:sz w:val="20"/>
                <w:szCs w:val="20"/>
                <w:color w:val="auto"/>
              </w:rPr>
            </w:pPr>
            <w:r>
              <w:rPr>
                <w:rFonts w:ascii="Arial" w:cs="Arial" w:eastAsia="Arial" w:hAnsi="Arial"/>
                <w:sz w:val="14"/>
                <w:szCs w:val="14"/>
                <w:b w:val="1"/>
                <w:bCs w:val="1"/>
                <w:color w:val="auto"/>
              </w:rPr>
              <w:t>For the Six Months Ended</w:t>
            </w:r>
          </w:p>
        </w:tc>
      </w:tr>
      <w:tr>
        <w:trPr>
          <w:trHeight w:val="169"/>
        </w:trPr>
        <w:tc>
          <w:tcPr>
            <w:tcW w:w="50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right"/>
              <w:ind w:right="430"/>
              <w:spacing w:after="0"/>
              <w:rPr>
                <w:sz w:val="20"/>
                <w:szCs w:val="20"/>
                <w:color w:val="auto"/>
              </w:rPr>
            </w:pPr>
            <w:r>
              <w:rPr>
                <w:rFonts w:ascii="Arial" w:cs="Arial" w:eastAsia="Arial" w:hAnsi="Arial"/>
                <w:sz w:val="14"/>
                <w:szCs w:val="14"/>
                <w:b w:val="1"/>
                <w:bCs w:val="1"/>
                <w:color w:val="auto"/>
                <w:w w:val="96"/>
              </w:rPr>
              <w:t>June 30, 2023</w:t>
            </w: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June 30, 2022</w:t>
            </w: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right"/>
              <w:ind w:right="441"/>
              <w:spacing w:after="0"/>
              <w:rPr>
                <w:sz w:val="20"/>
                <w:szCs w:val="20"/>
                <w:color w:val="auto"/>
              </w:rPr>
            </w:pPr>
            <w:r>
              <w:rPr>
                <w:rFonts w:ascii="Arial" w:cs="Arial" w:eastAsia="Arial" w:hAnsi="Arial"/>
                <w:sz w:val="14"/>
                <w:szCs w:val="14"/>
                <w:b w:val="1"/>
                <w:bCs w:val="1"/>
                <w:color w:val="auto"/>
                <w:w w:val="96"/>
              </w:rPr>
              <w:t>June 30, 2023</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6"/>
              </w:rPr>
              <w:t>June 30, 2022</w:t>
            </w:r>
          </w:p>
        </w:tc>
        <w:tc>
          <w:tcPr>
            <w:tcW w:w="140" w:type="dxa"/>
            <w:vAlign w:val="bottom"/>
          </w:tcPr>
          <w:p>
            <w:pPr>
              <w:spacing w:after="0"/>
              <w:rPr>
                <w:sz w:val="14"/>
                <w:szCs w:val="14"/>
                <w:color w:val="auto"/>
              </w:rPr>
            </w:pPr>
          </w:p>
        </w:tc>
      </w:tr>
      <w:tr>
        <w:trPr>
          <w:trHeight w:val="237"/>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FF0FC"/>
          </w:tcPr>
          <w:p>
            <w:pPr>
              <w:spacing w:after="0"/>
              <w:rPr>
                <w:sz w:val="20"/>
                <w:szCs w:val="20"/>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23,795</w:t>
            </w:r>
          </w:p>
        </w:tc>
        <w:tc>
          <w:tcPr>
            <w:tcW w:w="140" w:type="dxa"/>
            <w:vAlign w:val="bottom"/>
            <w:shd w:val="clear" w:color="auto" w:fill="CFF0FC"/>
          </w:tcPr>
          <w:p>
            <w:pPr>
              <w:spacing w:after="0"/>
              <w:rPr>
                <w:sz w:val="21"/>
                <w:szCs w:val="21"/>
                <w:color w:val="auto"/>
              </w:rPr>
            </w:pPr>
          </w:p>
        </w:tc>
      </w:tr>
      <w:tr>
        <w:trPr>
          <w:trHeight w:val="237"/>
        </w:trPr>
        <w:tc>
          <w:tcPr>
            <w:tcW w:w="50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8,383</w:t>
            </w:r>
          </w:p>
        </w:tc>
        <w:tc>
          <w:tcPr>
            <w:tcW w:w="140" w:type="dxa"/>
            <w:vAlign w:val="bottom"/>
          </w:tcPr>
          <w:p>
            <w:pPr>
              <w:spacing w:after="0"/>
              <w:rPr>
                <w:sz w:val="20"/>
                <w:szCs w:val="20"/>
                <w:color w:val="auto"/>
              </w:rPr>
            </w:pPr>
          </w:p>
        </w:tc>
      </w:tr>
      <w:tr>
        <w:trPr>
          <w:trHeight w:val="237"/>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15,689</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16,169</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32,106</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32,178</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50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20"/>
                <w:szCs w:val="20"/>
                <w:color w:val="auto"/>
              </w:rPr>
            </w:pP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(15,654 )</w:t>
            </w:r>
          </w:p>
        </w:tc>
        <w:tc>
          <w:tcPr>
            <w:tcW w:w="180" w:type="dxa"/>
            <w:vAlign w:val="bottom"/>
          </w:tcPr>
          <w:p>
            <w:pPr>
              <w:spacing w:after="0"/>
              <w:rPr>
                <w:sz w:val="20"/>
                <w:szCs w:val="20"/>
                <w:color w:val="auto"/>
              </w:rPr>
            </w:pP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 xml:space="preserve">(16,017 </w:t>
            </w:r>
            <w:r>
              <w:rPr>
                <w:rFonts w:ascii="Arial" w:cs="Arial" w:eastAsia="Arial" w:hAnsi="Arial"/>
                <w:sz w:val="18"/>
                <w:szCs w:val="18"/>
                <w:color w:val="auto"/>
                <w:highlight w:val="white"/>
              </w:rPr>
              <w:t>)</w:t>
            </w:r>
          </w:p>
        </w:tc>
        <w:tc>
          <w:tcPr>
            <w:tcW w:w="180" w:type="dxa"/>
            <w:vAlign w:val="bottom"/>
          </w:tcPr>
          <w:p>
            <w:pPr>
              <w:spacing w:after="0"/>
              <w:rPr>
                <w:sz w:val="20"/>
                <w:szCs w:val="20"/>
                <w:color w:val="auto"/>
              </w:rPr>
            </w:pP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(31,897 )</w:t>
            </w: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(31,782 )</w:t>
            </w:r>
          </w:p>
        </w:tc>
      </w:tr>
      <w:tr>
        <w:trPr>
          <w:trHeight w:val="24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5020" w:type="dxa"/>
            <w:vAlign w:val="bottom"/>
          </w:tcPr>
          <w:p>
            <w:pPr>
              <w:ind w:left="380"/>
              <w:spacing w:after="0"/>
              <w:rPr>
                <w:sz w:val="20"/>
                <w:szCs w:val="20"/>
                <w:color w:val="auto"/>
              </w:rPr>
            </w:pPr>
            <w:r>
              <w:rPr>
                <w:rFonts w:ascii="Arial" w:cs="Arial" w:eastAsia="Arial" w:hAnsi="Arial"/>
                <w:sz w:val="18"/>
                <w:szCs w:val="18"/>
                <w:color w:val="auto"/>
              </w:rPr>
              <w:t>Interest and investment income</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20"/>
                <w:szCs w:val="20"/>
                <w:color w:val="auto"/>
              </w:rPr>
            </w:pPr>
          </w:p>
        </w:tc>
      </w:tr>
      <w:tr>
        <w:trPr>
          <w:trHeight w:val="249"/>
        </w:trPr>
        <w:tc>
          <w:tcPr>
            <w:tcW w:w="5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(1 )</w:t>
            </w: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(1 )</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502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0"/>
                <w:szCs w:val="20"/>
                <w:color w:val="auto"/>
              </w:rPr>
            </w:pP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(8 )</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r>
      <w:tr>
        <w:trPr>
          <w:trHeight w:val="237"/>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net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50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20"/>
                <w:szCs w:val="20"/>
                <w:color w:val="auto"/>
              </w:rPr>
            </w:pP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(15,039 )</w:t>
            </w:r>
          </w:p>
        </w:tc>
        <w:tc>
          <w:tcPr>
            <w:tcW w:w="180" w:type="dxa"/>
            <w:vAlign w:val="bottom"/>
          </w:tcPr>
          <w:p>
            <w:pPr>
              <w:spacing w:after="0"/>
              <w:rPr>
                <w:sz w:val="20"/>
                <w:szCs w:val="20"/>
                <w:color w:val="auto"/>
              </w:rPr>
            </w:pP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 xml:space="preserve">(15,842 </w:t>
            </w:r>
            <w:r>
              <w:rPr>
                <w:rFonts w:ascii="Arial" w:cs="Arial" w:eastAsia="Arial" w:hAnsi="Arial"/>
                <w:sz w:val="18"/>
                <w:szCs w:val="18"/>
                <w:color w:val="auto"/>
                <w:highlight w:val="white"/>
              </w:rPr>
              <w:t>)</w:t>
            </w:r>
          </w:p>
        </w:tc>
        <w:tc>
          <w:tcPr>
            <w:tcW w:w="180" w:type="dxa"/>
            <w:vAlign w:val="bottom"/>
          </w:tcPr>
          <w:p>
            <w:pPr>
              <w:spacing w:after="0"/>
              <w:rPr>
                <w:sz w:val="20"/>
                <w:szCs w:val="20"/>
                <w:color w:val="auto"/>
              </w:rPr>
            </w:pP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(30,661 )</w:t>
            </w: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(31,539 )</w:t>
            </w:r>
          </w:p>
        </w:tc>
      </w:tr>
      <w:tr>
        <w:trPr>
          <w:trHeight w:val="24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(9 )</w:t>
            </w: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(9 )</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(15,048 )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(15,842 )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(30,670 )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(31,539 )</w:t>
            </w:r>
          </w:p>
        </w:tc>
      </w:tr>
      <w:tr>
        <w:trPr>
          <w:trHeight w:val="20"/>
        </w:trPr>
        <w:tc>
          <w:tcPr>
            <w:tcW w:w="5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spacing w:after="0"/>
              <w:rPr>
                <w:sz w:val="19"/>
                <w:szCs w:val="19"/>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Net loss per share - 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(0.21 )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(0.22 )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(0.44 )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(0.44 )</w:t>
            </w:r>
          </w:p>
        </w:tc>
      </w:tr>
      <w:tr>
        <w:trPr>
          <w:trHeight w:val="20"/>
        </w:trPr>
        <w:tc>
          <w:tcPr>
            <w:tcW w:w="5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5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w w:val="92"/>
              </w:rPr>
              <w:t>Weighted-average common stock outstanding - basic and diluted</w:t>
            </w:r>
          </w:p>
        </w:tc>
        <w:tc>
          <w:tcPr>
            <w:tcW w:w="1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70,219,442</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72,106,224</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69,651,392</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72,038,460</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(15,048 )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(15,842 )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(30,670 )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(31,539 )</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Net unrealized (loss) gain on marketable securities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(88 )</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(388 )</w:t>
            </w:r>
          </w:p>
        </w:tc>
      </w:tr>
      <w:tr>
        <w:trPr>
          <w:trHeight w:val="276"/>
        </w:trPr>
        <w:tc>
          <w:tcPr>
            <w:tcW w:w="5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(15,016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(15,930</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(30,507</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-2605405</wp:posOffset>
            </wp:positionV>
            <wp:extent cx="8572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-2605405</wp:posOffset>
            </wp:positionV>
            <wp:extent cx="8572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-2605405</wp:posOffset>
            </wp:positionV>
            <wp:extent cx="8572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-1662430</wp:posOffset>
            </wp:positionV>
            <wp:extent cx="8572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-1662430</wp:posOffset>
            </wp:positionV>
            <wp:extent cx="8572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-1662430</wp:posOffset>
            </wp:positionV>
            <wp:extent cx="85725"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-676275</wp:posOffset>
            </wp:positionV>
            <wp:extent cx="312928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29280" cy="17970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-25400</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-8255</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85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Stockholders’ Equity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2"/>
              </w:rPr>
              <w:t>d</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70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2"/>
                <w:szCs w:val="12"/>
                <w:color w:val="auto"/>
              </w:rPr>
            </w:pPr>
          </w:p>
        </w:tc>
        <w:tc>
          <w:tcPr>
            <w:tcW w:w="76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1"/>
              </w:rPr>
              <w:t>other</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comprehensi</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780" w:type="dxa"/>
            <w:vAlign w:val="bottom"/>
            <w:gridSpan w:val="3"/>
            <w:vMerge w:val="restart"/>
          </w:tcPr>
          <w:p>
            <w:pPr>
              <w:jc w:val="right"/>
              <w:ind w:right="522"/>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2"/>
                <w:szCs w:val="12"/>
                <w:color w:val="auto"/>
              </w:rPr>
            </w:pPr>
          </w:p>
        </w:tc>
        <w:tc>
          <w:tcPr>
            <w:tcW w:w="8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7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$0.001 par value</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paid-in</w:t>
            </w:r>
          </w:p>
        </w:tc>
        <w:tc>
          <w:tcPr>
            <w:tcW w:w="240" w:type="dxa"/>
            <w:vAlign w:val="bottom"/>
          </w:tcPr>
          <w:p>
            <w:pPr>
              <w:spacing w:after="0"/>
              <w:rPr>
                <w:sz w:val="15"/>
                <w:szCs w:val="15"/>
                <w:color w:val="auto"/>
              </w:rPr>
            </w:pPr>
          </w:p>
        </w:tc>
        <w:tc>
          <w:tcPr>
            <w:tcW w:w="760" w:type="dxa"/>
            <w:vAlign w:val="bottom"/>
          </w:tcPr>
          <w:p>
            <w:pPr>
              <w:jc w:val="center"/>
              <w:ind w:right="208"/>
              <w:spacing w:after="0"/>
              <w:rPr>
                <w:sz w:val="20"/>
                <w:szCs w:val="20"/>
                <w:color w:val="auto"/>
              </w:rPr>
            </w:pPr>
            <w:r>
              <w:rPr>
                <w:rFonts w:ascii="Arial" w:cs="Arial" w:eastAsia="Arial" w:hAnsi="Arial"/>
                <w:sz w:val="14"/>
                <w:szCs w:val="14"/>
                <w:b w:val="1"/>
                <w:bCs w:val="1"/>
                <w:color w:val="auto"/>
                <w:w w:val="76"/>
              </w:rPr>
              <w:t>ve</w:t>
            </w:r>
          </w:p>
        </w:tc>
        <w:tc>
          <w:tcPr>
            <w:tcW w:w="1220" w:type="dxa"/>
            <w:vAlign w:val="bottom"/>
            <w:gridSpan w:val="3"/>
            <w:vMerge w:val="continue"/>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capital</w:t>
            </w: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9"/>
              </w:rPr>
              <w:t>income (loss)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deficit</w:t>
            </w:r>
          </w:p>
        </w:tc>
        <w:tc>
          <w:tcPr>
            <w:tcW w:w="2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gridSpan w:val="7"/>
          </w:tcPr>
          <w:p>
            <w:pPr>
              <w:jc w:val="center"/>
              <w:ind w:right="142"/>
              <w:spacing w:after="0"/>
              <w:rPr>
                <w:sz w:val="20"/>
                <w:szCs w:val="20"/>
                <w:color w:val="auto"/>
              </w:rPr>
            </w:pPr>
            <w:r>
              <w:rPr>
                <w:rFonts w:ascii="Arial" w:cs="Arial" w:eastAsia="Arial" w:hAnsi="Arial"/>
                <w:sz w:val="14"/>
                <w:szCs w:val="14"/>
                <w:b w:val="1"/>
                <w:bCs w:val="1"/>
                <w:color w:val="auto"/>
                <w:w w:val="93"/>
              </w:rPr>
              <w:t>For the Three Months Ended June 30, 2023</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March 31, 2023</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72,238,745</w:t>
            </w:r>
          </w:p>
        </w:tc>
        <w:tc>
          <w:tcPr>
            <w:tcW w:w="700" w:type="dxa"/>
            <w:vAlign w:val="bottom"/>
            <w:shd w:val="clear" w:color="auto" w:fill="CFF0FC"/>
          </w:tcPr>
          <w:p>
            <w:pPr>
              <w:jc w:val="right"/>
              <w:ind w:right="5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72</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443,829</w:t>
            </w:r>
          </w:p>
        </w:tc>
        <w:tc>
          <w:tcPr>
            <w:tcW w:w="240" w:type="dxa"/>
            <w:vAlign w:val="bottom"/>
            <w:shd w:val="clear" w:color="auto" w:fill="CFF0FC"/>
          </w:tcPr>
          <w:p>
            <w:pPr>
              <w:ind w:lef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(30 )</w:t>
            </w: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(372,641 )</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2"/>
              </w:rPr>
              <w:t>(4,196,889 )</w:t>
            </w:r>
          </w:p>
        </w:tc>
        <w:tc>
          <w:tcPr>
            <w:tcW w:w="160" w:type="dxa"/>
            <w:vAlign w:val="bottom"/>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2"/>
              <w:spacing w:after="0"/>
              <w:rPr>
                <w:sz w:val="20"/>
                <w:szCs w:val="20"/>
                <w:color w:val="auto"/>
              </w:rPr>
            </w:pPr>
            <w:r>
              <w:rPr>
                <w:rFonts w:ascii="Arial" w:cs="Arial" w:eastAsia="Arial" w:hAnsi="Arial"/>
                <w:sz w:val="14"/>
                <w:szCs w:val="14"/>
                <w:color w:val="auto"/>
              </w:rPr>
              <w:t>(2,518 )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68,712</w:t>
            </w:r>
          </w:p>
        </w:tc>
        <w:tc>
          <w:tcPr>
            <w:tcW w:w="0" w:type="dxa"/>
            <w:vAlign w:val="bottom"/>
          </w:tcPr>
          <w:p>
            <w:pPr>
              <w:spacing w:after="0"/>
              <w:rPr>
                <w:sz w:val="1"/>
                <w:szCs w:val="1"/>
                <w:color w:val="auto"/>
              </w:rPr>
            </w:pPr>
          </w:p>
        </w:tc>
      </w:tr>
      <w:tr>
        <w:trPr>
          <w:trHeight w:val="143"/>
        </w:trPr>
        <w:tc>
          <w:tcPr>
            <w:tcW w:w="3360" w:type="dxa"/>
            <w:vAlign w:val="bottom"/>
          </w:tcPr>
          <w:p>
            <w:pPr>
              <w:ind w:left="20"/>
              <w:spacing w:after="0" w:line="143" w:lineRule="exact"/>
              <w:rPr>
                <w:sz w:val="20"/>
                <w:szCs w:val="20"/>
                <w:color w:val="auto"/>
              </w:rPr>
            </w:pPr>
            <w:r>
              <w:rPr>
                <w:rFonts w:ascii="Arial" w:cs="Arial" w:eastAsia="Arial" w:hAnsi="Arial"/>
                <w:sz w:val="14"/>
                <w:szCs w:val="14"/>
                <w:color w:val="auto"/>
                <w:w w:val="95"/>
              </w:rPr>
              <w:t>Proceeds from issuance of common stock in connection</w:t>
            </w: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60" w:type="dxa"/>
            <w:vAlign w:val="bottom"/>
          </w:tcPr>
          <w:p>
            <w:pPr>
              <w:ind w:left="20"/>
              <w:spacing w:after="0"/>
              <w:rPr>
                <w:sz w:val="20"/>
                <w:szCs w:val="20"/>
                <w:color w:val="auto"/>
              </w:rPr>
            </w:pPr>
            <w:r>
              <w:rPr>
                <w:rFonts w:ascii="Arial" w:cs="Arial" w:eastAsia="Arial" w:hAnsi="Arial"/>
                <w:sz w:val="14"/>
                <w:szCs w:val="14"/>
                <w:color w:val="auto"/>
              </w:rPr>
              <w:t>with at-the-market offering, net of issuance costs</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706,089</w:t>
            </w:r>
          </w:p>
        </w:tc>
        <w:tc>
          <w:tcPr>
            <w:tcW w:w="700" w:type="dxa"/>
            <w:vAlign w:val="bottom"/>
          </w:tcPr>
          <w:p>
            <w:pPr>
              <w:spacing w:after="0"/>
              <w:rPr>
                <w:sz w:val="15"/>
                <w:szCs w:val="15"/>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432</w:t>
            </w:r>
          </w:p>
        </w:tc>
        <w:tc>
          <w:tcPr>
            <w:tcW w:w="2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ind w:right="8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Cancellation of restricted stock</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(134,083 )</w:t>
            </w: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2"/>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82"/>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rPr>
                <w:sz w:val="20"/>
                <w:szCs w:val="20"/>
                <w:color w:val="auto"/>
              </w:rPr>
            </w:pPr>
            <w:r>
              <w:rPr>
                <w:rFonts w:ascii="Arial" w:cs="Arial" w:eastAsia="Arial" w:hAnsi="Arial"/>
                <w:sz w:val="14"/>
                <w:szCs w:val="14"/>
                <w:color w:val="auto"/>
              </w:rPr>
              <w:t>Equity-based compensation expense</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645</w:t>
            </w:r>
          </w:p>
        </w:tc>
        <w:tc>
          <w:tcPr>
            <w:tcW w:w="2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ind w:right="8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Unrealized gain (loss) on securities</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2"/>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82"/>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(15,048 )</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(15,048 )</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June 30, 2023</w:t>
            </w: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72,810,751</w:t>
            </w:r>
          </w:p>
        </w:tc>
        <w:tc>
          <w:tcPr>
            <w:tcW w:w="700" w:type="dxa"/>
            <w:vAlign w:val="bottom"/>
            <w:tcBorders>
              <w:bottom w:val="single" w:sz="8" w:color="auto"/>
            </w:tcBorders>
            <w:shd w:val="clear" w:color="auto" w:fill="CFF0FC"/>
          </w:tcPr>
          <w:p>
            <w:pPr>
              <w:jc w:val="right"/>
              <w:ind w:right="5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73</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444,906</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(387,689 )</w:t>
            </w: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2"/>
              </w:rPr>
              <w:t>(4,196,889 )</w:t>
            </w:r>
          </w:p>
        </w:tc>
        <w:tc>
          <w:tcPr>
            <w:tcW w:w="1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4"/>
                <w:szCs w:val="14"/>
                <w:color w:val="auto"/>
              </w:rPr>
              <w:t>(2,518 )</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54,774</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0" w:type="dxa"/>
            <w:vAlign w:val="bottom"/>
            <w:gridSpan w:val="7"/>
          </w:tcPr>
          <w:p>
            <w:pPr>
              <w:jc w:val="center"/>
              <w:ind w:right="142"/>
              <w:spacing w:after="0" w:line="156" w:lineRule="exact"/>
              <w:rPr>
                <w:sz w:val="20"/>
                <w:szCs w:val="20"/>
                <w:color w:val="auto"/>
              </w:rPr>
            </w:pPr>
            <w:r>
              <w:rPr>
                <w:rFonts w:ascii="Arial" w:cs="Arial" w:eastAsia="Arial" w:hAnsi="Arial"/>
                <w:sz w:val="14"/>
                <w:szCs w:val="14"/>
                <w:b w:val="1"/>
                <w:bCs w:val="1"/>
                <w:color w:val="auto"/>
                <w:w w:val="93"/>
              </w:rPr>
              <w:t>For the Three Months Ended June 30, 2022</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March 31, 2022</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70,267,586</w:t>
            </w:r>
          </w:p>
        </w:tc>
        <w:tc>
          <w:tcPr>
            <w:tcW w:w="700" w:type="dxa"/>
            <w:vAlign w:val="bottom"/>
            <w:shd w:val="clear" w:color="auto" w:fill="CFF0FC"/>
          </w:tcPr>
          <w:p>
            <w:pPr>
              <w:jc w:val="right"/>
              <w:ind w:right="5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70</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439,138</w:t>
            </w:r>
          </w:p>
        </w:tc>
        <w:tc>
          <w:tcPr>
            <w:tcW w:w="240" w:type="dxa"/>
            <w:vAlign w:val="bottom"/>
            <w:shd w:val="clear" w:color="auto" w:fill="CFF0FC"/>
          </w:tcPr>
          <w:p>
            <w:pPr>
              <w:ind w:lef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(345 )</w:t>
            </w: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(306,569 )</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8"/>
              <w:spacing w:after="0" w:line="243" w:lineRule="exact"/>
              <w:rPr>
                <w:sz w:val="20"/>
                <w:szCs w:val="20"/>
                <w:color w:val="auto"/>
              </w:rPr>
            </w:pPr>
            <w:r>
              <w:rPr>
                <w:rFonts w:ascii="Arial" w:cs="Arial" w:eastAsia="Arial" w:hAnsi="Arial"/>
                <w:sz w:val="18"/>
                <w:szCs w:val="18"/>
                <w:color w:val="auto"/>
              </w:rPr>
              <w:t xml:space="preserve">—  </w:t>
            </w:r>
            <w:r>
              <w:rPr>
                <w:rFonts w:ascii="Arial" w:cs="Arial" w:eastAsia="Arial" w:hAnsi="Arial"/>
                <w:sz w:val="28"/>
                <w:szCs w:val="28"/>
                <w:color w:val="auto"/>
                <w:vertAlign w:val="subscript"/>
              </w:rPr>
              <w:t>$</w:t>
            </w: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132,294</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4,940</w:t>
            </w:r>
          </w:p>
        </w:tc>
        <w:tc>
          <w:tcPr>
            <w:tcW w:w="700" w:type="dxa"/>
            <w:vAlign w:val="bottom"/>
          </w:tcPr>
          <w:p>
            <w:pPr>
              <w:spacing w:after="0"/>
              <w:rPr>
                <w:sz w:val="15"/>
                <w:szCs w:val="15"/>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ind w:right="8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3"/>
        </w:trPr>
        <w:tc>
          <w:tcPr>
            <w:tcW w:w="33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under employee stock</w:t>
            </w:r>
          </w:p>
        </w:tc>
        <w:tc>
          <w:tcPr>
            <w:tcW w:w="10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 plan</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(38 )</w:t>
            </w: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2"/>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82"/>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rPr>
                <w:sz w:val="20"/>
                <w:szCs w:val="20"/>
                <w:color w:val="auto"/>
              </w:rPr>
            </w:pPr>
            <w:r>
              <w:rPr>
                <w:rFonts w:ascii="Arial" w:cs="Arial" w:eastAsia="Arial" w:hAnsi="Arial"/>
                <w:sz w:val="14"/>
                <w:szCs w:val="14"/>
                <w:color w:val="auto"/>
              </w:rPr>
              <w:t>Cancellation of restricted stock</w:t>
            </w:r>
          </w:p>
        </w:tc>
        <w:tc>
          <w:tcPr>
            <w:tcW w:w="1000" w:type="dxa"/>
            <w:vAlign w:val="bottom"/>
          </w:tcPr>
          <w:p>
            <w:pPr>
              <w:jc w:val="right"/>
              <w:spacing w:after="0"/>
              <w:rPr>
                <w:sz w:val="20"/>
                <w:szCs w:val="20"/>
                <w:color w:val="auto"/>
              </w:rPr>
            </w:pPr>
            <w:r>
              <w:rPr>
                <w:rFonts w:ascii="Arial" w:cs="Arial" w:eastAsia="Arial" w:hAnsi="Arial"/>
                <w:sz w:val="14"/>
                <w:szCs w:val="14"/>
                <w:color w:val="auto"/>
              </w:rPr>
              <w:t>(42,253 )</w:t>
            </w:r>
          </w:p>
        </w:tc>
        <w:tc>
          <w:tcPr>
            <w:tcW w:w="700" w:type="dxa"/>
            <w:vAlign w:val="bottom"/>
          </w:tcPr>
          <w:p>
            <w:pPr>
              <w:spacing w:after="0"/>
              <w:rPr>
                <w:sz w:val="15"/>
                <w:szCs w:val="15"/>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ind w:right="8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Equity-based compensation expense</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977</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2"/>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82"/>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rPr>
                <w:sz w:val="20"/>
                <w:szCs w:val="20"/>
                <w:color w:val="auto"/>
              </w:rPr>
            </w:pPr>
            <w:r>
              <w:rPr>
                <w:rFonts w:ascii="Arial" w:cs="Arial" w:eastAsia="Arial" w:hAnsi="Arial"/>
                <w:sz w:val="14"/>
                <w:szCs w:val="14"/>
                <w:color w:val="auto"/>
              </w:rPr>
              <w:t>Unrealized gain (loss) on securities</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(88 )</w:t>
            </w:r>
          </w:p>
        </w:tc>
        <w:tc>
          <w:tcPr>
            <w:tcW w:w="20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ind w:right="8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(88 )</w:t>
            </w:r>
          </w:p>
        </w:tc>
        <w:tc>
          <w:tcPr>
            <w:tcW w:w="0" w:type="dxa"/>
            <w:vAlign w:val="bottom"/>
          </w:tcPr>
          <w:p>
            <w:pPr>
              <w:spacing w:after="0"/>
              <w:rPr>
                <w:sz w:val="1"/>
                <w:szCs w:val="1"/>
                <w:color w:val="auto"/>
              </w:rPr>
            </w:pPr>
          </w:p>
        </w:tc>
      </w:tr>
      <w:tr>
        <w:trPr>
          <w:trHeight w:val="175"/>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(15,842 )</w:t>
            </w: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(15,842 )</w:t>
            </w: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4"/>
                <w:szCs w:val="14"/>
                <w:color w:val="auto"/>
              </w:rPr>
              <w:t>Balance at June 30, 2022</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70,230,235</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70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440,124</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(433 )</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(322,411 )</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117,350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6"/>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40" w:type="dxa"/>
            <w:vAlign w:val="bottom"/>
            <w:gridSpan w:val="6"/>
            <w:shd w:val="clear" w:color="auto" w:fill="CFF0FC"/>
          </w:tcPr>
          <w:p>
            <w:pPr>
              <w:jc w:val="center"/>
              <w:ind w:left="468"/>
              <w:spacing w:after="0" w:line="156" w:lineRule="exact"/>
              <w:rPr>
                <w:sz w:val="20"/>
                <w:szCs w:val="20"/>
                <w:color w:val="auto"/>
              </w:rPr>
            </w:pPr>
            <w:r>
              <w:rPr>
                <w:rFonts w:ascii="Arial" w:cs="Arial" w:eastAsia="Arial" w:hAnsi="Arial"/>
                <w:sz w:val="14"/>
                <w:szCs w:val="14"/>
                <w:b w:val="1"/>
                <w:bCs w:val="1"/>
                <w:color w:val="auto"/>
                <w:w w:val="93"/>
              </w:rPr>
              <w:t>For the Six Months Ended June 30, 2023</w:t>
            </w: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rPr>
                <w:sz w:val="20"/>
                <w:szCs w:val="20"/>
                <w:color w:val="auto"/>
              </w:rPr>
            </w:pPr>
            <w:r>
              <w:rPr>
                <w:rFonts w:ascii="Arial" w:cs="Arial" w:eastAsia="Arial" w:hAnsi="Arial"/>
                <w:sz w:val="14"/>
                <w:szCs w:val="14"/>
                <w:color w:val="auto"/>
              </w:rPr>
              <w:t>Balance at December 31, 2022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70,933,140</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76"/>
              </w:rPr>
              <w:t>71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442,237</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(161 )</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(357,019 )</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2"/>
              </w:rPr>
              <w:t>(4,196,889 )</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
              <w:spacing w:after="0"/>
              <w:rPr>
                <w:sz w:val="20"/>
                <w:szCs w:val="20"/>
                <w:color w:val="auto"/>
              </w:rPr>
            </w:pPr>
            <w:r>
              <w:rPr>
                <w:rFonts w:ascii="Arial" w:cs="Arial" w:eastAsia="Arial" w:hAnsi="Arial"/>
                <w:sz w:val="14"/>
                <w:szCs w:val="14"/>
                <w:color w:val="auto"/>
              </w:rPr>
              <w:t>(2,518 )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82,610</w:t>
            </w:r>
          </w:p>
        </w:tc>
        <w:tc>
          <w:tcPr>
            <w:tcW w:w="0" w:type="dxa"/>
            <w:vAlign w:val="bottom"/>
          </w:tcPr>
          <w:p>
            <w:pPr>
              <w:spacing w:after="0"/>
              <w:rPr>
                <w:sz w:val="1"/>
                <w:szCs w:val="1"/>
                <w:color w:val="auto"/>
              </w:rPr>
            </w:pPr>
          </w:p>
        </w:tc>
      </w:tr>
      <w:tr>
        <w:trPr>
          <w:trHeight w:val="143"/>
        </w:trPr>
        <w:tc>
          <w:tcPr>
            <w:tcW w:w="33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w w:val="95"/>
              </w:rPr>
              <w:t>Proceeds from issuance of common stock in connection</w:t>
            </w:r>
          </w:p>
        </w:tc>
        <w:tc>
          <w:tcPr>
            <w:tcW w:w="10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with at-the-market offering, net of issuance costs</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1,739,487</w:t>
            </w: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w:t>
            </w: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1,247</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1,249</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rPr>
                <w:sz w:val="20"/>
                <w:szCs w:val="20"/>
                <w:color w:val="auto"/>
              </w:rPr>
            </w:pPr>
            <w:r>
              <w:rPr>
                <w:rFonts w:ascii="Arial" w:cs="Arial" w:eastAsia="Arial" w:hAnsi="Arial"/>
                <w:sz w:val="14"/>
                <w:szCs w:val="14"/>
                <w:color w:val="auto"/>
              </w:rPr>
              <w:t>Issuance of restricted stock</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162,210</w:t>
            </w:r>
          </w:p>
        </w:tc>
        <w:tc>
          <w:tcPr>
            <w:tcW w:w="700" w:type="dxa"/>
            <w:vAlign w:val="bottom"/>
          </w:tcPr>
          <w:p>
            <w:pPr>
              <w:spacing w:after="0"/>
              <w:rPr>
                <w:sz w:val="15"/>
                <w:szCs w:val="15"/>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ind w:right="8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3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under employee stock</w:t>
            </w:r>
          </w:p>
        </w:tc>
        <w:tc>
          <w:tcPr>
            <w:tcW w:w="10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 plan</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109,997</w:t>
            </w: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59</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2"/>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82"/>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rPr>
                <w:sz w:val="20"/>
                <w:szCs w:val="20"/>
                <w:color w:val="auto"/>
              </w:rPr>
            </w:pPr>
            <w:r>
              <w:rPr>
                <w:rFonts w:ascii="Arial" w:cs="Arial" w:eastAsia="Arial" w:hAnsi="Arial"/>
                <w:sz w:val="14"/>
                <w:szCs w:val="14"/>
                <w:color w:val="auto"/>
              </w:rPr>
              <w:t>Cancellation of restricted stock</w:t>
            </w:r>
          </w:p>
        </w:tc>
        <w:tc>
          <w:tcPr>
            <w:tcW w:w="1000" w:type="dxa"/>
            <w:vAlign w:val="bottom"/>
          </w:tcPr>
          <w:p>
            <w:pPr>
              <w:jc w:val="right"/>
              <w:spacing w:after="0"/>
              <w:rPr>
                <w:sz w:val="20"/>
                <w:szCs w:val="20"/>
                <w:color w:val="auto"/>
              </w:rPr>
            </w:pPr>
            <w:r>
              <w:rPr>
                <w:rFonts w:ascii="Arial" w:cs="Arial" w:eastAsia="Arial" w:hAnsi="Arial"/>
                <w:sz w:val="14"/>
                <w:szCs w:val="14"/>
                <w:color w:val="auto"/>
              </w:rPr>
              <w:t>(134,083 )</w:t>
            </w:r>
          </w:p>
        </w:tc>
        <w:tc>
          <w:tcPr>
            <w:tcW w:w="700" w:type="dxa"/>
            <w:vAlign w:val="bottom"/>
          </w:tcPr>
          <w:p>
            <w:pPr>
              <w:spacing w:after="0"/>
              <w:rPr>
                <w:sz w:val="15"/>
                <w:szCs w:val="15"/>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ind w:right="8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Equity-based compensation expense</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1,363</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2"/>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82"/>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rPr>
                <w:sz w:val="20"/>
                <w:szCs w:val="20"/>
                <w:color w:val="auto"/>
              </w:rPr>
            </w:pPr>
            <w:r>
              <w:rPr>
                <w:rFonts w:ascii="Arial" w:cs="Arial" w:eastAsia="Arial" w:hAnsi="Arial"/>
                <w:sz w:val="14"/>
                <w:szCs w:val="14"/>
                <w:color w:val="auto"/>
              </w:rPr>
              <w:t>Unrealized gain (loss) on securities</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20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ind w:right="8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75"/>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(30,670 )</w:t>
            </w: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(30,670 )</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4"/>
                <w:szCs w:val="14"/>
                <w:color w:val="auto"/>
              </w:rPr>
              <w:t>Balance at June 30, 2023</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72,810,751</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73</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444,906</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(387,689 )</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(4,196,889 )</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(2,518 )</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54,774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6"/>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40" w:type="dxa"/>
            <w:vAlign w:val="bottom"/>
            <w:gridSpan w:val="6"/>
            <w:shd w:val="clear" w:color="auto" w:fill="CFF0FC"/>
          </w:tcPr>
          <w:p>
            <w:pPr>
              <w:jc w:val="center"/>
              <w:ind w:left="468"/>
              <w:spacing w:after="0" w:line="156" w:lineRule="exact"/>
              <w:rPr>
                <w:sz w:val="20"/>
                <w:szCs w:val="20"/>
                <w:color w:val="auto"/>
              </w:rPr>
            </w:pPr>
            <w:r>
              <w:rPr>
                <w:rFonts w:ascii="Arial" w:cs="Arial" w:eastAsia="Arial" w:hAnsi="Arial"/>
                <w:sz w:val="14"/>
                <w:szCs w:val="14"/>
                <w:b w:val="1"/>
                <w:bCs w:val="1"/>
                <w:color w:val="auto"/>
                <w:w w:val="93"/>
              </w:rPr>
              <w:t>For the Six Months Ended June 30, 2022</w:t>
            </w: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4"/>
                <w:szCs w:val="14"/>
                <w:color w:val="auto"/>
              </w:rPr>
              <w:t>Balance at December 31, 2021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69,698,844</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76"/>
              </w:rPr>
              <w:t>70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438,113</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(45 )</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(290,872 )</w:t>
            </w:r>
          </w:p>
        </w:tc>
        <w:tc>
          <w:tcPr>
            <w:tcW w:w="200" w:type="dxa"/>
            <w:vAlign w:val="bottom"/>
          </w:tcPr>
          <w:p>
            <w:pPr>
              <w:spacing w:after="0"/>
              <w:rPr>
                <w:sz w:val="21"/>
                <w:szCs w:val="21"/>
                <w:color w:val="auto"/>
              </w:rPr>
            </w:pPr>
          </w:p>
        </w:tc>
        <w:tc>
          <w:tcPr>
            <w:tcW w:w="7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8"/>
              <w:spacing w:after="0" w:line="243" w:lineRule="exact"/>
              <w:rPr>
                <w:sz w:val="20"/>
                <w:szCs w:val="20"/>
                <w:color w:val="auto"/>
              </w:rPr>
            </w:pPr>
            <w:r>
              <w:rPr>
                <w:rFonts w:ascii="Arial" w:cs="Arial" w:eastAsia="Arial" w:hAnsi="Arial"/>
                <w:sz w:val="18"/>
                <w:szCs w:val="18"/>
                <w:color w:val="auto"/>
              </w:rPr>
              <w:t xml:space="preserve">—  </w:t>
            </w:r>
            <w:r>
              <w:rPr>
                <w:rFonts w:ascii="Arial" w:cs="Arial" w:eastAsia="Arial" w:hAnsi="Arial"/>
                <w:sz w:val="28"/>
                <w:szCs w:val="28"/>
                <w:color w:val="auto"/>
                <w:vertAlign w:val="subscript"/>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147,266</w:t>
            </w:r>
          </w:p>
        </w:tc>
        <w:tc>
          <w:tcPr>
            <w:tcW w:w="0" w:type="dxa"/>
            <w:vAlign w:val="bottom"/>
          </w:tcPr>
          <w:p>
            <w:pPr>
              <w:spacing w:after="0"/>
              <w:rPr>
                <w:sz w:val="1"/>
                <w:szCs w:val="1"/>
                <w:color w:val="auto"/>
              </w:rPr>
            </w:pPr>
          </w:p>
        </w:tc>
      </w:tr>
      <w:tr>
        <w:trPr>
          <w:trHeight w:val="243"/>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options</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35,562</w:t>
            </w:r>
          </w:p>
        </w:tc>
        <w:tc>
          <w:tcPr>
            <w:tcW w:w="7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61</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4"/>
                <w:szCs w:val="14"/>
                <w:color w:val="auto"/>
              </w:rPr>
              <w:t>Issuance of restricted stock</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507,260</w:t>
            </w:r>
          </w:p>
        </w:tc>
        <w:tc>
          <w:tcPr>
            <w:tcW w:w="700" w:type="dxa"/>
            <w:vAlign w:val="bottom"/>
          </w:tcPr>
          <w:p>
            <w:pPr>
              <w:spacing w:after="0"/>
              <w:rPr>
                <w:sz w:val="21"/>
                <w:szCs w:val="21"/>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8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3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under employee stock</w:t>
            </w:r>
          </w:p>
        </w:tc>
        <w:tc>
          <w:tcPr>
            <w:tcW w:w="10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 plan</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40,490</w:t>
            </w: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83</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4"/>
                <w:szCs w:val="14"/>
                <w:color w:val="auto"/>
              </w:rPr>
              <w:t>Cancellation of restricted stock</w:t>
            </w:r>
          </w:p>
        </w:tc>
        <w:tc>
          <w:tcPr>
            <w:tcW w:w="1000" w:type="dxa"/>
            <w:vAlign w:val="bottom"/>
          </w:tcPr>
          <w:p>
            <w:pPr>
              <w:jc w:val="right"/>
              <w:spacing w:after="0"/>
              <w:rPr>
                <w:sz w:val="20"/>
                <w:szCs w:val="20"/>
                <w:color w:val="auto"/>
              </w:rPr>
            </w:pPr>
            <w:r>
              <w:rPr>
                <w:rFonts w:ascii="Arial" w:cs="Arial" w:eastAsia="Arial" w:hAnsi="Arial"/>
                <w:sz w:val="14"/>
                <w:szCs w:val="14"/>
                <w:color w:val="auto"/>
              </w:rPr>
              <w:t>(51,921 )</w:t>
            </w:r>
          </w:p>
        </w:tc>
        <w:tc>
          <w:tcPr>
            <w:tcW w:w="700" w:type="dxa"/>
            <w:vAlign w:val="bottom"/>
          </w:tcPr>
          <w:p>
            <w:pPr>
              <w:spacing w:after="0"/>
              <w:rPr>
                <w:sz w:val="21"/>
                <w:szCs w:val="21"/>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8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Equity-based compensation expense</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1,867</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1,867</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4"/>
                <w:szCs w:val="14"/>
                <w:color w:val="auto"/>
              </w:rPr>
              <w:t>Unrealized gain (loss) on securities</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1"/>
                <w:szCs w:val="21"/>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(388 )</w:t>
            </w:r>
          </w:p>
        </w:tc>
        <w:tc>
          <w:tcPr>
            <w:tcW w:w="20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8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(388 )</w:t>
            </w:r>
          </w:p>
        </w:tc>
        <w:tc>
          <w:tcPr>
            <w:tcW w:w="0" w:type="dxa"/>
            <w:vAlign w:val="bottom"/>
          </w:tcPr>
          <w:p>
            <w:pPr>
              <w:spacing w:after="0"/>
              <w:rPr>
                <w:sz w:val="1"/>
                <w:szCs w:val="1"/>
                <w:color w:val="auto"/>
              </w:rPr>
            </w:pPr>
          </w:p>
        </w:tc>
      </w:tr>
      <w:tr>
        <w:trPr>
          <w:trHeight w:val="243"/>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(31,539 )</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(31,539 )</w:t>
            </w: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4"/>
                <w:szCs w:val="14"/>
                <w:color w:val="auto"/>
              </w:rPr>
              <w:t>Balance at June 30, 2022</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70,230,235</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70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440,124</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(433 )</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(322,411 )</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tcPr>
          <w:p>
            <w:pPr>
              <w:jc w:val="right"/>
              <w:ind w:right="8"/>
              <w:spacing w:after="0" w:line="236" w:lineRule="exact"/>
              <w:rPr>
                <w:sz w:val="20"/>
                <w:szCs w:val="20"/>
                <w:color w:val="auto"/>
              </w:rPr>
            </w:pPr>
            <w:r>
              <w:rPr>
                <w:rFonts w:ascii="Arial" w:cs="Arial" w:eastAsia="Arial" w:hAnsi="Arial"/>
                <w:sz w:val="17"/>
                <w:szCs w:val="17"/>
                <w:color w:val="auto"/>
              </w:rPr>
              <w:t xml:space="preserve">—  </w:t>
            </w:r>
            <w:r>
              <w:rPr>
                <w:rFonts w:ascii="Arial" w:cs="Arial" w:eastAsia="Arial" w:hAnsi="Arial"/>
                <w:sz w:val="27"/>
                <w:szCs w:val="27"/>
                <w:color w:val="auto"/>
                <w:vertAlign w:val="subscript"/>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117,350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 Consolidated Statements of Cash Flows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40"/>
          </w:cols>
          <w:pgMar w:left="320" w:top="337" w:right="339" w:bottom="1440" w:gutter="0" w:footer="0" w:header="0"/>
        </w:sectPr>
      </w:pPr>
    </w:p>
    <w:p>
      <w:pPr>
        <w:spacing w:after="0" w:line="257" w:lineRule="exact"/>
        <w:rPr>
          <w:sz w:val="20"/>
          <w:szCs w:val="20"/>
          <w:color w:val="auto"/>
        </w:rPr>
      </w:pPr>
    </w:p>
    <w:p>
      <w:pPr>
        <w:jc w:val="center"/>
        <w:ind w:left="7400"/>
        <w:spacing w:after="0"/>
        <w:rPr>
          <w:sz w:val="20"/>
          <w:szCs w:val="20"/>
          <w:color w:val="auto"/>
        </w:rPr>
      </w:pPr>
      <w:r>
        <w:rPr>
          <w:rFonts w:ascii="Arial" w:cs="Arial" w:eastAsia="Arial" w:hAnsi="Arial"/>
          <w:sz w:val="13"/>
          <w:szCs w:val="13"/>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22225</wp:posOffset>
            </wp:positionV>
            <wp:extent cx="11226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June 30, 2023</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2"/>
          <w:szCs w:val="12"/>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29845</wp:posOffset>
            </wp:positionV>
            <wp:extent cx="10718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31"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June 30, 2022</w:t>
      </w:r>
    </w:p>
    <w:p>
      <w:pPr>
        <w:spacing w:after="0" w:line="24" w:lineRule="exact"/>
        <w:rPr>
          <w:sz w:val="20"/>
          <w:szCs w:val="20"/>
          <w:color w:val="auto"/>
        </w:rPr>
      </w:pPr>
    </w:p>
    <w:p>
      <w:pPr>
        <w:sectPr>
          <w:pgSz w:w="11900" w:h="16838" w:orient="portrait"/>
          <w:cols w:equalWidth="0" w:num="2">
            <w:col w:w="8980" w:space="720"/>
            <w:col w:w="154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3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66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CFF0FC"/>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(30,670 )</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(31,539 )</w:t>
            </w: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1,106</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1,257</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Gain on disposal of property and equipment</w:t>
            </w:r>
          </w:p>
        </w:tc>
        <w:tc>
          <w:tcPr>
            <w:tcW w:w="6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(11 )</w:t>
            </w:r>
          </w:p>
        </w:tc>
        <w:tc>
          <w:tcPr>
            <w:tcW w:w="6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300" w:type="dxa"/>
            <w:vAlign w:val="bottom"/>
          </w:tcPr>
          <w:p>
            <w:pPr>
              <w:ind w:left="380"/>
              <w:spacing w:after="0"/>
              <w:rPr>
                <w:sz w:val="20"/>
                <w:szCs w:val="20"/>
                <w:color w:val="auto"/>
              </w:rPr>
            </w:pPr>
            <w:r>
              <w:rPr>
                <w:rFonts w:ascii="Arial" w:cs="Arial" w:eastAsia="Arial" w:hAnsi="Arial"/>
                <w:sz w:val="18"/>
                <w:szCs w:val="18"/>
                <w:color w:val="auto"/>
              </w:rPr>
              <w:t>Equity-based compensation expense</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1,363</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1,867</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Accretion/amortization of investment securities</w:t>
            </w:r>
          </w:p>
        </w:tc>
        <w:tc>
          <w:tcPr>
            <w:tcW w:w="6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(468 )</w:t>
            </w:r>
          </w:p>
        </w:tc>
        <w:tc>
          <w:tcPr>
            <w:tcW w:w="6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(87 )</w:t>
            </w:r>
          </w:p>
        </w:tc>
      </w:tr>
      <w:tr>
        <w:trPr>
          <w:trHeight w:val="237"/>
        </w:trPr>
        <w:tc>
          <w:tcPr>
            <w:tcW w:w="7300" w:type="dxa"/>
            <w:vAlign w:val="bottom"/>
          </w:tcPr>
          <w:p>
            <w:pPr>
              <w:ind w:left="380"/>
              <w:spacing w:after="0"/>
              <w:rPr>
                <w:sz w:val="20"/>
                <w:szCs w:val="20"/>
                <w:color w:val="auto"/>
              </w:rPr>
            </w:pPr>
            <w:r>
              <w:rPr>
                <w:rFonts w:ascii="Arial" w:cs="Arial" w:eastAsia="Arial" w:hAnsi="Arial"/>
                <w:sz w:val="18"/>
                <w:szCs w:val="18"/>
                <w:color w:val="auto"/>
              </w:rPr>
              <w:t>Change in carrying amount of operating lease right of use asset</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1,634</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1,554</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(1,143 )</w:t>
            </w: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Prepaid research and development, net of current portion</w:t>
            </w:r>
          </w:p>
        </w:tc>
        <w:tc>
          <w:tcPr>
            <w:tcW w:w="6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(254 )</w:t>
            </w: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560"/>
              <w:spacing w:after="0"/>
              <w:rPr>
                <w:sz w:val="20"/>
                <w:szCs w:val="20"/>
                <w:color w:val="auto"/>
              </w:rPr>
            </w:pPr>
            <w:r>
              <w:rPr>
                <w:rFonts w:ascii="Arial" w:cs="Arial" w:eastAsia="Arial" w:hAnsi="Arial"/>
                <w:sz w:val="18"/>
                <w:szCs w:val="18"/>
                <w:color w:val="auto"/>
              </w:rPr>
              <w:t>Accounts payable and accrued expenses</w:t>
            </w:r>
          </w:p>
        </w:tc>
        <w:tc>
          <w:tcPr>
            <w:tcW w:w="66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(2,450 )</w:t>
            </w:r>
          </w:p>
        </w:tc>
        <w:tc>
          <w:tcPr>
            <w:tcW w:w="6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(1,599 )</w:t>
            </w:r>
          </w:p>
        </w:tc>
      </w:tr>
      <w:tr>
        <w:trPr>
          <w:trHeight w:val="249"/>
        </w:trPr>
        <w:tc>
          <w:tcPr>
            <w:tcW w:w="73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revenue</w:t>
            </w:r>
          </w:p>
        </w:tc>
        <w:tc>
          <w:tcPr>
            <w:tcW w:w="6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(225 )</w:t>
            </w:r>
          </w:p>
        </w:tc>
        <w:tc>
          <w:tcPr>
            <w:tcW w:w="6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(382 )</w:t>
            </w:r>
          </w:p>
        </w:tc>
      </w:tr>
      <w:tr>
        <w:trPr>
          <w:trHeight w:val="237"/>
        </w:trPr>
        <w:tc>
          <w:tcPr>
            <w:tcW w:w="7300" w:type="dxa"/>
            <w:vAlign w:val="bottom"/>
          </w:tcPr>
          <w:p>
            <w:pPr>
              <w:ind w:left="560"/>
              <w:spacing w:after="0"/>
              <w:rPr>
                <w:sz w:val="20"/>
                <w:szCs w:val="20"/>
                <w:color w:val="auto"/>
              </w:rPr>
            </w:pPr>
            <w:r>
              <w:rPr>
                <w:rFonts w:ascii="Arial" w:cs="Arial" w:eastAsia="Arial" w:hAnsi="Arial"/>
                <w:sz w:val="18"/>
                <w:szCs w:val="18"/>
                <w:color w:val="auto"/>
              </w:rPr>
              <w:t>Operating lease liabilities</w:t>
            </w:r>
          </w:p>
        </w:tc>
        <w:tc>
          <w:tcPr>
            <w:tcW w:w="66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(2,004 )</w:t>
            </w:r>
          </w:p>
        </w:tc>
        <w:tc>
          <w:tcPr>
            <w:tcW w:w="6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(1,991 )</w:t>
            </w:r>
          </w:p>
        </w:tc>
      </w:tr>
      <w:tr>
        <w:trPr>
          <w:trHeight w:val="243"/>
        </w:trPr>
        <w:tc>
          <w:tcPr>
            <w:tcW w:w="73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Other assets</w:t>
            </w:r>
          </w:p>
        </w:tc>
        <w:tc>
          <w:tcPr>
            <w:tcW w:w="6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(9 )</w:t>
            </w:r>
          </w:p>
        </w:tc>
        <w:tc>
          <w:tcPr>
            <w:tcW w:w="6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(14 )</w:t>
            </w:r>
          </w:p>
        </w:tc>
      </w:tr>
      <w:tr>
        <w:trPr>
          <w:trHeight w:val="20"/>
        </w:trPr>
        <w:tc>
          <w:tcPr>
            <w:tcW w:w="7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6"/>
        </w:trPr>
        <w:tc>
          <w:tcPr>
            <w:tcW w:w="73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66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(33,131 )</w:t>
            </w:r>
          </w:p>
        </w:tc>
        <w:tc>
          <w:tcPr>
            <w:tcW w:w="6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(29,046 )</w:t>
            </w:r>
          </w:p>
        </w:tc>
      </w:tr>
      <w:tr>
        <w:trPr>
          <w:trHeight w:val="243"/>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66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66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(41,116 )</w:t>
            </w: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maturity of marketable securities</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62,399</w:t>
            </w: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85,116</w:t>
            </w: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66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(186 )</w:t>
            </w:r>
          </w:p>
        </w:tc>
        <w:tc>
          <w:tcPr>
            <w:tcW w:w="6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(629 )</w:t>
            </w:r>
          </w:p>
        </w:tc>
      </w:tr>
      <w:tr>
        <w:trPr>
          <w:trHeight w:val="243"/>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the sale of property and equipment</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6"/>
        </w:trPr>
        <w:tc>
          <w:tcPr>
            <w:tcW w:w="73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6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62,229</w:t>
            </w:r>
          </w:p>
        </w:tc>
        <w:tc>
          <w:tcPr>
            <w:tcW w:w="360" w:type="dxa"/>
            <w:vAlign w:val="bottom"/>
            <w:tcBorders>
              <w:top w:val="single" w:sz="8" w:color="CFF0FC"/>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43,371</w:t>
            </w:r>
          </w:p>
        </w:tc>
        <w:tc>
          <w:tcPr>
            <w:tcW w:w="140" w:type="dxa"/>
            <w:vAlign w:val="bottom"/>
            <w:tcBorders>
              <w:top w:val="single" w:sz="8" w:color="CFF0FC"/>
            </w:tcBorders>
          </w:tcPr>
          <w:p>
            <w:pPr>
              <w:spacing w:after="0"/>
              <w:rPr>
                <w:sz w:val="20"/>
                <w:szCs w:val="20"/>
                <w:color w:val="auto"/>
              </w:rPr>
            </w:pPr>
          </w:p>
        </w:tc>
      </w:tr>
      <w:tr>
        <w:trPr>
          <w:trHeight w:val="243"/>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Payments on finance lease obligations</w:t>
            </w:r>
          </w:p>
        </w:tc>
        <w:tc>
          <w:tcPr>
            <w:tcW w:w="66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(6 )</w:t>
            </w:r>
          </w:p>
        </w:tc>
        <w:tc>
          <w:tcPr>
            <w:tcW w:w="6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(6 )</w:t>
            </w:r>
          </w:p>
        </w:tc>
      </w:tr>
      <w:tr>
        <w:trPr>
          <w:trHeight w:val="221"/>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Proceeds from issuance of common stock in connection with at-the-market offering, net of</w:t>
            </w:r>
          </w:p>
        </w:tc>
        <w:tc>
          <w:tcPr>
            <w:tcW w:w="6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costs</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Proceeds from employee stock purchases and exercise of stock options</w:t>
            </w: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20"/>
                <w:szCs w:val="20"/>
                <w:color w:val="auto"/>
              </w:rPr>
            </w:pPr>
          </w:p>
        </w:tc>
      </w:tr>
      <w:tr>
        <w:trPr>
          <w:trHeight w:val="236"/>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3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30,400</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14,463</w:t>
            </w:r>
          </w:p>
        </w:tc>
        <w:tc>
          <w:tcPr>
            <w:tcW w:w="140" w:type="dxa"/>
            <w:vAlign w:val="bottom"/>
          </w:tcPr>
          <w:p>
            <w:pPr>
              <w:spacing w:after="0"/>
              <w:rPr>
                <w:sz w:val="20"/>
                <w:szCs w:val="20"/>
                <w:color w:val="auto"/>
              </w:rPr>
            </w:pPr>
          </w:p>
        </w:tc>
      </w:tr>
      <w:tr>
        <w:trPr>
          <w:trHeight w:val="243"/>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6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16,958</w:t>
            </w:r>
          </w:p>
        </w:tc>
        <w:tc>
          <w:tcPr>
            <w:tcW w:w="3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47,358</w:t>
            </w:r>
          </w:p>
        </w:tc>
        <w:tc>
          <w:tcPr>
            <w:tcW w:w="360" w:type="dxa"/>
            <w:vAlign w:val="bottom"/>
          </w:tcPr>
          <w:p>
            <w:pPr>
              <w:spacing w:after="0"/>
              <w:rPr>
                <w:sz w:val="20"/>
                <w:szCs w:val="20"/>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31,998</w:t>
            </w:r>
          </w:p>
        </w:tc>
        <w:tc>
          <w:tcPr>
            <w:tcW w:w="140" w:type="dxa"/>
            <w:vAlign w:val="bottom"/>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activities:</w:t>
            </w: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Assets acquired under operating lease obligation</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w:t>
            </w: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 of non-cash financing activities:</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for interest</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-3616960</wp:posOffset>
            </wp:positionV>
            <wp:extent cx="8572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-3616960</wp:posOffset>
            </wp:positionV>
            <wp:extent cx="8572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-2673985</wp:posOffset>
            </wp:positionV>
            <wp:extent cx="8572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-2673985</wp:posOffset>
            </wp:positionV>
            <wp:extent cx="8572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-1585595</wp:posOffset>
            </wp:positionV>
            <wp:extent cx="8572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-1585595</wp:posOffset>
            </wp:positionV>
            <wp:extent cx="85725"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-1268095</wp:posOffset>
            </wp:positionV>
            <wp:extent cx="8572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-1268095</wp:posOffset>
            </wp:positionV>
            <wp:extent cx="85725"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8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Synlogic, Inc., together with its wholly owned and consolidated subsidiaries (Synlogic or the Company), is a clinical-stage biopharmaceutical company applying synthetic biology to the discovery and development of Synthetic Biotics. Synthetic Biotics are generated from Synlogic’s proprietary platform, leveraging a reproducible, modular approach to the generation of novel drug candidates that perform or deliver critical therapeutic functions. Synthetic Biotics are designed to metabolize a toxic substance, compensate for missing or damaged metabolic pathways or deliver combinations of therapeutic factors. Synlogic’s goal is to discover, develop and ultimately commercialize Synthetic Biotics. Since incorporation, the Company has devoted substantially all of its efforts to the research and development of its product candidates.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At June 30, 2023, the Company had approximately $46.3 million in cash and cash equivalents, $1.1 million of restricted cash and an accumulated deficit of approximately $387.7 million. Since its inception through June 30, 2023, the Company has primarily financed its operations through the issuance of preferred stock, units and warrants, the sale of its common stock, and collaborations, including with Roche. In the absence of positive cash flows from operations, the Company is highly dependent on its ability to find additional sources of funding in the form of debt or equity financing. Management believes that the Company has sufficient cash and other sources of liquidity, including cash equivalents, to fund its operations through at least twelve months from the date of issuance of these financial statements.</w:t>
      </w:r>
    </w:p>
    <w:p>
      <w:pPr>
        <w:spacing w:after="0" w:line="192" w:lineRule="exact"/>
        <w:rPr>
          <w:sz w:val="20"/>
          <w:szCs w:val="20"/>
          <w:color w:val="auto"/>
        </w:rPr>
      </w:pPr>
    </w:p>
    <w:p>
      <w:pPr>
        <w:ind w:right="100" w:firstLine="509"/>
        <w:spacing w:after="0" w:line="268" w:lineRule="auto"/>
        <w:rPr>
          <w:sz w:val="20"/>
          <w:szCs w:val="20"/>
          <w:color w:val="auto"/>
        </w:rPr>
      </w:pPr>
      <w:r>
        <w:rPr>
          <w:rFonts w:ascii="Arial" w:cs="Arial" w:eastAsia="Arial" w:hAnsi="Arial"/>
          <w:sz w:val="17"/>
          <w:szCs w:val="17"/>
          <w:color w:val="auto"/>
        </w:rPr>
        <w:t>As a clinical-stage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alliances.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While the Company is not aware of a material impact from the continuation of the COVID-19 pandemic through June 30, 2023, the full extent to which the COVID-19 pandemic will directly or indirectly impact the Company’s business, results of operations, and financial condition, including expenses and manufacturing, clinical trials, and research and development costs, depends on future developments that are uncertain at this time.</w:t>
      </w:r>
    </w:p>
    <w:p>
      <w:pPr>
        <w:spacing w:after="0" w:line="253"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jc w:val="both"/>
        <w:ind w:right="120" w:firstLine="509"/>
        <w:spacing w:after="0" w:line="311" w:lineRule="auto"/>
        <w:rPr>
          <w:sz w:val="20"/>
          <w:szCs w:val="20"/>
          <w:color w:val="auto"/>
        </w:rPr>
      </w:pPr>
      <w:r>
        <w:rPr>
          <w:rFonts w:ascii="Arial" w:cs="Arial" w:eastAsia="Arial" w:hAnsi="Arial"/>
          <w:sz w:val="16"/>
          <w:szCs w:val="16"/>
          <w:color w:val="auto"/>
        </w:rPr>
        <w:t>The significant accounting policies described in the Company’s audited financial statements as of and for the year ended December 31, 2022, and the notes thereto, which are included in the Company’s Annual Report on Form 10-K for the year ended December 31, 2022, filed with the Securities and Exchange Commission (SEC) on March 29, 2023 (the 2022 Annual Report), have had no material changes during the six months ended June 30, 2023.</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The accompanying consolidated financial statements and the related disclosures as of June 30, 2023 and for the three and six months ended June 30, 2023 and 2022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consolidated financial statements should be read in conjunction with the Company’s 2022 and 2021 audited consolidated financial statements and notes included in the 2022 Annual Report. The consolidated balance sheet as of December 31, 2022 included herein was derived from the audited financial 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and six months ended June 30, 2023 and 2022. The results of operations for the interim periods are not necessarily indicative of the results to be expected for the year ending December 31, 2023 or any other interim period or future year or period.</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1" w:lineRule="exact"/>
        <w:rPr>
          <w:sz w:val="20"/>
          <w:szCs w:val="20"/>
          <w:color w:val="auto"/>
        </w:rPr>
      </w:pPr>
    </w:p>
    <w:p>
      <w:pPr>
        <w:ind w:right="640" w:firstLine="562"/>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1"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New accounting pronouncements are issued by the Financial Accounting Standards Board (FASB) from time to time, and rules are issued by the SEC that the Company has or will adopt as of a specified date. Unless otherwise noted, management does not believe that any recently issued accounting pronouncements issued by the FASB or guidance issued by the SEC had, or is expected to have, a material impact on the Company’s present or future financial statements.</w:t>
      </w:r>
    </w:p>
    <w:p>
      <w:pPr>
        <w:spacing w:after="0" w:line="318"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The tables below present information about the Company’s assets that are measured at fair value on a recurring basis and indicate the fair value hierarchy of the valuation techniques the Company utilized to determine such fair value, as described under Note 2</w:t>
      </w:r>
      <w:r>
        <w:rPr>
          <w:rFonts w:ascii="Arial" w:cs="Arial" w:eastAsia="Arial" w:hAnsi="Arial"/>
          <w:sz w:val="18"/>
          <w:szCs w:val="18"/>
          <w:i w:val="1"/>
          <w:iCs w:val="1"/>
          <w:color w:val="auto"/>
        </w:rPr>
        <w:t>,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audited financial statements included in the 2022 Annual Report.</w:t>
      </w:r>
    </w:p>
    <w:p>
      <w:pPr>
        <w:spacing w:after="0" w:line="184"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 w:name="page10"/>
    <w:bookmarkEnd w:id="9"/>
    <w:p>
      <w:pPr>
        <w:ind w:left="520"/>
        <w:spacing w:after="0"/>
        <w:rPr>
          <w:sz w:val="20"/>
          <w:szCs w:val="20"/>
          <w:color w:val="auto"/>
        </w:rPr>
      </w:pPr>
      <w:r>
        <w:rPr>
          <w:rFonts w:ascii="Arial" w:cs="Arial" w:eastAsia="Arial" w:hAnsi="Arial"/>
          <w:sz w:val="16"/>
          <w:szCs w:val="16"/>
          <w:color w:val="auto"/>
        </w:rPr>
        <w:t>At June 30, 2023 and December 31, 2022, the Company has classified assets measured at fair value on a recurring basis as follows (in thousands):</w:t>
      </w: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w w:val="98"/>
              </w:rPr>
              <w:t>Fair Value Measurements at Reporting Date Using</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Active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Significant Other</w:t>
            </w:r>
          </w:p>
        </w:tc>
        <w:tc>
          <w:tcPr>
            <w:tcW w:w="220" w:type="dxa"/>
            <w:vAlign w:val="bottom"/>
          </w:tcPr>
          <w:p>
            <w:pPr>
              <w:spacing w:after="0"/>
              <w:rPr>
                <w:sz w:val="12"/>
                <w:szCs w:val="12"/>
                <w:color w:val="auto"/>
              </w:rPr>
            </w:pPr>
          </w:p>
        </w:tc>
        <w:tc>
          <w:tcPr>
            <w:tcW w:w="110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8"/>
              </w:rPr>
              <w:t>Identical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41"/>
              <w:spacing w:after="0"/>
              <w:rPr>
                <w:sz w:val="20"/>
                <w:szCs w:val="20"/>
                <w:color w:val="auto"/>
              </w:rPr>
            </w:pPr>
            <w:r>
              <w:rPr>
                <w:rFonts w:ascii="Arial" w:cs="Arial" w:eastAsia="Arial" w:hAnsi="Arial"/>
                <w:sz w:val="14"/>
                <w:szCs w:val="14"/>
                <w:b w:val="1"/>
                <w:bCs w:val="1"/>
                <w:color w:val="auto"/>
                <w:w w:val="87"/>
              </w:rPr>
              <w:t>Assets</w:t>
            </w:r>
          </w:p>
        </w:tc>
        <w:tc>
          <w:tcPr>
            <w:tcW w:w="280" w:type="dxa"/>
            <w:vAlign w:val="bottom"/>
          </w:tcPr>
          <w:p>
            <w:pPr>
              <w:spacing w:after="0"/>
              <w:rPr>
                <w:sz w:val="15"/>
                <w:szCs w:val="15"/>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Observable Inputs</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Unobservable Inputs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60" w:type="dxa"/>
            <w:vAlign w:val="bottom"/>
            <w:gridSpan w:val="2"/>
          </w:tcPr>
          <w:p>
            <w:pPr>
              <w:ind w:left="150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6"/>
                <w:szCs w:val="16"/>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2023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(Level 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10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40,270</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40,270</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60" w:type="dxa"/>
            <w:vAlign w:val="bottom"/>
            <w:gridSpan w:val="2"/>
          </w:tcPr>
          <w:p>
            <w:pPr>
              <w:spacing w:after="0"/>
              <w:rPr>
                <w:sz w:val="20"/>
                <w:szCs w:val="20"/>
                <w:color w:val="auto"/>
              </w:rPr>
            </w:pPr>
            <w:r>
              <w:rPr>
                <w:rFonts w:ascii="Arial" w:cs="Arial" w:eastAsia="Arial" w:hAnsi="Arial"/>
                <w:sz w:val="18"/>
                <w:szCs w:val="18"/>
                <w:color w:val="auto"/>
              </w:rPr>
              <w:t>Commercial paper (included in cash and cash</w:t>
            </w:r>
          </w:p>
        </w:tc>
        <w:tc>
          <w:tcPr>
            <w:tcW w:w="18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5,991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5,991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restart"/>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46,261</w:t>
            </w:r>
          </w:p>
        </w:tc>
        <w:tc>
          <w:tcPr>
            <w:tcW w:w="2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40,270</w:t>
            </w:r>
          </w:p>
        </w:tc>
        <w:tc>
          <w:tcPr>
            <w:tcW w:w="2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5,991</w:t>
            </w:r>
          </w:p>
        </w:tc>
        <w:tc>
          <w:tcPr>
            <w:tcW w:w="2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w w:val="98"/>
              </w:rPr>
              <w:t>Fair Value Measurements at Reporting Date Using</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Active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Significant Other</w:t>
            </w:r>
          </w:p>
        </w:tc>
        <w:tc>
          <w:tcPr>
            <w:tcW w:w="220" w:type="dxa"/>
            <w:vAlign w:val="bottom"/>
          </w:tcPr>
          <w:p>
            <w:pPr>
              <w:spacing w:after="0"/>
              <w:rPr>
                <w:sz w:val="12"/>
                <w:szCs w:val="12"/>
                <w:color w:val="auto"/>
              </w:rPr>
            </w:pPr>
          </w:p>
        </w:tc>
        <w:tc>
          <w:tcPr>
            <w:tcW w:w="110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8"/>
              </w:rPr>
              <w:t>Identical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41"/>
              <w:spacing w:after="0"/>
              <w:rPr>
                <w:sz w:val="20"/>
                <w:szCs w:val="20"/>
                <w:color w:val="auto"/>
              </w:rPr>
            </w:pPr>
            <w:r>
              <w:rPr>
                <w:rFonts w:ascii="Arial" w:cs="Arial" w:eastAsia="Arial" w:hAnsi="Arial"/>
                <w:sz w:val="14"/>
                <w:szCs w:val="14"/>
                <w:b w:val="1"/>
                <w:bCs w:val="1"/>
                <w:color w:val="auto"/>
                <w:w w:val="87"/>
              </w:rPr>
              <w:t>Assets</w:t>
            </w:r>
          </w:p>
        </w:tc>
        <w:tc>
          <w:tcPr>
            <w:tcW w:w="280" w:type="dxa"/>
            <w:vAlign w:val="bottom"/>
          </w:tcPr>
          <w:p>
            <w:pPr>
              <w:spacing w:after="0"/>
              <w:rPr>
                <w:sz w:val="15"/>
                <w:szCs w:val="15"/>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Observable Inputs</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Unobservable Inputs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60" w:type="dxa"/>
            <w:vAlign w:val="bottom"/>
            <w:gridSpan w:val="2"/>
          </w:tcPr>
          <w:p>
            <w:pPr>
              <w:ind w:left="150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6"/>
                <w:szCs w:val="16"/>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(Level 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10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6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44,375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44,375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U.S. treasuries</w:t>
            </w:r>
          </w:p>
        </w:tc>
        <w:tc>
          <w:tcPr>
            <w:tcW w:w="1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17,393</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17,393</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77,629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33,254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44,375</w:t>
            </w:r>
          </w:p>
        </w:tc>
        <w:tc>
          <w:tcPr>
            <w:tcW w:w="2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-1559560</wp:posOffset>
            </wp:positionV>
            <wp:extent cx="3120390" cy="908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20390" cy="90868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-187960</wp:posOffset>
            </wp:positionV>
            <wp:extent cx="7747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-187960</wp:posOffset>
            </wp:positionV>
            <wp:extent cx="8572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-187960</wp:posOffset>
            </wp:positionV>
            <wp:extent cx="7683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09"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Cash equivalents, prepaid expenses and other current assets, accounts payable and accrued expenses at June 30, 2023 and December 31, 2022 are carried at amounts that approximate fair value due to their short-term maturities. Finance lease obligations at June 30, 2023 and December 31, 2022 approximate fair value as they bear interest at a rate approximating a market interest rate.</w:t>
      </w:r>
    </w:p>
    <w:p>
      <w:pPr>
        <w:spacing w:after="0" w:line="251"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The following tables summarize the estimated fair value of the assets measured at fair value and the gross unrealized holding gains and losses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8"/>
              </w:rPr>
              <w:t>Amortized Cost</w:t>
            </w:r>
          </w:p>
        </w:tc>
        <w:tc>
          <w:tcPr>
            <w:tcW w:w="320" w:type="dxa"/>
            <w:vAlign w:val="bottom"/>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Gross unrealized gains</w:t>
            </w:r>
          </w:p>
        </w:tc>
        <w:tc>
          <w:tcPr>
            <w:tcW w:w="300" w:type="dxa"/>
            <w:vAlign w:val="bottom"/>
          </w:tcPr>
          <w:p>
            <w:pPr>
              <w:spacing w:after="0"/>
              <w:rPr>
                <w:sz w:val="16"/>
                <w:szCs w:val="16"/>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8"/>
              </w:rPr>
              <w:t>Gross unrealized losses</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40,270</w:t>
            </w:r>
          </w:p>
        </w:tc>
        <w:tc>
          <w:tcPr>
            <w:tcW w:w="320" w:type="dxa"/>
            <w:vAlign w:val="bottom"/>
            <w:shd w:val="clear" w:color="auto" w:fill="CFF0FC"/>
          </w:tcPr>
          <w:p>
            <w:pPr>
              <w:spacing w:after="0"/>
              <w:rPr>
                <w:sz w:val="20"/>
                <w:szCs w:val="20"/>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40,270</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20"/>
              <w:spacing w:after="0"/>
              <w:rPr>
                <w:sz w:val="20"/>
                <w:szCs w:val="20"/>
                <w:color w:val="auto"/>
              </w:rPr>
            </w:pPr>
            <w:r>
              <w:rPr>
                <w:rFonts w:ascii="Arial" w:cs="Arial" w:eastAsia="Arial" w:hAnsi="Arial"/>
                <w:sz w:val="18"/>
                <w:szCs w:val="18"/>
                <w:color w:val="auto"/>
              </w:rPr>
              <w:t>Commercial paper (included in cash and cash</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5,989</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vMerge w:val="restart"/>
          </w:tcPr>
          <w:p>
            <w:pPr>
              <w:ind w:left="580"/>
              <w:spacing w:after="0"/>
              <w:rPr>
                <w:sz w:val="20"/>
                <w:szCs w:val="20"/>
                <w:color w:val="auto"/>
              </w:rPr>
            </w:pPr>
            <w:r>
              <w:rPr>
                <w:rFonts w:ascii="Arial" w:cs="Arial" w:eastAsia="Arial" w:hAnsi="Arial"/>
                <w:sz w:val="18"/>
                <w:szCs w:val="18"/>
                <w:color w:val="auto"/>
                <w:w w:val="99"/>
              </w:rPr>
              <w:t>—</w:t>
            </w:r>
          </w:p>
        </w:tc>
        <w:tc>
          <w:tcPr>
            <w:tcW w:w="5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5,991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equivalents)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46,259</w:t>
            </w:r>
          </w:p>
        </w:tc>
        <w:tc>
          <w:tcPr>
            <w:tcW w:w="32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46,261</w:t>
            </w:r>
          </w:p>
        </w:tc>
        <w:tc>
          <w:tcPr>
            <w:tcW w:w="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8"/>
              </w:rPr>
              <w:t>Amortized Cost</w:t>
            </w:r>
          </w:p>
        </w:tc>
        <w:tc>
          <w:tcPr>
            <w:tcW w:w="320" w:type="dxa"/>
            <w:vAlign w:val="bottom"/>
          </w:tcPr>
          <w:p>
            <w:pPr>
              <w:spacing w:after="0"/>
              <w:rPr>
                <w:sz w:val="24"/>
                <w:szCs w:val="24"/>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Gross unrealized gains</w:t>
            </w:r>
          </w:p>
        </w:tc>
        <w:tc>
          <w:tcPr>
            <w:tcW w:w="300" w:type="dxa"/>
            <w:vAlign w:val="bottom"/>
          </w:tcPr>
          <w:p>
            <w:pPr>
              <w:spacing w:after="0"/>
              <w:rPr>
                <w:sz w:val="24"/>
                <w:szCs w:val="24"/>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8"/>
              </w:rPr>
              <w:t>Gross unrealized losses</w:t>
            </w: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320" w:type="dxa"/>
            <w:vAlign w:val="bottom"/>
            <w:shd w:val="clear" w:color="auto" w:fill="CFF0FC"/>
          </w:tcPr>
          <w:p>
            <w:pPr>
              <w:spacing w:after="0"/>
              <w:rPr>
                <w:sz w:val="20"/>
                <w:szCs w:val="20"/>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44,375</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treasuries</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17,393</w:t>
            </w:r>
          </w:p>
        </w:tc>
        <w:tc>
          <w:tcPr>
            <w:tcW w:w="3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17,393</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77,629</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77,629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-951230</wp:posOffset>
            </wp:positionV>
            <wp:extent cx="3463290" cy="300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63290" cy="3003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-187960</wp:posOffset>
            </wp:positionV>
            <wp:extent cx="85725"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-187960</wp:posOffset>
            </wp:positionV>
            <wp:extent cx="76835"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8572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Securities</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available-for-sale securities held at June 30, 2023 and December 31, 2022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Amortized 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Gross unrealized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1"/>
              </w:rPr>
              <w:t>Gross unrealized</w:t>
            </w:r>
          </w:p>
        </w:tc>
        <w:tc>
          <w:tcPr>
            <w:tcW w:w="220" w:type="dxa"/>
            <w:vAlign w:val="bottom"/>
          </w:tcPr>
          <w:p>
            <w:pPr>
              <w:spacing w:after="0"/>
              <w:rPr>
                <w:sz w:val="14"/>
                <w:szCs w:val="14"/>
                <w:color w:val="auto"/>
              </w:rPr>
            </w:pPr>
          </w:p>
        </w:tc>
        <w:tc>
          <w:tcPr>
            <w:tcW w:w="11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gains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U.S. treasuries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Amortized cost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Gross unrealized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1"/>
              </w:rPr>
              <w:t>Gross unrealized</w:t>
            </w:r>
          </w:p>
        </w:tc>
        <w:tc>
          <w:tcPr>
            <w:tcW w:w="220" w:type="dxa"/>
            <w:vAlign w:val="bottom"/>
          </w:tcPr>
          <w:p>
            <w:pPr>
              <w:spacing w:after="0"/>
              <w:rPr>
                <w:sz w:val="24"/>
                <w:szCs w:val="24"/>
                <w:color w:val="auto"/>
              </w:rPr>
            </w:pPr>
          </w:p>
        </w:tc>
        <w:tc>
          <w:tcPr>
            <w:tcW w:w="11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gains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44,437</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44,375</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U.S. treasuries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17,492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(99 )</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17,393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61,929</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61,768</w:t>
            </w:r>
          </w:p>
        </w:tc>
        <w:tc>
          <w:tcPr>
            <w:tcW w:w="12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-1370965</wp:posOffset>
            </wp:positionV>
            <wp:extent cx="3111500" cy="394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1500" cy="39433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-504825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-487680</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-504825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-487680</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-504825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-487680</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-504825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-487680</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 w:name="page11"/>
    <w:bookmarkEnd w:id="10"/>
    <w:p>
      <w:pPr>
        <w:ind w:firstLine="509"/>
        <w:spacing w:after="0" w:line="293" w:lineRule="auto"/>
        <w:rPr>
          <w:sz w:val="20"/>
          <w:szCs w:val="20"/>
          <w:color w:val="auto"/>
        </w:rPr>
      </w:pPr>
      <w:r>
        <w:rPr>
          <w:rFonts w:ascii="Arial" w:cs="Arial" w:eastAsia="Arial" w:hAnsi="Arial"/>
          <w:sz w:val="16"/>
          <w:szCs w:val="16"/>
          <w:color w:val="auto"/>
        </w:rPr>
        <w:t>The Company held no short-term marketable securities at June 30, 2023. There were fifteen investments in an unrealized loss position at December 31, 2022, none of which had been in an unrealized loss position for more than twelve months. The aggregate fair value of the securities in an unrealized loss position at December 31, 2022 was $36.6 million.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Gross realized gains and losses on the sales of investments have not been material to the Company’s consolidated statement of operations.</w:t>
      </w:r>
    </w:p>
    <w:p>
      <w:pPr>
        <w:spacing w:after="0" w:line="341"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netrisks and uncer</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 (in thousands):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9,333</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9,313</w:t>
            </w:r>
          </w:p>
        </w:tc>
        <w:tc>
          <w:tcPr>
            <w:tcW w:w="100" w:type="dxa"/>
            <w:vAlign w:val="bottom"/>
            <w:shd w:val="clear" w:color="auto" w:fill="CFF0FC"/>
          </w:tcPr>
          <w:p>
            <w:pPr>
              <w:spacing w:after="0"/>
              <w:rPr>
                <w:sz w:val="20"/>
                <w:szCs w:val="20"/>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0"/>
                <w:szCs w:val="20"/>
                <w:color w:val="auto"/>
              </w:rPr>
            </w:pPr>
          </w:p>
        </w:tc>
      </w:tr>
      <w:tr>
        <w:trPr>
          <w:trHeight w:val="24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21"/>
                <w:szCs w:val="2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9,820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9,820</w:t>
            </w:r>
          </w:p>
        </w:tc>
        <w:tc>
          <w:tcPr>
            <w:tcW w:w="100" w:type="dxa"/>
            <w:vAlign w:val="bottom"/>
          </w:tcPr>
          <w:p>
            <w:pPr>
              <w:spacing w:after="0"/>
              <w:rPr>
                <w:sz w:val="20"/>
                <w:szCs w:val="20"/>
                <w:color w:val="auto"/>
              </w:rPr>
            </w:pPr>
          </w:p>
        </w:tc>
      </w:tr>
      <w:tr>
        <w:trPr>
          <w:trHeight w:val="243"/>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20,597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20,463</w:t>
            </w:r>
          </w:p>
        </w:tc>
        <w:tc>
          <w:tcPr>
            <w:tcW w:w="100" w:type="dxa"/>
            <w:vAlign w:val="bottom"/>
          </w:tcPr>
          <w:p>
            <w:pPr>
              <w:spacing w:after="0"/>
              <w:rPr>
                <w:sz w:val="20"/>
                <w:szCs w:val="20"/>
                <w:color w:val="auto"/>
              </w:rPr>
            </w:pPr>
          </w:p>
        </w:tc>
      </w:tr>
      <w:tr>
        <w:trPr>
          <w:trHeight w:val="24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(14,199 )</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(13,140 )</w:t>
            </w:r>
          </w:p>
        </w:tc>
      </w:tr>
      <w:tr>
        <w:trPr>
          <w:trHeight w:val="236"/>
        </w:trPr>
        <w:tc>
          <w:tcPr>
            <w:tcW w:w="52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6,398</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7,323</w:t>
            </w:r>
          </w:p>
        </w:tc>
        <w:tc>
          <w:tcPr>
            <w:tcW w:w="100" w:type="dxa"/>
            <w:vAlign w:val="bottom"/>
            <w:tcBorders>
              <w:top w:val="single" w:sz="8" w:color="CFF0FC"/>
            </w:tcBorders>
          </w:tcPr>
          <w:p>
            <w:pPr>
              <w:spacing w:after="0"/>
              <w:rPr>
                <w:sz w:val="20"/>
                <w:szCs w:val="20"/>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-505460</wp:posOffset>
            </wp:positionV>
            <wp:extent cx="6858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-505460</wp:posOffset>
            </wp:positionV>
            <wp:extent cx="5969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-187960</wp:posOffset>
            </wp:positionV>
            <wp:extent cx="6858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99"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5"/>
                <w:szCs w:val="15"/>
                <w:color w:val="auto"/>
              </w:rPr>
            </w:pPr>
          </w:p>
        </w:tc>
      </w:tr>
      <w:tr>
        <w:trPr>
          <w:trHeight w:val="185"/>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Payroll related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w:t>
            </w:r>
          </w:p>
        </w:tc>
        <w:tc>
          <w:tcPr>
            <w:tcW w:w="100" w:type="dxa"/>
            <w:vAlign w:val="bottom"/>
            <w:shd w:val="clear" w:color="auto" w:fill="CFF0FC"/>
          </w:tcPr>
          <w:p>
            <w:pPr>
              <w:spacing w:after="0"/>
              <w:rPr>
                <w:sz w:val="20"/>
                <w:szCs w:val="20"/>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r>
      <w:tr>
        <w:trPr>
          <w:trHeight w:val="276"/>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3,543</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59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26"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 xml:space="preserve">In June 2019, the Company issued to Ginkgo Bioworks, Inc. (Ginkgo) an aggregate of 6,340,771 shares of common stock at a purchase price per share of $9.00, and pre-funded warrants (the Pre-Funded Warrants) to purchase up to an aggregate of 2,548,117 shares of common stock at an exercise price of $9.00 per share, with $8.99 of such exercise price paid at the closing of the offering. The net proceeds to the Company were approximately $79.9 million. None of the Pre-Funded Warrants have been exercised as of June 30, 2023. (See Note 9, </w:t>
      </w:r>
      <w:r>
        <w:rPr>
          <w:rFonts w:ascii="Arial" w:cs="Arial" w:eastAsia="Arial" w:hAnsi="Arial"/>
          <w:sz w:val="16"/>
          <w:szCs w:val="16"/>
          <w:i w:val="1"/>
          <w:iCs w:val="1"/>
          <w:color w:val="auto"/>
        </w:rPr>
        <w:t>Collaboration Agreements</w:t>
      </w:r>
      <w:r>
        <w:rPr>
          <w:rFonts w:ascii="Arial" w:cs="Arial" w:eastAsia="Arial" w:hAnsi="Arial"/>
          <w:sz w:val="16"/>
          <w:szCs w:val="16"/>
          <w:color w:val="auto"/>
        </w:rPr>
        <w:t xml:space="preserve">: </w:t>
      </w:r>
      <w:r>
        <w:rPr>
          <w:rFonts w:ascii="Arial" w:cs="Arial" w:eastAsia="Arial" w:hAnsi="Arial"/>
          <w:sz w:val="16"/>
          <w:szCs w:val="16"/>
          <w:i w:val="1"/>
          <w:iCs w:val="1"/>
          <w:color w:val="auto"/>
        </w:rPr>
        <w:t>Ginkgo Collaboration</w:t>
      </w:r>
      <w:r>
        <w:rPr>
          <w:rFonts w:ascii="Arial" w:cs="Arial" w:eastAsia="Arial" w:hAnsi="Arial"/>
          <w:sz w:val="16"/>
          <w:szCs w:val="16"/>
          <w:color w:val="auto"/>
        </w:rPr>
        <w:t>).</w:t>
      </w:r>
    </w:p>
    <w:p>
      <w:pPr>
        <w:spacing w:after="0" w:line="157"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In July 2021, the Company entered into a sales agreement with Jefferies, LLC (Jefferies) with respect to an at-the-market (ATM) offering program. In an ATM offering, exchange-listed companies incrementally sell newly issued shares into the secondary trading market through a designated broker-dealer at prevailing market prices. Under the ATM offering program, the Company may offer and sell, from time to time at its sole discretion, shares of its common stock having aggregate sales proceeds of up to $50.0 million. Jefferies is not required to sell any specific amount but acts as the Company’s sales agent using commercially reasonable efforts consistent with its normal trading and sales practices. During the six months ended June 30, 2023, 1,739,487 shares of common stock were sold pursuant to the sales agreement with Jefferies, resulting in net proceeds of approximately $1.25 million.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1" w:name="page12"/>
    <w:bookmarkEnd w:id="11"/>
    <w:p>
      <w:pPr>
        <w:ind w:right="440" w:firstLine="509"/>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exercise of Pre-Funded Warrants, exercise of stock options, and the employee stock purchase plan:</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2920" w:type="dxa"/>
            <w:vAlign w:val="bottom"/>
            <w:tcBorders>
              <w:bottom w:val="single" w:sz="8" w:color="auto"/>
            </w:tcBorders>
          </w:tcPr>
          <w:p>
            <w:pPr>
              <w:jc w:val="right"/>
              <w:ind w:right="1014"/>
              <w:spacing w:after="0"/>
              <w:rPr>
                <w:sz w:val="20"/>
                <w:szCs w:val="20"/>
                <w:color w:val="auto"/>
              </w:rPr>
            </w:pPr>
            <w:r>
              <w:rPr>
                <w:rFonts w:ascii="Arial" w:cs="Arial" w:eastAsia="Arial" w:hAnsi="Arial"/>
                <w:sz w:val="14"/>
                <w:szCs w:val="14"/>
                <w:b w:val="1"/>
                <w:bCs w:val="1"/>
                <w:color w:val="auto"/>
              </w:rPr>
              <w:t>June 30, 2023</w:t>
            </w:r>
          </w:p>
        </w:tc>
      </w:tr>
      <w:tr>
        <w:trPr>
          <w:trHeight w:val="237"/>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issuable under pre-funded warrants</w:t>
            </w:r>
          </w:p>
        </w:tc>
        <w:tc>
          <w:tcPr>
            <w:tcW w:w="29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2,548,117</w:t>
            </w:r>
          </w:p>
        </w:tc>
      </w:tr>
      <w:tr>
        <w:trPr>
          <w:trHeight w:val="237"/>
        </w:trPr>
        <w:tc>
          <w:tcPr>
            <w:tcW w:w="6080" w:type="dxa"/>
            <w:vAlign w:val="bottom"/>
          </w:tcPr>
          <w:p>
            <w:pPr>
              <w:ind w:left="20"/>
              <w:spacing w:after="0"/>
              <w:rPr>
                <w:sz w:val="20"/>
                <w:szCs w:val="20"/>
                <w:color w:val="auto"/>
              </w:rPr>
            </w:pPr>
            <w:r>
              <w:rPr>
                <w:rFonts w:ascii="Arial" w:cs="Arial" w:eastAsia="Arial" w:hAnsi="Arial"/>
                <w:sz w:val="18"/>
                <w:szCs w:val="18"/>
                <w:color w:val="auto"/>
              </w:rPr>
              <w:t>Options exercisable to purchase common stock</w:t>
            </w:r>
          </w:p>
        </w:tc>
        <w:tc>
          <w:tcPr>
            <w:tcW w:w="2920" w:type="dxa"/>
            <w:vAlign w:val="bottom"/>
          </w:tcPr>
          <w:p>
            <w:pPr>
              <w:jc w:val="right"/>
              <w:ind w:right="54"/>
              <w:spacing w:after="0"/>
              <w:rPr>
                <w:sz w:val="20"/>
                <w:szCs w:val="20"/>
                <w:color w:val="auto"/>
              </w:rPr>
            </w:pPr>
            <w:r>
              <w:rPr>
                <w:rFonts w:ascii="Arial" w:cs="Arial" w:eastAsia="Arial" w:hAnsi="Arial"/>
                <w:sz w:val="18"/>
                <w:szCs w:val="18"/>
                <w:color w:val="auto"/>
              </w:rPr>
              <w:t>4,230,915</w:t>
            </w:r>
          </w:p>
        </w:tc>
      </w:tr>
      <w:tr>
        <w:trPr>
          <w:trHeight w:val="243"/>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29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40,731</w:t>
            </w: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Total</w:t>
            </w:r>
          </w:p>
        </w:tc>
        <w:tc>
          <w:tcPr>
            <w:tcW w:w="2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6,819,763</w:t>
            </w:r>
          </w:p>
        </w:tc>
      </w:tr>
      <w:tr>
        <w:trPr>
          <w:trHeight w:val="20"/>
        </w:trPr>
        <w:tc>
          <w:tcPr>
            <w:tcW w:w="6080" w:type="dxa"/>
            <w:vAlign w:val="bottom"/>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Equity based Compensation</w:t>
      </w:r>
    </w:p>
    <w:p>
      <w:pPr>
        <w:spacing w:after="0" w:line="121"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On January 1, 2023, the number of shares of common stock available for issuance under the 2015 Equity Incentive Award Plan (the 2015 Plan) and the 2015 Employee Stock Purchase Plan (ESPP) was increased by 3,336,812 shares and 667,362 shares, respectively, due to the annual evergreen provision to increase shares available under the 2015 Plan and the ESPP. As of June 30, 2023, there were an aggregate of 2,112,887 shares available for future grant under the 2017 Stock Incentive Plan (the 2017 Plan) and the 2015 Plan, and 1,832,565 shares available for future grant under the ESPP.</w:t>
      </w:r>
    </w:p>
    <w:p>
      <w:pPr>
        <w:spacing w:after="0" w:line="157" w:lineRule="exact"/>
        <w:rPr>
          <w:sz w:val="20"/>
          <w:szCs w:val="20"/>
          <w:color w:val="auto"/>
        </w:rPr>
      </w:pPr>
    </w:p>
    <w:p>
      <w:pPr>
        <w:ind w:right="1040" w:firstLine="509"/>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within the Company’s consolidated statements of operations and comprehensive loss for the three and six months ended June 30, 2023 and 2022 (in thousands):</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0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r>
      <w:tr>
        <w:trPr>
          <w:trHeight w:val="169"/>
        </w:trPr>
        <w:tc>
          <w:tcPr>
            <w:tcW w:w="308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4"/>
                <w:szCs w:val="14"/>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6"/>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3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5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3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CFF0FC"/>
          </w:tcPr>
          <w:p>
            <w:pPr>
              <w:spacing w:after="0"/>
              <w:rPr>
                <w:sz w:val="20"/>
                <w:szCs w:val="20"/>
                <w:color w:val="auto"/>
              </w:rPr>
            </w:pPr>
          </w:p>
        </w:tc>
      </w:tr>
      <w:tr>
        <w:trPr>
          <w:trHeight w:val="237"/>
        </w:trPr>
        <w:tc>
          <w:tcPr>
            <w:tcW w:w="3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3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0"/>
                <w:szCs w:val="20"/>
                <w:color w:val="auto"/>
              </w:rPr>
            </w:pPr>
          </w:p>
        </w:tc>
      </w:tr>
      <w:tr>
        <w:trPr>
          <w:trHeight w:val="276"/>
        </w:trPr>
        <w:tc>
          <w:tcPr>
            <w:tcW w:w="30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3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5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3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-24765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-24765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9" w:lineRule="exact"/>
        <w:rPr>
          <w:sz w:val="20"/>
          <w:szCs w:val="20"/>
          <w:color w:val="auto"/>
        </w:rPr>
      </w:pPr>
    </w:p>
    <w:p>
      <w:pPr>
        <w:ind w:right="180" w:firstLine="509"/>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by type of award for the three and six months ended June 30, 2023 and 2022 (in thousands):</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r>
      <w:tr>
        <w:trPr>
          <w:trHeight w:val="169"/>
        </w:trPr>
        <w:tc>
          <w:tcPr>
            <w:tcW w:w="310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4"/>
                <w:szCs w:val="14"/>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30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5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3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FF0FC"/>
          </w:tcPr>
          <w:p>
            <w:pPr>
              <w:spacing w:after="0"/>
              <w:rPr>
                <w:sz w:val="20"/>
                <w:szCs w:val="20"/>
                <w:color w:val="auto"/>
              </w:rPr>
            </w:pPr>
          </w:p>
        </w:tc>
      </w:tr>
      <w:tr>
        <w:trPr>
          <w:trHeight w:val="237"/>
        </w:trPr>
        <w:tc>
          <w:tcPr>
            <w:tcW w:w="310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113</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r>
      <w:tr>
        <w:trPr>
          <w:trHeight w:val="243"/>
        </w:trPr>
        <w:tc>
          <w:tcPr>
            <w:tcW w:w="3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ESPP</w:t>
            </w:r>
          </w:p>
        </w:tc>
        <w:tc>
          <w:tcPr>
            <w:tcW w:w="10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5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3100" w:type="dxa"/>
            <w:vAlign w:val="bottom"/>
          </w:tcPr>
          <w:p>
            <w:pPr>
              <w:spacing w:after="0"/>
              <w:rPr>
                <w:sz w:val="20"/>
                <w:szCs w:val="20"/>
                <w:color w:val="auto"/>
              </w:rPr>
            </w:pP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645</w:t>
            </w:r>
          </w:p>
        </w:tc>
        <w:tc>
          <w:tcPr>
            <w:tcW w:w="13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977</w:t>
            </w:r>
          </w:p>
        </w:tc>
        <w:tc>
          <w:tcPr>
            <w:tcW w:w="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1,363</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0"/>
                <w:szCs w:val="20"/>
                <w:color w:val="auto"/>
              </w:rPr>
            </w:pPr>
          </w:p>
        </w:tc>
      </w:tr>
      <w:tr>
        <w:trPr>
          <w:trHeight w:val="20"/>
        </w:trPr>
        <w:tc>
          <w:tcPr>
            <w:tcW w:w="3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-187960</wp:posOffset>
            </wp:positionV>
            <wp:extent cx="7747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-187960</wp:posOffset>
            </wp:positionV>
            <wp:extent cx="7747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7747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During the six months ended June 30, 2023, the Company granted 4,431,630 stock options with a weighted average exercise price of $0.63. As of June 30, 2023, there was $4.5 million of unrecognized share-based compensation related to unvested stock option grants which is expected to be recognized over a weighted average period of 2.42 years. The total unrecognized share-based compensation cost will be adjusted for actual forfeitures as they occur.</w:t>
      </w:r>
    </w:p>
    <w:p>
      <w:pPr>
        <w:spacing w:after="0" w:line="18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During the six months ended June 30, 2023, the Company granted 162,210 restricted stock awards with a weighted average grant date fair value per share of $0.62. As of June 30, 2023, there was approximately $1.0 million of unrecognized share-based compensation related to restricted stock awards granted, which is expected to be recognized over a weighted average period of 2.5 years. The total unrecognized share-based compensation cost will be adjusted for actual forfeitures as they occur.</w:t>
      </w:r>
    </w:p>
    <w:p>
      <w:pPr>
        <w:spacing w:after="0" w:line="18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For a full description of the Company’s equity plans, refer to Note 9, Equity-based Compensation and Equity Incentive Plans in the 2022 Annual Report.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2" w:name="page13"/>
    <w:bookmarkEnd w:id="12"/>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Collaboration</w:t>
      </w:r>
    </w:p>
    <w:p>
      <w:pPr>
        <w:spacing w:after="0" w:line="117"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In June 2021, the Company entered into a Pilot Collaboration and Option Agreement (the Roche Collaboration and Option Agreement) with F. Hoffmann-La Roche Ltd (Roche Basel) and Hoffmann-La Roche Inc. (Roche US, and together with Roche Basel, Roche). Under the terms of the Roche Collaboration and Option Agreement, the Company and Roche will seek to collaborate to research and pre-clinically develop Synthetic Biotics for addressing an undisclosed novel target for the treatment of inflammatory bowel disease.</w:t>
      </w:r>
    </w:p>
    <w:p>
      <w:pPr>
        <w:spacing w:after="0" w:line="18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six months ended June 30, 2023 and 2022, the Company recognized $0.2 million and $0.4 million, respectively, as collaboration revenue associated with the Roche Collaboration and Option Agreement. Deferred revenue from the collaboration amounted to $0.7 million as of June 30, 2023, all of which is included in current liabilities.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a full description of the Roche Collaboration and Option Agreement, refer to Note 10, Collaboration Agreements in the 2022 Annual Report.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Ginkgo Collaboration</w:t>
      </w:r>
    </w:p>
    <w:p>
      <w:pPr>
        <w:spacing w:after="0" w:line="131"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In 2017, the Company established a technology collaboration with Ginkgo. In June 2019, the Company expanded its collaboration and entered into an agreement with Ginkgo for the research and development of engineered microbial therapeutic products (See Note 7). Under the 2019 expanded agreement, the Company made a prepayment to Ginkgo of $30.0 million for its foundry services that will be provided to the Company over an initial term of five years, which may be extended for an additional three (3) years, subject to the satisfaction of specified conditions. The prepayment of foundry services is recorded in Prepaid expenses and other current assets and Prepaid research and development, net of current portion on the June 30, 2023 consolidated balance sheet. At June 30, 2023, the Company had remaining balances of $1.6 million and $5.2 million of current and non-current prepaid research and development costs related to this transaction, respectively. Upon the expiration of such initial term and, if applicable, an additional term, any portion of the prepayment that has not been used to purchase services from Ginkgo will be retained by Ginkgo.</w:t>
      </w:r>
    </w:p>
    <w:p>
      <w:pPr>
        <w:spacing w:after="0" w:line="269"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 xml:space="preserve">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 In June 2019, the Company sold 6,340,771 shares of common stock and Pre-Funded Warrants to purchase an aggregate of 2,548,117 shares of common stock at an exercise price of $9.00 per share, with $8.99 of such exercise price paid at the closing of the offering (see Note 8,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and Note 10</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Collaborations: Ginkgo Collaboration, </w:t>
      </w:r>
      <w:r>
        <w:rPr>
          <w:rFonts w:ascii="Arial" w:cs="Arial" w:eastAsia="Arial" w:hAnsi="Arial"/>
          <w:sz w:val="16"/>
          <w:szCs w:val="16"/>
          <w:color w:val="auto"/>
        </w:rPr>
        <w:t>in the audited financial statements included in the 2022 Annual Report). The shares of common stock into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 warrants may be exercised are considered outstanding for the purposes of computing net loss per share.</w:t>
      </w:r>
    </w:p>
    <w:p>
      <w:pPr>
        <w:spacing w:after="0" w:line="166"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Company’s potentially dilutive shares, which include outstanding stock options, unvested restricted common stock and potential shares issuable under the ESPP, are considered to be common share equivalents and are only included in the calculation of diluted net loss per share when their effect is dilutive.</w:t>
      </w:r>
    </w:p>
    <w:p>
      <w:pPr>
        <w:spacing w:after="0" w:line="184" w:lineRule="exact"/>
        <w:rPr>
          <w:sz w:val="20"/>
          <w:szCs w:val="20"/>
          <w:color w:val="auto"/>
        </w:rPr>
      </w:pPr>
    </w:p>
    <w:p>
      <w:pPr>
        <w:ind w:right="380" w:firstLine="509"/>
        <w:spacing w:after="0" w:line="342" w:lineRule="auto"/>
        <w:rPr>
          <w:sz w:val="20"/>
          <w:szCs w:val="20"/>
          <w:color w:val="auto"/>
        </w:rPr>
      </w:pPr>
      <w:r>
        <w:rPr>
          <w:rFonts w:ascii="Arial" w:cs="Arial" w:eastAsia="Arial" w:hAnsi="Arial"/>
          <w:sz w:val="16"/>
          <w:szCs w:val="16"/>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156"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00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As of June 30,</w:t>
            </w:r>
          </w:p>
        </w:tc>
        <w:tc>
          <w:tcPr>
            <w:tcW w:w="1020" w:type="dxa"/>
            <w:vAlign w:val="bottom"/>
            <w:tcBorders>
              <w:bottom w:val="single" w:sz="8" w:color="auto"/>
            </w:tcBorders>
          </w:tcPr>
          <w:p>
            <w:pPr>
              <w:spacing w:after="0"/>
              <w:rPr>
                <w:sz w:val="16"/>
                <w:szCs w:val="16"/>
                <w:color w:val="auto"/>
              </w:rPr>
            </w:pPr>
          </w:p>
        </w:tc>
      </w:tr>
      <w:tr>
        <w:trPr>
          <w:trHeight w:val="169"/>
        </w:trPr>
        <w:tc>
          <w:tcPr>
            <w:tcW w:w="5980" w:type="dxa"/>
            <w:vAlign w:val="bottom"/>
          </w:tcPr>
          <w:p>
            <w:pPr>
              <w:spacing w:after="0"/>
              <w:rPr>
                <w:sz w:val="14"/>
                <w:szCs w:val="14"/>
                <w:color w:val="auto"/>
              </w:rPr>
            </w:pPr>
          </w:p>
        </w:tc>
        <w:tc>
          <w:tcPr>
            <w:tcW w:w="14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r>
      <w:tr>
        <w:trPr>
          <w:trHeight w:val="237"/>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common stock awards</w:t>
            </w:r>
          </w:p>
        </w:tc>
        <w:tc>
          <w:tcPr>
            <w:tcW w:w="14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672,980</w:t>
            </w: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670,950</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Outstanding options to purchase common stock</w:t>
            </w: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10,223,783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6,923,868</w:t>
            </w:r>
          </w:p>
        </w:tc>
      </w:tr>
      <w:tr>
        <w:trPr>
          <w:trHeight w:val="24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Potential shares issuable under the ESPP</w:t>
            </w:r>
          </w:p>
        </w:tc>
        <w:tc>
          <w:tcPr>
            <w:tcW w:w="14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40,731</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20,705</w:t>
            </w:r>
          </w:p>
        </w:tc>
      </w:tr>
    </w:tbl>
    <w:p>
      <w:pPr>
        <w:spacing w:after="0" w:line="38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w:t>
      </w:r>
    </w:p>
    <w:p>
      <w:pPr>
        <w:spacing w:after="0" w:line="229"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On November 25, 2022, the Company entered into a definitive share repurchase agreement with a stockholder, as part of a privately negotiated transaction, to repurchase 4,196,889 shares of common stock held by them for an aggregate purchase price of $2.5 million, or $0.60 per share. This repurchase was completed on November 28, 2022.</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13" w:name="page14"/>
    <w:bookmarkEnd w:id="13"/>
    <w:p>
      <w:pPr>
        <w:ind w:right="700" w:firstLine="509"/>
        <w:spacing w:after="0" w:line="277" w:lineRule="auto"/>
        <w:rPr>
          <w:sz w:val="20"/>
          <w:szCs w:val="20"/>
          <w:color w:val="auto"/>
        </w:rPr>
      </w:pPr>
      <w:r>
        <w:rPr>
          <w:rFonts w:ascii="Arial" w:cs="Arial" w:eastAsia="Arial" w:hAnsi="Arial"/>
          <w:sz w:val="18"/>
          <w:szCs w:val="18"/>
          <w:color w:val="auto"/>
        </w:rPr>
        <w:t>Repurchased shares are held as treasury stock at cost until they are retired or re-issued. There were no additional shares repurchased and no retirements or re-issuances of treasury stock during the six months ended June 30, 2023.</w:t>
      </w:r>
    </w:p>
    <w:p>
      <w:pPr>
        <w:spacing w:after="0" w:line="166"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8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Company’s commitments described in the Company’s consolidated financial statements as of and for the year ended December 31, 2022 and the notes thereto included in the 2022 Annual Report have had no material changes during the six months ended June 30, 2023, except for the Azzur lease as described below.</w:t>
      </w:r>
    </w:p>
    <w:p>
      <w:pPr>
        <w:spacing w:after="0" w:line="184"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 xml:space="preserve">In November 2022, the Company entered into a new agreement (the Fifth SOW) with Azzur that extended the term of the leases for the period beginning April 2023 through December 2023 (the Fourth Term). The Fifth SOW contains two options to extend the lease, the first option goes through June 2024 and the second option goes through December 2024. During the quarter ended June 30, 2023, the Company determined that it was reasonably certain to exercise both the first and second option to extend the lease. As a result of the extension, there was an adjustment to the operating lease right-of-use asset and corresponding lease liability of $0.9 million. The total remaining liability associated with the Azzur lease is approximately $2.9 million as of June 30, 2023. For a full description of the Azzur lease, see Note 14, </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the audited financial statements included in the 2022 Annual Report.</w:t>
      </w:r>
    </w:p>
    <w:p>
      <w:pPr>
        <w:spacing w:after="0" w:line="268"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 xml:space="preserve">In June 2019, the Company expanded its collaboration and entered into an agreement with Ginkgo for the research and development of engineered microbial therapeutic products. As of June 30, 2023, Ginkgo owned 6,340,771 shares of the Company’s outstanding common stock. See Note 10, </w:t>
      </w:r>
      <w:r>
        <w:rPr>
          <w:rFonts w:ascii="Arial" w:cs="Arial" w:eastAsia="Arial" w:hAnsi="Arial"/>
          <w:sz w:val="18"/>
          <w:szCs w:val="18"/>
          <w:i w:val="1"/>
          <w:iCs w:val="1"/>
          <w:color w:val="auto"/>
        </w:rPr>
        <w:t>Ginkgo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Collaboration, </w:t>
      </w:r>
      <w:r>
        <w:rPr>
          <w:rFonts w:ascii="Arial" w:cs="Arial" w:eastAsia="Arial" w:hAnsi="Arial"/>
          <w:sz w:val="18"/>
          <w:szCs w:val="18"/>
          <w:color w:val="auto"/>
        </w:rPr>
        <w:t>in the audited financial statements included in the 2022 Annual Report.</w:t>
      </w:r>
    </w:p>
    <w:p>
      <w:pPr>
        <w:spacing w:after="0" w:line="184"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Under the agreement the Company made a prepayment to Ginkgo of $30.0 million for its foundry services that will be provided to the Company over an initial term of five years. At June 30, 2023, the Company had remaining balances of $1.6 million and $5.2 million of current and non-current prepaid research and development costs related to this transaction, respectively. The Company used $0.9 million and $1.5 million of the prepaid research and development expenses for the three and six months ended June 30, 2023,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i w:val="1"/>
          <w:iCs w:val="1"/>
          <w:color w:val="auto"/>
        </w:rPr>
        <w:t>The interim financial statements and this Management’s Discussion and Analysis of Financial Condition and Results of Operations should be read together with our audited financial statements and accompanying notes for the year ended December 31, 2022 and 2021 included in our Annual Report on Form 10-K filed with the SEC on March 29, 2023 (the "2022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[23] of this Quarterly Report on Form 10-Q for a discussion of certain risk factors applicable to our business, financial condition, and results of operations. Operating results are not necessarily indicative of results that may occur for the full fiscal year or any other future period. On August 28, 2017, Synlogic, Inc., formerly known as Mirna Therapeutics, Inc. (NASDAQ: MIRN) (Mirna), completed a business combination with Synlogic, a private company, pursuant to the Agreement and Plan of Merger and Reorganization, dated as of May 15, 2017 (the Merger Agreement), pursuant to which the private Synlogic entity survived as a wholly owned subsidiary of Mirna (the Merger). Immediately after completion of the Merger, Mirna changed its name to “Synlogic, Inc.” (NASDAQ: SYBX).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We are a clinical-stage biotechnology company advancing novel, oral, non-systemically absorbed biotherapeutics to transform the care of serious diseases in need of new treatment options. Our late-stage pipeline is focused on rare metabolic diseases, led by labafenogene marselecobac (previously referred to as SYNB1934), currently being studied as a potential treatment for phenylketonuria (PKU) in Synpheny-3, a global, pivotal Phase 3 study. Additional product candidates address diseases including homocystinuria (HCU), enteric hyperoxaluria, gout, and cystinuria. This pipeline is fueled by the Synthetic Biotic platform, which applies precision genetic engineering to well-characterized probiotics based on the principles and techniques of synthetic biology, the application of programming and engineering to biological parts, systems, and organisms.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Candidate Pipeline: Late-Stage Programs Focused on Rare Metabolic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37910" cy="26231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3791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We are focused on advancing our late-stage drug candidates for rare metabolic diseases, disorders that present a strong biological fit with Synthetic Biotics, and also provide synergies in clinical trial execution and commercialization. Metabolic diseases result from alterations in how bodies break down or produce important metabolites or molecules needed for normal function. In patients with these diseases, the absence of certain enzymes causes metabolites to accumulate in the gut and systemically throughout the body. Our approach enables the design of GI-restricted, oral medicines designed to consume or modify disease-specific</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15" w:name="page16"/>
    <w:bookmarkEnd w:id="15"/>
    <w:p>
      <w:pPr>
        <w:ind w:right="160"/>
        <w:spacing w:after="0" w:line="277" w:lineRule="auto"/>
        <w:rPr>
          <w:sz w:val="20"/>
          <w:szCs w:val="20"/>
          <w:color w:val="auto"/>
        </w:rPr>
      </w:pPr>
      <w:r>
        <w:rPr>
          <w:rFonts w:ascii="Arial" w:cs="Arial" w:eastAsia="Arial" w:hAnsi="Arial"/>
          <w:sz w:val="18"/>
          <w:szCs w:val="18"/>
          <w:color w:val="auto"/>
        </w:rPr>
        <w:t>metabolites – an approach well suited for PKU and HCU, as well as other disorders in which the disease–specific metabolites transit through the GI tract, providing validated targets for these Synthetic Biotics.</w:t>
      </w:r>
    </w:p>
    <w:p>
      <w:pPr>
        <w:spacing w:after="0" w:line="170"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In addition, patients with rare metabolic diseases are typically treated by the same relatively small and well-connected community of medical thought leaders and receive care at the same clinics from the same clinician network. The patient communities themselves are also often connected. These considerations present significant advantages for efficiency in both clinical trial execution and management of multiple programs in different but related diseases, as well as for future product launches and commercialization.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PKU</w:t>
      </w:r>
    </w:p>
    <w:p>
      <w:pPr>
        <w:spacing w:after="0" w:line="22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pipeline is led by labafenogene marselecobac (SYNB1934), an orally administered, non-systemically absorbed, potential treatment for PKU, a rare metabolic disease caused by inherited mutations that impair the breakdown of phenylalanine (Phe), an amino acid found in all protein-containing foods. The goal of PKU management is to reduce plasma Phe below neurotoxic levels, reducing risk of neurocognitive complications. Current treatment options for PKU are limited due to safety and efficacy, leaving the majority of people living with PKU without medical management and with uncontrolled Phe. We designed labafenogene marselecobac (SYNB1934) to target and consume Phe in the GI tract by applying precision genetic engineering to a well-characterized probiotic. Results to date indicate the potential for labafenogene marselecobac (SYNB1934) to be the first and only orally administered, non-systemically absorbed medical treatment option for FDA available for patients to take alone, or as an adjunct to other medications for PKU. Following successful Phase 2 results, labafenogene marselecobac (SYNB1934) has advanced to Synpheny-3, a global, pivotal Phase 3 study. Labafenogene marselecobac (SYNB1934) has received Orphan Drug Designation, Fast Track designation, and Rare Pediatric Disease Designation (RPDD) from the FDA in addition to orphan designation from the European Medicines Agency (EMA).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Homocystinuria</w:t>
      </w:r>
    </w:p>
    <w:p>
      <w:pPr>
        <w:spacing w:after="0" w:line="229"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HCU is a rare inherited metabolic disorder caused by a genetic defect that causes homocysteine and other toxic chemicals and their byproducts, including methionine, to build up in the blood and urine. Elevated homocysteine levels are associated with risk of life-threatening acute ischemic stroke as well as multisystem complications such as impairments of the eye (ectopia lentis and/or severe myopia), skeletal system, and neurocognitive impact (development delay and intellectual disability).</w:t>
      </w:r>
    </w:p>
    <w:p>
      <w:pPr>
        <w:spacing w:after="0" w:line="18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first therapeutic intervention for HCU is often a methionine-restricted diet with the goal of lowering plasma levels of total homocysteine (tHcy) to reduce risk of complications. SYNB1353, our drug candidate for HCU, was designed to leverage this pathway by consuming methionine in the GI tract as a means of reducing systemic levels of homocysteine. Like labafenogene marselecobac, SYNB1353 is an orally-administered, non-systemically absorbed investigational biotherapeutic. In November 2022, we announced proof of mechanism was achieved based on the positive findings from a Phase 1 study in healthy volunteers using a dietary model of homocystinuria, which showed that SYNB1353 reduced plasma methionine by metabolizing methionine and preventing its absorption in the GI tract. To date, the FDA has granted SYNB1353 Fast Track, Orphan Drug, and Rare Pediatric Disease designations as a potential treatment for HCU. Our next step for SYNB1353 is to advance to a Phase 2 study in patients with HCU.</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Clinical Pipeline &amp; Preclinical Research Programs</w:t>
      </w:r>
    </w:p>
    <w:p>
      <w:pPr>
        <w:spacing w:after="0" w:line="229" w:lineRule="exact"/>
        <w:rPr>
          <w:sz w:val="20"/>
          <w:szCs w:val="20"/>
          <w:color w:val="auto"/>
        </w:rPr>
      </w:pPr>
    </w:p>
    <w:p>
      <w:pPr>
        <w:ind w:right="300" w:firstLine="509"/>
        <w:spacing w:after="0" w:line="291" w:lineRule="auto"/>
        <w:rPr>
          <w:sz w:val="20"/>
          <w:szCs w:val="20"/>
          <w:color w:val="auto"/>
        </w:rPr>
      </w:pPr>
      <w:r>
        <w:rPr>
          <w:rFonts w:ascii="Arial" w:cs="Arial" w:eastAsia="Arial" w:hAnsi="Arial"/>
          <w:sz w:val="16"/>
          <w:szCs w:val="16"/>
          <w:color w:val="auto"/>
        </w:rPr>
        <w:t>In 2022, we achieved proof of concept for SYNB8802, in development for enteric hyperoxaluria, a well-recognized cause of recurrent kidney stones. During 2022, we also announced the naming of SYNB2081, a Synthetic Biotic designed to metabolize uric acid as a potential biotherapeutic for gout, which is currently in IND-enabling studies. We believe that both of these product candidates present compelling opportunities to help patients in significant need of new treatment options. We also believe that the programs would be best enabled in partnership with organizations with clinical and regulatory experience and expertise in relevant therapeutic areas, which would be complementary to our expertise on the Synthetic Biotic platform, and would benefit from the progress we continue to make in the rare metabolic space. We also have ongoing preclinical research activities to advance a Synthetic Biotic for cystinuria, a rare, genetic cause of recurrent kidney stones which is also caused by an underlying metabolic disorder.</w:t>
      </w:r>
    </w:p>
    <w:p>
      <w:pPr>
        <w:spacing w:after="0" w:line="16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addition, we have continued our preclinical research collaboration with Roche, focused on inflammatory bowel disease (IBD), which began in June of 2021. Current approaches to treating IBD are focused on therapeutics that modulate the immune system and suppress inflammation, which is associated with systemic immunosuppression, and which includes greater susceptibility to infectious diseases and cancer. Because our approach is based on local delivery to the site of inflammation in the GI tract and not on systemic administration, we anticipate that our Synthetic Biotics may potentially offer an attractive safety profile in this therapeutic category, where safety is a particularly desirable attribute in a product profile compared to options available today.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currently operate in one reportable business segment—the discovery and development of Synthetic Biotics. To date, we have dedicated substantially all of our activities to the research and development of our product candidates. We have funded our operations to date primarily with proceeds from the sale of preferred stock, common stock, preferred units, warrants, payments received under the Roche Collaboration and Option agreement, prior collaborations, interest earned on investments, and cash received in the Merger.</w:t>
      </w:r>
    </w:p>
    <w:p>
      <w:pPr>
        <w:spacing w:after="0" w:line="18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We have not generated any revenue to date from product sales and have incurred significant operating losses since our inception. We have incurred net losses of approximately $15.0 million and $30.7 million for the three and six months ended June 30, 2023, respectively, and $15.8 million and $31.5 million for the three and six months ended June 30, 2022, respectively. As of June 30, 2023, we had an accumulated deficit of approximately $387.7 million, and we expect to incur losses for the foreseeable future as we develop our product candidates. We expect our expenses and capital requirements will increase substantially in connection with our ongoing activities, as we:</w:t>
      </w:r>
    </w:p>
    <w:p>
      <w:pPr>
        <w:spacing w:after="0" w:line="68"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 preclinical studies, initiate and complete clinical trials for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 to manufacture product candidates or manufacture product candidates internally;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commercial, and management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expand our existing infrastructure and secure space in a facility to support continued growth in our research and development efforts; and</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operational and finance personnel to support product development efforts.</w:t>
      </w:r>
    </w:p>
    <w:p>
      <w:pPr>
        <w:spacing w:after="0" w:line="225"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1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We do not believe that inflation has had a material impact on our business or operating results during the periods presented. However, inflation, has had, and may continue to have, an impact on the labor costs we incur to attract and retain qualified personnel, costs to conduct clinical trials and other operational costs. Inflationary costs could adversely affect our business, financial condition and results of operations. In addition, increased inflation has had, and may continue to have, an effect on interest rates. Increased interest rates may adversely affect our borrowing rate and our ability to obtain, or the terms under which we can obtain, any potential additional funding.</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 xml:space="preserve">Revenue for the three and six months ended June 30, 2023 was generated from the Roche Collaboration and Option Agreement. In June 2021, we announced that we entered into the Roche Collaboration and Option Agreement for the discovery of novel Synthetic Biotics for the treatment of IBD. The collaboration agreement contains multiple deliverables, which include an exclusive option for Roche to negotiate a definitive collaboration and license agreement for further development of the Product Candidate (as defined in the Roche Collaboration and Option Agreement) and acquire research and development milestones. See Note 9, </w:t>
      </w:r>
      <w:r>
        <w:rPr>
          <w:rFonts w:ascii="Arial" w:cs="Arial" w:eastAsia="Arial" w:hAnsi="Arial"/>
          <w:sz w:val="17"/>
          <w:szCs w:val="17"/>
          <w:i w:val="1"/>
          <w:iCs w:val="1"/>
          <w:color w:val="auto"/>
        </w:rPr>
        <w:t>Collaboration Agreements: Roche Collaboration</w:t>
      </w:r>
      <w:r>
        <w:rPr>
          <w:rFonts w:ascii="Arial" w:cs="Arial" w:eastAsia="Arial" w:hAnsi="Arial"/>
          <w:sz w:val="17"/>
          <w:szCs w:val="17"/>
          <w:color w:val="auto"/>
        </w:rPr>
        <w:t xml:space="preserve"> in the notes to the unaudited consolidated financial statements appearing elsewhere in this Quarterly Report on Form 10-Q for a full discussion of the arrangement.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76"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benefits and other employee related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supplies to support our internal research and development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and development related facility and depreciation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leased manufacturing space; and</w:t>
      </w:r>
    </w:p>
    <w:p>
      <w:pPr>
        <w:spacing w:after="0" w:line="117" w:lineRule="exact"/>
        <w:rPr>
          <w:rFonts w:ascii="Arial" w:cs="Arial" w:eastAsia="Arial" w:hAnsi="Arial"/>
          <w:sz w:val="18"/>
          <w:szCs w:val="18"/>
          <w:color w:val="auto"/>
        </w:rPr>
      </w:pPr>
    </w:p>
    <w:p>
      <w:pPr>
        <w:ind w:left="1020" w:right="80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 costs relating to research, process and formulation development, preclinical and clinical studies and regulatory operations.</w:t>
      </w:r>
    </w:p>
    <w:p>
      <w:pPr>
        <w:spacing w:after="0" w:line="170"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71" w:lineRule="exact"/>
        <w:rPr>
          <w:sz w:val="20"/>
          <w:szCs w:val="20"/>
          <w:color w:val="auto"/>
        </w:rPr>
      </w:pPr>
    </w:p>
    <w:p>
      <w:pPr>
        <w:ind w:right="540" w:firstLine="509"/>
        <w:spacing w:after="0" w:line="342" w:lineRule="auto"/>
        <w:rPr>
          <w:sz w:val="20"/>
          <w:szCs w:val="20"/>
          <w:color w:val="auto"/>
        </w:rPr>
      </w:pPr>
      <w:r>
        <w:rPr>
          <w:rFonts w:ascii="Arial" w:cs="Arial" w:eastAsia="Arial" w:hAnsi="Arial"/>
          <w:sz w:val="16"/>
          <w:szCs w:val="16"/>
          <w:color w:val="auto"/>
        </w:rPr>
        <w:t xml:space="preserve">The successful development of our product candidates is highly uncertain and subject to a number of risks. Refer to the risk factors under the heading </w:t>
      </w:r>
      <w:r>
        <w:rPr>
          <w:rFonts w:ascii="Arial" w:cs="Arial" w:eastAsia="Arial" w:hAnsi="Arial"/>
          <w:sz w:val="16"/>
          <w:szCs w:val="16"/>
          <w:i w:val="1"/>
          <w:iCs w:val="1"/>
          <w:color w:val="auto"/>
        </w:rPr>
        <w:t>Risks Related to the Development of Our Product Candidates</w:t>
      </w:r>
      <w:r>
        <w:rPr>
          <w:rFonts w:ascii="Arial" w:cs="Arial" w:eastAsia="Arial" w:hAnsi="Arial"/>
          <w:sz w:val="16"/>
          <w:szCs w:val="16"/>
          <w:color w:val="auto"/>
        </w:rPr>
        <w:t xml:space="preserve"> in Part II, Item 1A, found elsewhere in this Quarterly Report on Form 10-Q.</w:t>
      </w:r>
    </w:p>
    <w:p>
      <w:pPr>
        <w:spacing w:after="0" w:line="124"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drug development candidates to increase as the programs progress through clinical trials and new programs progress toward IND and into development.</w:t>
      </w:r>
    </w:p>
    <w:p>
      <w:pPr>
        <w:spacing w:after="0" w:line="192"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8" w:name="page19"/>
    <w:bookmarkEnd w:id="18"/>
    <w:p>
      <w:pPr>
        <w:ind w:right="720"/>
        <w:spacing w:after="0" w:line="277" w:lineRule="auto"/>
        <w:rPr>
          <w:sz w:val="20"/>
          <w:szCs w:val="20"/>
          <w:color w:val="auto"/>
        </w:rPr>
      </w:pPr>
      <w:r>
        <w:rPr>
          <w:rFonts w:ascii="Arial" w:cs="Arial" w:eastAsia="Arial" w:hAnsi="Arial"/>
          <w:sz w:val="18"/>
          <w:szCs w:val="18"/>
          <w:color w:val="auto"/>
        </w:rPr>
        <w:t>product candidate programs under research and development and, as such, are separately classified. The table below summarizes our research and development expenses by categories of costs for the periods presented (in thousands):</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For the Six Months Ended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Labafenogene marselecobac (SYNB1934)</w:t>
            </w:r>
          </w:p>
        </w:tc>
        <w:tc>
          <w:tcPr>
            <w:tcW w:w="800" w:type="dxa"/>
            <w:vAlign w:val="bottom"/>
            <w:tcBorders>
              <w:top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3,274</w:t>
            </w:r>
          </w:p>
        </w:tc>
        <w:tc>
          <w:tcPr>
            <w:tcW w:w="30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5,598</w:t>
            </w:r>
          </w:p>
        </w:tc>
        <w:tc>
          <w:tcPr>
            <w:tcW w:w="30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6"/>
                <w:szCs w:val="16"/>
                <w:color w:val="auto"/>
              </w:rPr>
              <w:t>SYNB1618</w:t>
            </w: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752</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SYNB8802</w:t>
            </w:r>
          </w:p>
        </w:tc>
        <w:tc>
          <w:tcPr>
            <w:tcW w:w="8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6"/>
                <w:szCs w:val="16"/>
                <w:color w:val="auto"/>
              </w:rPr>
              <w:t>SYNB1353</w:t>
            </w: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SYNB1891</w:t>
            </w:r>
          </w:p>
        </w:tc>
        <w:tc>
          <w:tcPr>
            <w:tcW w:w="8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(139 )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820" w:type="dxa"/>
            <w:vAlign w:val="bottom"/>
          </w:tcPr>
          <w:p>
            <w:pPr>
              <w:spacing w:after="0"/>
              <w:rPr>
                <w:sz w:val="20"/>
                <w:szCs w:val="20"/>
                <w:color w:val="auto"/>
              </w:rPr>
            </w:pPr>
            <w:r>
              <w:rPr>
                <w:rFonts w:ascii="Arial" w:cs="Arial" w:eastAsia="Arial" w:hAnsi="Arial"/>
                <w:sz w:val="16"/>
                <w:szCs w:val="16"/>
                <w:color w:val="auto"/>
              </w:rPr>
              <w:t>External pre-development candidate expenses</w:t>
            </w:r>
          </w:p>
        </w:tc>
        <w:tc>
          <w:tcPr>
            <w:tcW w:w="80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1,301</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2,421</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2,901</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3,972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20" w:type="dxa"/>
            <w:vAlign w:val="bottom"/>
          </w:tcPr>
          <w:p>
            <w:pPr>
              <w:spacing w:after="0"/>
              <w:rPr>
                <w:sz w:val="20"/>
                <w:szCs w:val="20"/>
                <w:color w:val="auto"/>
              </w:rPr>
            </w:pPr>
            <w:r>
              <w:rPr>
                <w:rFonts w:ascii="Arial" w:cs="Arial" w:eastAsia="Arial" w:hAnsi="Arial"/>
                <w:sz w:val="16"/>
                <w:szCs w:val="16"/>
                <w:color w:val="auto"/>
              </w:rPr>
              <w:t>and unallocated expenses</w:t>
            </w:r>
          </w:p>
        </w:tc>
        <w:tc>
          <w:tcPr>
            <w:tcW w:w="8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Internal research and development expenses</w:t>
            </w:r>
          </w:p>
        </w:tc>
        <w:tc>
          <w:tcPr>
            <w:tcW w:w="8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6,949</w:t>
            </w:r>
          </w:p>
        </w:tc>
        <w:tc>
          <w:tcPr>
            <w:tcW w:w="3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7,214</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13,802</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14,770</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20" w:type="dxa"/>
            <w:vAlign w:val="bottom"/>
          </w:tcPr>
          <w:p>
            <w:pPr>
              <w:spacing w:after="0"/>
              <w:rPr>
                <w:sz w:val="20"/>
                <w:szCs w:val="20"/>
                <w:color w:val="auto"/>
              </w:rPr>
            </w:pP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11,765</w:t>
            </w:r>
          </w:p>
        </w:tc>
        <w:tc>
          <w:tcPr>
            <w:tcW w:w="11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12,057</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24,215</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23,795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-187960</wp:posOffset>
            </wp:positionV>
            <wp:extent cx="7747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-187960</wp:posOffset>
            </wp:positionV>
            <wp:extent cx="7683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7747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general and administrative costs include the legal costs of pursuing patent protection of our intellectual property, facility and information technology infrastructure costs, directors’ and officers’ insurance, and professional fees for accounting, tax, legal and consulting services. We anticipate that our general and administrative expenses will increase in the future as we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Interest and investment income consists of income earned on investments. Interest expense consists of expense related to our finance leases. Other expense consists primarily of gains and losses on foreign currency invoices.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8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Our critical accounting policies are described in our 2022 Annual Report. During the six months ended June 30, 2023, there were no new or material changes to our existing critical accounting policies. We believe that these identified policies are critical to fully understanding and evaluating our financial condition and results of operations.</w:t>
      </w:r>
    </w:p>
    <w:p>
      <w:pPr>
        <w:spacing w:after="0" w:line="184"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following discussion summarizes the key factors our management believes are necessary for an understanding of our consolidated financial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to Three Months Ended June 30, 2022</w:t>
      </w:r>
    </w:p>
    <w:p>
      <w:pPr>
        <w:spacing w:after="0" w:line="261"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Change</w:t>
            </w:r>
          </w:p>
        </w:tc>
        <w:tc>
          <w:tcPr>
            <w:tcW w:w="700" w:type="dxa"/>
            <w:vAlign w:val="bottom"/>
            <w:tcBorders>
              <w:bottom w:val="single" w:sz="8" w:color="auto"/>
            </w:tcBorders>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0"/>
              </w:rPr>
              <w:t>June 30, 2023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0"/>
              </w:rPr>
              <w:t>June 30, 2022</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76"/>
              </w:rPr>
              <w:t>$</w:t>
            </w:r>
          </w:p>
        </w:tc>
      </w:tr>
      <w:tr>
        <w:trPr>
          <w:trHeight w:val="169"/>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w w:val="99"/>
              </w:rPr>
              <w:t>(in thousands)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152</w:t>
            </w:r>
          </w:p>
        </w:tc>
        <w:tc>
          <w:tcPr>
            <w:tcW w:w="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(117 )</w:t>
            </w: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11,765</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12,057</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(292 )</w:t>
            </w: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3,924</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4,112</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(188 )</w:t>
            </w:r>
          </w:p>
        </w:tc>
      </w:tr>
      <w:tr>
        <w:trPr>
          <w:trHeight w:val="236"/>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15,689</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16,169</w:t>
            </w:r>
          </w:p>
        </w:tc>
        <w:tc>
          <w:tcPr>
            <w:tcW w:w="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(480 )</w:t>
            </w: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(15,654 )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(16,017 )</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363</w:t>
            </w:r>
          </w:p>
        </w:tc>
      </w:tr>
      <w:tr>
        <w:trPr>
          <w:trHeight w:val="24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Interest and investment income</w:t>
            </w:r>
          </w:p>
        </w:tc>
        <w:tc>
          <w:tcPr>
            <w:tcW w:w="10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448</w:t>
            </w: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r>
      <w:tr>
        <w:trPr>
          <w:trHeight w:val="236"/>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615</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175</w:t>
            </w:r>
          </w:p>
        </w:tc>
        <w:tc>
          <w:tcPr>
            <w:tcW w:w="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440</w:t>
            </w: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(15,039 )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(15,842 )</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803</w:t>
            </w:r>
          </w:p>
        </w:tc>
      </w:tr>
      <w:tr>
        <w:trPr>
          <w:trHeight w:val="24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(9 )</w:t>
            </w: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(15,048 )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(15,842 )</w:t>
            </w: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794</w:t>
            </w:r>
          </w:p>
        </w:tc>
      </w:tr>
      <w:tr>
        <w:trPr>
          <w:trHeight w:val="20"/>
        </w:trPr>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-1439545</wp:posOffset>
            </wp:positionV>
            <wp:extent cx="9398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-1439545</wp:posOffset>
            </wp:positionV>
            <wp:extent cx="9398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-496570</wp:posOffset>
            </wp:positionV>
            <wp:extent cx="93980"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-496570</wp:posOffset>
            </wp:positionV>
            <wp:extent cx="9398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Revenue was $0.04 million for the three months ended June 30, 2023, as compared to $0.2 million for the corresponding period in 2022. Revenue for both periods was related to services performed under the Roche collaboration that we entered into in June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 xml:space="preserve">Research and development expense was $11.8 million for the three months ended June 30, 2023 compared to $12.1 million in the corresponding period in 2022. The decrease in research and development expense was primarily due to decreases of $0.8 million of clinical development costs for SYNB8802, $0.5 million of professional services costs, $0.5 million of nonclinical development costs, $0.5 million of clinical development costs for SYNB1618, $0.2 million of clinical development costs for SYNB1353, $0.1 million of clinical development costs for SYNB1891, $0.1 million of research and development support costs, and $0.1 million of compensation, benefits and other employee-related expenses. These decreases were offset by increases of $1.8 million of clinical development costs for labafenogene marselecobac </w:t>
      </w:r>
      <w:r>
        <w:rPr>
          <w:rFonts w:ascii="Arial" w:cs="Arial" w:eastAsia="Arial" w:hAnsi="Arial"/>
          <w:sz w:val="14"/>
          <w:szCs w:val="14"/>
          <w:color w:val="auto"/>
        </w:rPr>
        <w:t>(</w:t>
      </w:r>
      <w:r>
        <w:rPr>
          <w:rFonts w:ascii="Arial" w:cs="Arial" w:eastAsia="Arial" w:hAnsi="Arial"/>
          <w:sz w:val="16"/>
          <w:szCs w:val="16"/>
          <w:color w:val="auto"/>
        </w:rPr>
        <w:t>SYNB1934) and $0.7 million of manufacturing costs.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General and administrative expense was $3.9 million for the three months ended June 30, 2023, compared to $4.1 million for the corresponding period in 2022. The decrease was primarily due to decreased professional services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440" w:firstLine="509"/>
        <w:spacing w:after="0" w:line="263" w:lineRule="auto"/>
        <w:rPr>
          <w:sz w:val="20"/>
          <w:szCs w:val="20"/>
          <w:color w:val="auto"/>
        </w:rPr>
      </w:pPr>
      <w:r>
        <w:rPr>
          <w:rFonts w:ascii="Arial" w:cs="Arial" w:eastAsia="Arial" w:hAnsi="Arial"/>
          <w:sz w:val="18"/>
          <w:szCs w:val="18"/>
          <w:color w:val="auto"/>
        </w:rPr>
        <w:t>Other income was $0.6 million for the three months ended June 30, 2023, compared to $0.2 million for the corresponding period in 2022. The increase in other income of $0.4 million was due to an increase in income earned on our cash, cash equivalents and short-term investment balances, primarily related to higher interest rates.</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Six Months Ended June 30, 2023 Compared Six Months Ended June 30,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For the Six Months Ended</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Change</w:t>
            </w:r>
          </w:p>
        </w:tc>
      </w:tr>
      <w:tr>
        <w:trPr>
          <w:trHeight w:val="169"/>
        </w:trPr>
        <w:tc>
          <w:tcPr>
            <w:tcW w:w="64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w w:val="96"/>
              </w:rPr>
              <w:t>June 30, 2023</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8"/>
              </w:rPr>
              <w:t>June 30, 2022</w:t>
            </w: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r>
      <w:tr>
        <w:trPr>
          <w:trHeight w:val="169"/>
        </w:trPr>
        <w:tc>
          <w:tcPr>
            <w:tcW w:w="64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(in thousands)</w:t>
            </w: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(187 )</w:t>
            </w: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24,215</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23,795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FF0FC"/>
          </w:tcPr>
          <w:p>
            <w:pPr>
              <w:spacing w:after="0"/>
              <w:rPr>
                <w:sz w:val="21"/>
                <w:szCs w:val="2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7,891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8,383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(492 )</w:t>
            </w:r>
          </w:p>
        </w:tc>
      </w:tr>
      <w:tr>
        <w:trPr>
          <w:trHeight w:val="236"/>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32,106</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32,178</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64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 xml:space="preserve">(31,897 </w:t>
            </w:r>
            <w:r>
              <w:rPr>
                <w:rFonts w:ascii="Arial" w:cs="Arial" w:eastAsia="Arial" w:hAnsi="Arial"/>
                <w:sz w:val="18"/>
                <w:szCs w:val="18"/>
                <w:color w:val="auto"/>
                <w:highlight w:val="white"/>
              </w:rPr>
              <w:t>)</w:t>
            </w:r>
          </w:p>
        </w:tc>
        <w:tc>
          <w:tcPr>
            <w:tcW w:w="16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(31,782 )</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(115 )</w:t>
            </w:r>
          </w:p>
        </w:tc>
      </w:tr>
      <w:tr>
        <w:trPr>
          <w:trHeight w:val="249"/>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Interest and investment income</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1,009</w:t>
            </w:r>
          </w:p>
        </w:tc>
        <w:tc>
          <w:tcPr>
            <w:tcW w:w="140" w:type="dxa"/>
            <w:vAlign w:val="bottom"/>
          </w:tcPr>
          <w:p>
            <w:pPr>
              <w:spacing w:after="0"/>
              <w:rPr>
                <w:sz w:val="20"/>
                <w:szCs w:val="20"/>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(2 )</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36"/>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net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64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 xml:space="preserve">(30,661 </w:t>
            </w:r>
            <w:r>
              <w:rPr>
                <w:rFonts w:ascii="Arial" w:cs="Arial" w:eastAsia="Arial" w:hAnsi="Arial"/>
                <w:sz w:val="18"/>
                <w:szCs w:val="18"/>
                <w:color w:val="auto"/>
                <w:highlight w:val="white"/>
              </w:rPr>
              <w:t>)</w:t>
            </w:r>
          </w:p>
        </w:tc>
        <w:tc>
          <w:tcPr>
            <w:tcW w:w="16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(31,539 )</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878</w:t>
            </w:r>
          </w:p>
        </w:tc>
        <w:tc>
          <w:tcPr>
            <w:tcW w:w="140" w:type="dxa"/>
            <w:vAlign w:val="bottom"/>
          </w:tcPr>
          <w:p>
            <w:pPr>
              <w:spacing w:after="0"/>
              <w:rPr>
                <w:sz w:val="20"/>
                <w:szCs w:val="20"/>
                <w:color w:val="auto"/>
              </w:rPr>
            </w:pPr>
          </w:p>
        </w:tc>
      </w:tr>
      <w:tr>
        <w:trPr>
          <w:trHeight w:val="249"/>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(9 )</w:t>
            </w:r>
          </w:p>
        </w:tc>
        <w:tc>
          <w:tcPr>
            <w:tcW w:w="1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(9 )</w:t>
            </w: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(30,670 )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(31,539 )</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869</w:t>
            </w:r>
          </w:p>
        </w:tc>
        <w:tc>
          <w:tcPr>
            <w:tcW w:w="140" w:type="dxa"/>
            <w:vAlign w:val="bottom"/>
          </w:tcPr>
          <w:p>
            <w:pPr>
              <w:spacing w:after="0"/>
              <w:rPr>
                <w:sz w:val="20"/>
                <w:szCs w:val="20"/>
                <w:color w:val="auto"/>
              </w:rPr>
            </w:pPr>
          </w:p>
        </w:tc>
      </w:tr>
      <w:tr>
        <w:trPr>
          <w:trHeight w:val="20"/>
        </w:trPr>
        <w:tc>
          <w:tcPr>
            <w:tcW w:w="6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-1439545</wp:posOffset>
            </wp:positionV>
            <wp:extent cx="85725"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-1439545</wp:posOffset>
            </wp:positionV>
            <wp:extent cx="85725"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-496570</wp:posOffset>
            </wp:positionV>
            <wp:extent cx="85725"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-496570</wp:posOffset>
            </wp:positionV>
            <wp:extent cx="85725"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Revenue was $0.2 million for the six months ended June 30, 2023, compared to $0.4 million for the corresponding period in 2022. Revenue for both periods was primarily related to services performed under the Roche collaboration that we entered into in June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260" w:firstLine="509"/>
        <w:spacing w:after="0" w:line="257" w:lineRule="auto"/>
        <w:rPr>
          <w:sz w:val="20"/>
          <w:szCs w:val="20"/>
          <w:color w:val="auto"/>
        </w:rPr>
      </w:pPr>
      <w:r>
        <w:rPr>
          <w:rFonts w:ascii="Arial" w:cs="Arial" w:eastAsia="Arial" w:hAnsi="Arial"/>
          <w:sz w:val="18"/>
          <w:szCs w:val="18"/>
          <w:color w:val="auto"/>
        </w:rPr>
        <w:t>Research and development expense was $24.2 million for the six months ended June 30, 2023, compared to $23.8 million in the corresponding period in 2022. The increase in research and development expense was primarily due to an increase of $3.6 million in clinical development costs for labafenogene marselecobac (SYNB1934) and $1.0 million of manufacturing costs. These increases were offset primarily by decreases of $1.1 million of clinical development costs for SYNB8802, $0.8 million of compensation, benefits and other employee-related expenses, $0.8 million of professional services costs, $0.5 million of clinical development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1" w:name="page22"/>
    <w:bookmarkEnd w:id="21"/>
    <w:p>
      <w:pPr>
        <w:ind w:right="60"/>
        <w:spacing w:after="0" w:line="277" w:lineRule="auto"/>
        <w:rPr>
          <w:sz w:val="20"/>
          <w:szCs w:val="20"/>
          <w:color w:val="auto"/>
        </w:rPr>
      </w:pPr>
      <w:r>
        <w:rPr>
          <w:rFonts w:ascii="Arial" w:cs="Arial" w:eastAsia="Arial" w:hAnsi="Arial"/>
          <w:sz w:val="18"/>
          <w:szCs w:val="18"/>
          <w:color w:val="auto"/>
        </w:rPr>
        <w:t>for SYNB1618, $0.4 million of clinical development costs for SYNB1891, $0.4 million of nonclinical development costs, and $0.2 million in research and development support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General and administrative expense was $7.9 million for the six months ended June 30, 2023, compared to $8.4 million for the corresponding period in 2022. The decrease was primarily due to decreased professional services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Other income was $1.2 million for the six months ended June 30, 2023, compared to $0.2 million for the corresponding period in 2022. The increase in other income of $1.0 million was due to an increase in income earned on our cash, cash equivalents and short-term investment balances, primarily related to higher interest rates.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We have incurred losses since our inception on March 14, 2014 and, as of June 30, 2023, we had an accumulated deficit of approximately $387.7 million. We have financed our operations to date primarily through the sale of preferred stock, common stock, preferred units and warrants, payments received under collaboration agreements, including the technology collaboration with Ginkgo, the Roche Collaboration and Option agreement, and prior collaborations, interest earned on investments, and cash received in the Merger. At June 30, 2023, we had approximately $46.3 million in cash and cash equivalents. Our cash and cash equivalents include amounts held in money market funds, stated at cost plus unrealized gain and loss, which approximates fair market value. During the six months ended June 30, 2023 our available-for-sale securities include amounts held in commercial paper and U.S. treasuries.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81"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During the six months ended June 30, 2023, our cash, cash equivalents and short-term marketable securities balance decreased by approximately $31.3 million. This decrease was primarily due to the cash used to operate our business, including payments related to, among other things, research and development and general and administrative expenses as we continue to invest in our primary drug candidates and support the development of our proprietary platform.</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major sources and uses of cash, cash equivalents and restricted cash for each of the periods below (in thousands):</w:t>
      </w: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6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169"/>
        </w:trPr>
        <w:tc>
          <w:tcPr>
            <w:tcW w:w="6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r>
      <w:tr>
        <w:trPr>
          <w:trHeight w:val="24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cash equivalents and restricted cash provided by (used in)</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7"/>
        </w:trPr>
        <w:tc>
          <w:tcPr>
            <w:tcW w:w="606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(33,131 )</w:t>
            </w:r>
          </w:p>
        </w:tc>
        <w:tc>
          <w:tcPr>
            <w:tcW w:w="5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(29,046 )</w:t>
            </w:r>
          </w:p>
        </w:tc>
      </w:tr>
      <w:tr>
        <w:trPr>
          <w:trHeight w:val="249"/>
        </w:trPr>
        <w:tc>
          <w:tcPr>
            <w:tcW w:w="6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62,229</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43,371</w:t>
            </w:r>
          </w:p>
        </w:tc>
      </w:tr>
      <w:tr>
        <w:trPr>
          <w:trHeight w:val="237"/>
        </w:trPr>
        <w:tc>
          <w:tcPr>
            <w:tcW w:w="606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1,302</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138</w:t>
            </w:r>
          </w:p>
        </w:tc>
      </w:tr>
      <w:tr>
        <w:trPr>
          <w:trHeight w:val="276"/>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30,400</w:t>
            </w:r>
          </w:p>
        </w:tc>
        <w:tc>
          <w:tcPr>
            <w:tcW w:w="1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14,463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111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ind w:right="100" w:firstLine="509"/>
        <w:spacing w:after="0" w:line="257" w:lineRule="auto"/>
        <w:rPr>
          <w:sz w:val="20"/>
          <w:szCs w:val="20"/>
          <w:color w:val="auto"/>
        </w:rPr>
      </w:pPr>
      <w:r>
        <w:rPr>
          <w:rFonts w:ascii="Arial" w:cs="Arial" w:eastAsia="Arial" w:hAnsi="Arial"/>
          <w:sz w:val="18"/>
          <w:szCs w:val="18"/>
          <w:color w:val="auto"/>
        </w:rPr>
        <w:t>Net cash, cash equivalents and restricted cash used in operating activities was approximately $33.1 million for the six months ended June 30, 2023. The primary use of cash was our net loss of $30.7 million, changes in our assets and liabilities of $6.1 million, partially offset by $3.6 million of non-cash items primarily including depreciation, equity-based compensation, and the right of use asset. The changes in our assets and liabilities include increases in prepaid research and development expenses, increases in prepaid expenses and other current assets, and decreases in the operating lease liability, accounts payable and accrued expenses, and deferred revenue.</w:t>
      </w:r>
    </w:p>
    <w:p>
      <w:pPr>
        <w:spacing w:after="0" w:line="188" w:lineRule="exact"/>
        <w:rPr>
          <w:sz w:val="20"/>
          <w:szCs w:val="20"/>
          <w:color w:val="auto"/>
        </w:rPr>
      </w:pPr>
    </w:p>
    <w:p>
      <w:pPr>
        <w:jc w:val="both"/>
        <w:ind w:right="80" w:firstLine="509"/>
        <w:spacing w:after="0" w:line="296" w:lineRule="auto"/>
        <w:rPr>
          <w:sz w:val="20"/>
          <w:szCs w:val="20"/>
          <w:color w:val="auto"/>
        </w:rPr>
      </w:pPr>
      <w:r>
        <w:rPr>
          <w:rFonts w:ascii="Arial" w:cs="Arial" w:eastAsia="Arial" w:hAnsi="Arial"/>
          <w:sz w:val="16"/>
          <w:szCs w:val="16"/>
          <w:color w:val="auto"/>
        </w:rPr>
        <w:t>Net cash, cash equivalents and restricted cash used in operating activities was approximately $29.0 million for the six months ended June 30, 2022. The primary use of cash was our net loss of $31.5 million, changes in our assets and liabilities of $2.1 million, partially offset by $4.6 million of non-cash items primarily including depreciation, equity-based compensation, and the right of use asset. The changes in our assets and liabilities include decreases in prepaid research and development expenses, as a result of the work being completed on the Ginkgo collaboration, increases in the operating lease liability, decreases in prepaid expenses and other current assets, decreases in accounts payable and accrued expenses, and decreased deferred revenue.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40" w:firstLine="509"/>
        <w:spacing w:after="0" w:line="308" w:lineRule="auto"/>
        <w:rPr>
          <w:sz w:val="20"/>
          <w:szCs w:val="20"/>
          <w:color w:val="auto"/>
        </w:rPr>
      </w:pPr>
      <w:r>
        <w:rPr>
          <w:rFonts w:ascii="Arial" w:cs="Arial" w:eastAsia="Arial" w:hAnsi="Arial"/>
          <w:sz w:val="17"/>
          <w:szCs w:val="17"/>
          <w:color w:val="auto"/>
        </w:rPr>
        <w:t>Net cash provided by investing activities for the six months ended June 30, 2023 was $62.2 million and resulted primarily from the proceeds from maturity of marketable securities of $62.4 million. This was offset by the purchases of property and equipment of $0.2 million.</w:t>
      </w:r>
    </w:p>
    <w:p>
      <w:pPr>
        <w:spacing w:after="0" w:line="38"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Net cash provided by investing activities for the six months ended June 30, 2022 was $43.4 million and resulted primarily from the proceeds from maturity of marketable securities of $85.1 million. This was offset by the purchases of marketable securities of $41.1 million and property and equipment of $0.6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2023 totaled $1.3 million, primarily related to net proceeds of $1.2 million from the sale of our common stock in the ATM offering program and $0.1 million from ESPP contributions.</w:t>
      </w:r>
    </w:p>
    <w:p>
      <w:pPr>
        <w:spacing w:after="0" w:line="6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2022 totaled $0.1 million, primarily related to proceeds of $0.1 million from exercise of stock options and ESPP contributions.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84"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We are currently generating revenue from our Roche collaboration and have historically generated revenue from previous collaborations, but have not generated any product revenue since our inception and do not expect to generate any product revenue unless we receive regulatory approval for our product candidates. We believe that our cash and cash equivalents as of June 30, 2023,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Quarterly Report on Form 10-Q. We have based our estimates on assumptions that may prove to be wrong, and we could utilize our available capital resources sooner than we currently expect.</w:t>
      </w:r>
    </w:p>
    <w:p>
      <w:pPr>
        <w:spacing w:after="0" w:line="166" w:lineRule="exact"/>
        <w:rPr>
          <w:sz w:val="20"/>
          <w:szCs w:val="20"/>
          <w:color w:val="auto"/>
        </w:rPr>
      </w:pPr>
    </w:p>
    <w:p>
      <w:pPr>
        <w:ind w:right="260" w:firstLine="509"/>
        <w:spacing w:after="0" w:line="286" w:lineRule="auto"/>
        <w:rPr>
          <w:sz w:val="20"/>
          <w:szCs w:val="20"/>
          <w:color w:val="auto"/>
        </w:rPr>
      </w:pPr>
      <w:r>
        <w:rPr>
          <w:rFonts w:ascii="Arial" w:cs="Arial" w:eastAsia="Arial" w:hAnsi="Arial"/>
          <w:sz w:val="17"/>
          <w:szCs w:val="17"/>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57"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progress, timing and costs involved in developing manufacturing processes and agreements with third-party manufacturers;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52" w:right="499" w:bottom="1440" w:gutter="0" w:footer="0" w:header="0"/>
        </w:sectPr>
      </w:pPr>
    </w:p>
    <w:bookmarkStart w:id="23" w:name="page24"/>
    <w:bookmarkEnd w:id="23"/>
    <w:p>
      <w:pPr>
        <w:ind w:left="1020" w:right="10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our business is adversely impacted by the effects of the coronavirus outbreak or by other health epidemics or pandemics;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II, Item IA. “Risk Factors”.</w:t>
      </w:r>
    </w:p>
    <w:p>
      <w:pPr>
        <w:spacing w:after="0" w:line="225"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As a clinical-stage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121" w:lineRule="exact"/>
        <w:rPr>
          <w:sz w:val="20"/>
          <w:szCs w:val="20"/>
          <w:color w:val="auto"/>
        </w:rPr>
      </w:pPr>
    </w:p>
    <w:p>
      <w:pPr>
        <w:ind w:right="240" w:firstLine="509"/>
        <w:spacing w:after="0" w:line="342" w:lineRule="auto"/>
        <w:rPr>
          <w:sz w:val="20"/>
          <w:szCs w:val="20"/>
          <w:color w:val="auto"/>
        </w:rPr>
      </w:pPr>
      <w:r>
        <w:rPr>
          <w:rFonts w:ascii="Arial" w:cs="Arial" w:eastAsia="Arial" w:hAnsi="Arial"/>
          <w:sz w:val="16"/>
          <w:szCs w:val="16"/>
          <w:color w:val="auto"/>
        </w:rPr>
        <w:t xml:space="preserve">There have been no material changes to our contractual obligations and commitments set forth under the heading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of Financial Condition and Results of Operations - Contractual Obligations and Commitments” </w:t>
      </w:r>
      <w:r>
        <w:rPr>
          <w:rFonts w:ascii="Arial" w:cs="Arial" w:eastAsia="Arial" w:hAnsi="Arial"/>
          <w:sz w:val="16"/>
          <w:szCs w:val="16"/>
          <w:color w:val="auto"/>
        </w:rPr>
        <w:t>in our 2022 Annual Report.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For a description of transactions with related parties which may fall outside of the reporting period of this section, please see the section entitled “</w:t>
      </w:r>
      <w:r>
        <w:rPr>
          <w:rFonts w:ascii="Arial" w:cs="Arial" w:eastAsia="Arial" w:hAnsi="Arial"/>
          <w:sz w:val="18"/>
          <w:szCs w:val="18"/>
          <w:i w:val="1"/>
          <w:iCs w:val="1"/>
          <w:color w:val="auto"/>
        </w:rPr>
        <w:t>Certain Relationships and Related Person Transactions”</w:t>
      </w:r>
      <w:r>
        <w:rPr>
          <w:rFonts w:ascii="Arial" w:cs="Arial" w:eastAsia="Arial" w:hAnsi="Arial"/>
          <w:sz w:val="18"/>
          <w:szCs w:val="18"/>
          <w:color w:val="auto"/>
        </w:rPr>
        <w:t xml:space="preserve"> in our proxy statement filed with the SEC on May 1,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 xml:space="preserve">For detailed information regarding recently issued accounting pronouncements and the expected impact on our consolidated financial statements,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unaudited consolidated financial statements appearing elsewhere in this Quarterly Report on Form 10-Q.</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this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w:t>
      </w:r>
    </w:p>
    <w:p>
      <w:pPr>
        <w:spacing w:after="0" w:line="121"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Our disclosure controls and procedures (as defined in Rules 13a-15(e) and 15d-15(e) under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6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Our principal executive officer and principal financial officer, after evaluating the effectiveness of our disclosure controls and procedures (as defined in Exchange Act Rules 13a-15(e) and 15d-15(e)) as of the end of the period covered by this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There have not been any changes in our internal controls over financial reporting (as defined in Rules 13a-15(f) and 15d-15(f) under the Exchange Act) identified in connection with the evaluation of such internal control that occurred during our fiscal quarter ended June 30, 2023 that have materially affected, or are reasonably likely to materially affect, our internal controls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1A. Risk Factors.</w:t>
      </w:r>
    </w:p>
    <w:p>
      <w:pPr>
        <w:spacing w:after="0" w:line="121" w:lineRule="exact"/>
        <w:rPr>
          <w:sz w:val="20"/>
          <w:szCs w:val="20"/>
          <w:color w:val="auto"/>
        </w:rPr>
      </w:pPr>
    </w:p>
    <w:p>
      <w:pPr>
        <w:ind w:right="180" w:firstLine="509"/>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78"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 the following discussion of risk factors, References to “we”, “us”, “our” and similar terms refer to the combined business of Synlogic, Inc. after the Merger on August 28, 2017.</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189"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spacing w:after="0" w:line="79" w:lineRule="exact"/>
        <w:rPr>
          <w:sz w:val="20"/>
          <w:szCs w:val="20"/>
          <w:color w:val="auto"/>
        </w:rPr>
      </w:pPr>
    </w:p>
    <w:p>
      <w:pPr>
        <w:ind w:left="1020" w:right="38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require substantial additional funding, which may not be available on acceptable terms, or at all.</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stock price is volatile, and our stockholders may not be able to resell shares of our common stock at or above the price they paid.</w:t>
      </w:r>
    </w:p>
    <w:p>
      <w:pPr>
        <w:spacing w:after="0" w:line="128" w:lineRule="exact"/>
        <w:rPr>
          <w:rFonts w:ascii="Arial" w:cs="Arial" w:eastAsia="Arial" w:hAnsi="Arial"/>
          <w:sz w:val="17"/>
          <w:szCs w:val="17"/>
          <w:color w:val="auto"/>
        </w:rPr>
      </w:pPr>
    </w:p>
    <w:p>
      <w:pPr>
        <w:ind w:left="1020" w:right="42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short operating history may make it difficult for stockholders to evaluate the success of our business to date and to assess our future viability.</w:t>
      </w:r>
    </w:p>
    <w:p>
      <w:pPr>
        <w:spacing w:after="0" w:line="62"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75"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trials are costly, time consuming and inherently risky, and we may fail to demonstrate safety and efficacy to the satisfaction of applicable regulatory authorities.</w:t>
      </w:r>
    </w:p>
    <w:p>
      <w:pPr>
        <w:spacing w:after="0" w:line="62"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approach we are taking to discover and develop novel therapeutics using synthetic biology to create novel medicines is unproven and may never lead to marketable products.</w:t>
      </w:r>
    </w:p>
    <w:p>
      <w:pPr>
        <w:spacing w:after="0" w:line="62"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5" w:lineRule="exact"/>
        <w:rPr>
          <w:rFonts w:ascii="Arial" w:cs="Arial" w:eastAsia="Arial" w:hAnsi="Arial"/>
          <w:sz w:val="16"/>
          <w:szCs w:val="16"/>
          <w:color w:val="auto"/>
        </w:rPr>
      </w:pPr>
    </w:p>
    <w:p>
      <w:pPr>
        <w:ind w:left="1020" w:right="48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rFonts w:ascii="Arial" w:cs="Arial" w:eastAsia="Arial" w:hAnsi="Arial"/>
          <w:sz w:val="18"/>
          <w:szCs w:val="18"/>
          <w:color w:val="auto"/>
        </w:rPr>
      </w:pPr>
    </w:p>
    <w:p>
      <w:pPr>
        <w:ind w:left="1020" w:hanging="503"/>
        <w:spacing w:after="0" w:line="259"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 w:name="page27"/>
    <w:bookmarkEnd w:id="26"/>
    <w:p>
      <w:pPr>
        <w:ind w:left="503"/>
        <w:spacing w:after="0" w:line="277" w:lineRule="auto"/>
        <w:rPr>
          <w:sz w:val="20"/>
          <w:szCs w:val="20"/>
          <w:color w:val="auto"/>
        </w:rPr>
      </w:pPr>
      <w:r>
        <w:rPr>
          <w:rFonts w:ascii="Arial" w:cs="Arial" w:eastAsia="Arial" w:hAnsi="Arial"/>
          <w:sz w:val="18"/>
          <w:szCs w:val="18"/>
          <w:color w:val="auto"/>
        </w:rPr>
        <w:t>adequate insurance or are required to pay for liabilities resulting from a claim excluded from, or beyond the limits of, our insurance coverage, such liability could adversely affect our financial condition.</w:t>
      </w:r>
    </w:p>
    <w:p>
      <w:pPr>
        <w:spacing w:after="0" w:line="62" w:lineRule="exact"/>
        <w:rPr>
          <w:sz w:val="20"/>
          <w:szCs w:val="20"/>
          <w:color w:val="auto"/>
        </w:rPr>
      </w:pPr>
    </w:p>
    <w:p>
      <w:pPr>
        <w:ind w:left="503" w:right="80" w:hanging="503"/>
        <w:spacing w:after="0" w:line="277"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such as COVID-19, or geopolitical tensions, such as the armed conflict between Russia and Ukraine, may materially and adversely affect our business and our financial results.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 if we obtain regulatory approval for a product candidate, we will remain subject to ongoing regulatory requirements.</w:t>
      </w:r>
    </w:p>
    <w:p>
      <w:pPr>
        <w:spacing w:after="0" w:line="117" w:lineRule="exact"/>
        <w:rPr>
          <w:rFonts w:ascii="Arial" w:cs="Arial" w:eastAsia="Arial" w:hAnsi="Arial"/>
          <w:sz w:val="18"/>
          <w:szCs w:val="18"/>
          <w:color w:val="auto"/>
        </w:rPr>
      </w:pPr>
    </w:p>
    <w:p>
      <w:pPr>
        <w:ind w:left="503" w:right="440" w:hanging="503"/>
        <w:spacing w:after="0" w:line="342" w:lineRule="auto"/>
        <w:tabs>
          <w:tab w:leader="none" w:pos="5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5" w:lineRule="exact"/>
        <w:rPr>
          <w:rFonts w:ascii="Arial" w:cs="Arial" w:eastAsia="Arial" w:hAnsi="Arial"/>
          <w:sz w:val="16"/>
          <w:szCs w:val="16"/>
          <w:color w:val="auto"/>
        </w:rPr>
      </w:pPr>
    </w:p>
    <w:p>
      <w:pPr>
        <w:ind w:left="503" w:right="120" w:hanging="503"/>
        <w:spacing w:after="0" w:line="259"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8" w:lineRule="exact"/>
        <w:rPr>
          <w:rFonts w:ascii="Arial" w:cs="Arial" w:eastAsia="Arial" w:hAnsi="Arial"/>
          <w:sz w:val="18"/>
          <w:szCs w:val="18"/>
          <w:color w:val="auto"/>
        </w:rPr>
      </w:pPr>
    </w:p>
    <w:p>
      <w:pPr>
        <w:ind w:left="503" w:right="100" w:hanging="503"/>
        <w:spacing w:after="0" w:line="277"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rFonts w:ascii="Arial" w:cs="Arial" w:eastAsia="Arial" w:hAnsi="Arial"/>
          <w:sz w:val="18"/>
          <w:szCs w:val="18"/>
          <w:color w:val="auto"/>
        </w:rPr>
      </w:pPr>
    </w:p>
    <w:p>
      <w:pPr>
        <w:ind w:left="503" w:right="180" w:hanging="503"/>
        <w:spacing w:after="0" w:line="277"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rFonts w:ascii="Arial" w:cs="Arial" w:eastAsia="Arial" w:hAnsi="Arial"/>
          <w:sz w:val="18"/>
          <w:szCs w:val="18"/>
          <w:color w:val="auto"/>
        </w:rPr>
      </w:pPr>
    </w:p>
    <w:p>
      <w:pPr>
        <w:ind w:left="503" w:hanging="503"/>
        <w:spacing w:after="0" w:line="277"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Ethical, legal and social concerns about synthetic biology and genetic engineering could limit or prevent the use of our technologies and limit our revenues.</w:t>
      </w:r>
    </w:p>
    <w:p>
      <w:pPr>
        <w:spacing w:after="0" w:line="62" w:lineRule="exact"/>
        <w:rPr>
          <w:rFonts w:ascii="Arial" w:cs="Arial" w:eastAsia="Arial" w:hAnsi="Arial"/>
          <w:sz w:val="18"/>
          <w:szCs w:val="18"/>
          <w:color w:val="auto"/>
        </w:rPr>
      </w:pPr>
    </w:p>
    <w:p>
      <w:pPr>
        <w:ind w:left="503" w:right="640" w:hanging="503"/>
        <w:spacing w:after="0" w:line="277"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successful in obtaining or maintaining necessary rights to Synthetic Biotics, product candidates and processes for our development pipeline through acquisitions and in-licenses.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have sufficient patent term protections for our product candidates to effectively protect our business.</w:t>
      </w:r>
    </w:p>
    <w:p>
      <w:pPr>
        <w:spacing w:after="0" w:line="117" w:lineRule="exact"/>
        <w:rPr>
          <w:rFonts w:ascii="Arial" w:cs="Arial" w:eastAsia="Arial" w:hAnsi="Arial"/>
          <w:sz w:val="18"/>
          <w:szCs w:val="18"/>
          <w:color w:val="auto"/>
        </w:rPr>
      </w:pPr>
    </w:p>
    <w:p>
      <w:pPr>
        <w:ind w:left="503" w:right="220" w:hanging="503"/>
        <w:spacing w:after="0" w:line="277"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maintain effective proprietary rights for our product candidates or any future product candidates, we may not be able to compete effectively in our proposed markets.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117" w:lineRule="exact"/>
        <w:rPr>
          <w:rFonts w:ascii="Arial" w:cs="Arial" w:eastAsia="Arial" w:hAnsi="Arial"/>
          <w:sz w:val="18"/>
          <w:szCs w:val="18"/>
          <w:color w:val="auto"/>
        </w:rPr>
      </w:pPr>
    </w:p>
    <w:p>
      <w:pPr>
        <w:ind w:left="503" w:right="120" w:hanging="503"/>
        <w:spacing w:after="0" w:line="277"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our patents or the patents of our licensors, which could be expensive, time consuming, and unsuccessful.</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claims challenging the inventorship of our patents and other intellectual property.</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17" w:lineRule="exact"/>
        <w:rPr>
          <w:rFonts w:ascii="Arial" w:cs="Arial" w:eastAsia="Arial" w:hAnsi="Arial"/>
          <w:sz w:val="18"/>
          <w:szCs w:val="18"/>
          <w:color w:val="auto"/>
        </w:rPr>
      </w:pPr>
    </w:p>
    <w:p>
      <w:pPr>
        <w:ind w:left="503" w:right="40" w:hanging="503"/>
        <w:spacing w:after="0" w:line="263"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5" w:lineRule="exact"/>
        <w:rPr>
          <w:rFonts w:ascii="Arial" w:cs="Arial" w:eastAsia="Arial" w:hAnsi="Arial"/>
          <w:sz w:val="18"/>
          <w:szCs w:val="18"/>
          <w:color w:val="auto"/>
        </w:rPr>
      </w:pPr>
    </w:p>
    <w:p>
      <w:pPr>
        <w:ind w:left="503" w:right="120" w:hanging="503"/>
        <w:spacing w:after="0" w:line="277"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rely on third-party supply and manufacturing partners for drug supplies for our late-stage clinical activities and may do the same for any commercial supplies of our product candidates.</w:t>
      </w:r>
    </w:p>
    <w:p>
      <w:pPr>
        <w:spacing w:after="0" w:line="62" w:lineRule="exact"/>
        <w:rPr>
          <w:rFonts w:ascii="Arial" w:cs="Arial" w:eastAsia="Arial" w:hAnsi="Arial"/>
          <w:sz w:val="18"/>
          <w:szCs w:val="18"/>
          <w:color w:val="auto"/>
        </w:rPr>
      </w:pPr>
    </w:p>
    <w:p>
      <w:pPr>
        <w:ind w:left="503" w:right="400" w:hanging="503"/>
        <w:spacing w:after="0" w:line="277"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rFonts w:ascii="Arial" w:cs="Arial" w:eastAsia="Arial" w:hAnsi="Arial"/>
          <w:sz w:val="18"/>
          <w:szCs w:val="18"/>
          <w:color w:val="auto"/>
        </w:rPr>
      </w:pPr>
    </w:p>
    <w:p>
      <w:pPr>
        <w:ind w:left="503" w:right="100" w:hanging="503"/>
        <w:spacing w:after="0" w:line="311" w:lineRule="auto"/>
        <w:tabs>
          <w:tab w:leader="none" w:pos="5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0" w:lineRule="exact"/>
        <w:rPr>
          <w:rFonts w:ascii="Arial" w:cs="Arial" w:eastAsia="Arial" w:hAnsi="Arial"/>
          <w:sz w:val="16"/>
          <w:szCs w:val="16"/>
          <w:color w:val="auto"/>
        </w:rPr>
      </w:pPr>
    </w:p>
    <w:p>
      <w:pPr>
        <w:ind w:left="503" w:hanging="503"/>
        <w:spacing w:after="0"/>
        <w:tabs>
          <w:tab w:leader="none" w:pos="5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face substantial competition, and our competitors may discover, develop or commercialize products faster or more successfully than us.</w:t>
      </w:r>
    </w:p>
    <w:p>
      <w:pPr>
        <w:spacing w:after="0" w:line="140" w:lineRule="exact"/>
        <w:rPr>
          <w:rFonts w:ascii="Arial" w:cs="Arial" w:eastAsia="Arial" w:hAnsi="Arial"/>
          <w:sz w:val="16"/>
          <w:szCs w:val="16"/>
          <w:color w:val="auto"/>
        </w:rPr>
      </w:pPr>
    </w:p>
    <w:p>
      <w:pPr>
        <w:ind w:left="503" w:right="300" w:hanging="503"/>
        <w:spacing w:after="0" w:line="308" w:lineRule="auto"/>
        <w:tabs>
          <w:tab w:leader="none" w:pos="503"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146"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36" w:right="359" w:bottom="1440" w:gutter="0" w:footer="0" w:header="0"/>
        </w:sectPr>
      </w:pPr>
    </w:p>
    <w:bookmarkStart w:id="27" w:name="page28"/>
    <w:bookmarkEnd w:id="27"/>
    <w:p>
      <w:pPr>
        <w:ind w:left="1020" w:right="20" w:hanging="503"/>
        <w:spacing w:after="0" w:line="308"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38" w:lineRule="exact"/>
        <w:rPr>
          <w:rFonts w:ascii="Arial" w:cs="Arial" w:eastAsia="Arial" w:hAnsi="Arial"/>
          <w:sz w:val="17"/>
          <w:szCs w:val="17"/>
          <w:color w:val="auto"/>
        </w:rPr>
      </w:pPr>
    </w:p>
    <w:p>
      <w:pPr>
        <w:ind w:left="1020" w:right="20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are able to exert significant control over matters subject to stockholder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sales of our common stock or securities convertible or exchangeable for our common stock may depress our stock price.</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rFonts w:ascii="Arial" w:cs="Arial" w:eastAsia="Arial" w:hAnsi="Arial"/>
          <w:sz w:val="18"/>
          <w:szCs w:val="18"/>
          <w:color w:val="auto"/>
        </w:rPr>
      </w:pPr>
    </w:p>
    <w:p>
      <w:pPr>
        <w:ind w:left="1020" w:right="220" w:hanging="503"/>
        <w:spacing w:after="0" w:line="308"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fail to comply with the continued listing requirements of the Nasdaq Capital Market, such that our common stock may be delisted and the price of our common stock and our ability to access the capital markets could be negatively impacted.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Capital Requirements and Operating Results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We are a clinical-stage biopharmaceutical company focused on the development of Synthetic Biotics and we have incurred significant operating losses since our inception. Our net loss was approximately $15.0 million and $30.7 million for the three and six months ended June 30, 2023, respectively, and $15.8 million and $31.5 million for the three and six months ended June 30, 2022, respectively. As of June 30, 2023, we had an accumulated deficit of approximately $387.7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approved for commercialization.</w:t>
      </w:r>
    </w:p>
    <w:p>
      <w:pPr>
        <w:spacing w:after="0" w:line="164"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117"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We have used substantial funds to discover and develop our programs and proprietary drug development platform in synthetic biology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7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or we enter into third-party arrangements with collaborators.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8" w:name="page29"/>
    <w:bookmarkEnd w:id="28"/>
    <w:p>
      <w:pPr>
        <w:ind w:right="100"/>
        <w:spacing w:after="0" w:line="275" w:lineRule="auto"/>
        <w:rPr>
          <w:sz w:val="20"/>
          <w:szCs w:val="20"/>
          <w:color w:val="auto"/>
        </w:rPr>
      </w:pPr>
      <w:r>
        <w:rPr>
          <w:rFonts w:ascii="Arial" w:cs="Arial" w:eastAsia="Arial" w:hAnsi="Arial"/>
          <w:sz w:val="17"/>
          <w:szCs w:val="17"/>
          <w:color w:val="auto"/>
        </w:rPr>
        <w:t>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76" w:lineRule="exact"/>
        <w:rPr>
          <w:sz w:val="20"/>
          <w:szCs w:val="20"/>
          <w:color w:val="auto"/>
        </w:rPr>
      </w:pPr>
    </w:p>
    <w:p>
      <w:pPr>
        <w:ind w:right="400" w:firstLine="509"/>
        <w:spacing w:after="0" w:line="279" w:lineRule="auto"/>
        <w:rPr>
          <w:sz w:val="20"/>
          <w:szCs w:val="20"/>
          <w:color w:val="auto"/>
        </w:rPr>
      </w:pPr>
      <w:r>
        <w:rPr>
          <w:rFonts w:ascii="Arial" w:cs="Arial" w:eastAsia="Arial" w:hAnsi="Arial"/>
          <w:sz w:val="17"/>
          <w:szCs w:val="17"/>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w:t>
      </w:r>
    </w:p>
    <w:p>
      <w:pPr>
        <w:spacing w:after="0" w:line="76"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and maintain Synthetic Biotic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and approval processes;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prevent the theft or misappropriation of our intellectual property, know-how or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achieve milestones with our collaborators, such as Roche;</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or developing competing technologies or products;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225"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our stockholders may not be able to resell shares of our common stock at or above the price they paid.</w:t>
      </w:r>
    </w:p>
    <w:p>
      <w:pPr>
        <w:spacing w:after="0" w:line="12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such as reports by industry analysts, investor perceptions, general industry trends, macro-economic conditions</w:t>
      </w:r>
      <w:r>
        <w:rPr>
          <w:rFonts w:ascii="Arial" w:cs="Arial" w:eastAsia="Arial" w:hAnsi="Arial"/>
          <w:sz w:val="18"/>
          <w:szCs w:val="18"/>
          <w:u w:val="single" w:color="auto"/>
          <w:color w:val="auto"/>
        </w:rPr>
        <w:t>,</w:t>
      </w:r>
      <w:r>
        <w:rPr>
          <w:rFonts w:ascii="Arial" w:cs="Arial" w:eastAsia="Arial" w:hAnsi="Arial"/>
          <w:sz w:val="18"/>
          <w:szCs w:val="18"/>
          <w:color w:val="auto"/>
        </w:rPr>
        <w:t xml:space="preserve"> or negative announcements by other companies involving similar technologies or diseases. These factors also include those discussed in this “Risk Factors” section of this Quarterly Report on Form 10-Q and others such as:</w:t>
      </w:r>
    </w:p>
    <w:p>
      <w:pPr>
        <w:spacing w:after="0" w:line="79" w:lineRule="exact"/>
        <w:rPr>
          <w:sz w:val="20"/>
          <w:szCs w:val="20"/>
          <w:color w:val="auto"/>
        </w:rPr>
      </w:pPr>
    </w:p>
    <w:p>
      <w:pPr>
        <w:ind w:left="1020" w:right="46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relating to collaborations that we may enter into with respect to the development or commercialization of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relating to the receipt, modification or termination of government contracts or grants;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liability claims related to our clinical trials or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Perspectives on synthetic biology and genetic engineering;</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29" w:name="page30"/>
    <w:bookmarkEnd w:id="29"/>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Perspectives on the programs of competitors</w:t>
      </w:r>
      <w:r>
        <w:rPr>
          <w:rFonts w:ascii="Arial" w:cs="Arial" w:eastAsia="Arial" w:hAnsi="Arial"/>
          <w:sz w:val="18"/>
          <w:szCs w:val="18"/>
          <w:u w:val="single" w:color="auto"/>
          <w:color w:val="auto"/>
        </w:rPr>
        <w: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disruptions caused by natural disasters;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Disputes concerning our intellectual property or other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our common stock by the company, our executive officers and directors or our stockholders in the future;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an active, liquid and orderly market in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our quarterly operating results;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p>
    <w:p>
      <w:pPr>
        <w:spacing w:after="0" w:line="225" w:lineRule="exact"/>
        <w:rPr>
          <w:sz w:val="20"/>
          <w:szCs w:val="20"/>
          <w:color w:val="auto"/>
        </w:rPr>
      </w:pPr>
    </w:p>
    <w:p>
      <w:pPr>
        <w:ind w:right="240" w:firstLine="509"/>
        <w:spacing w:after="0" w:line="296"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stockholders to evaluate the success of our business to date and to assess our future viability.</w:t>
      </w:r>
    </w:p>
    <w:p>
      <w:pPr>
        <w:spacing w:after="0" w:line="140"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We will need to transition from a company with a focus on research and clinical development to a company capable of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8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76"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 Similarly, on March 12, 2023, Signature Bank and Silvergate Capital Corp. were each swept into receivership and on May 1, 2023, First Republic Bank was swept into receivership. Although a statement by the Department of the Treasury, the Federal Reserve and the FDIC stated that all depositors of SVB would have access to all of their money after only one business day of closure, including funds held in uninsured deposit accounts, uncertainty remains over liquidity concerns in the broader financial services industry. Similar impacts have occurred in the past, such as during the 2008-2010 financial crisis.</w:t>
      </w:r>
    </w:p>
    <w:p>
      <w:pPr>
        <w:spacing w:after="0" w:line="73" w:lineRule="exact"/>
        <w:rPr>
          <w:sz w:val="20"/>
          <w:szCs w:val="20"/>
          <w:color w:val="auto"/>
        </w:rPr>
      </w:pPr>
    </w:p>
    <w:p>
      <w:pPr>
        <w:jc w:val="both"/>
        <w:ind w:right="20" w:firstLine="509"/>
        <w:spacing w:after="0" w:line="259" w:lineRule="auto"/>
        <w:rPr>
          <w:sz w:val="20"/>
          <w:szCs w:val="20"/>
          <w:color w:val="auto"/>
        </w:rPr>
      </w:pPr>
      <w:r>
        <w:rPr>
          <w:rFonts w:ascii="Arial" w:cs="Arial" w:eastAsia="Arial" w:hAnsi="Arial"/>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p>
      <w:pPr>
        <w:ind w:right="220"/>
        <w:spacing w:after="0" w:line="263" w:lineRule="auto"/>
        <w:rPr>
          <w:sz w:val="20"/>
          <w:szCs w:val="20"/>
          <w:color w:val="auto"/>
        </w:rPr>
      </w:pPr>
      <w:r>
        <w:rPr>
          <w:rFonts w:ascii="Arial" w:cs="Arial" w:eastAsia="Arial" w:hAnsi="Arial"/>
          <w:sz w:val="18"/>
          <w:szCs w:val="18"/>
          <w:color w:val="auto"/>
        </w:rPr>
        <w:t>customer withdrawals or other liquidity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76"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Although we review our banking relationships as we believe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58" w:lineRule="exact"/>
        <w:rPr>
          <w:sz w:val="20"/>
          <w:szCs w:val="20"/>
          <w:color w:val="auto"/>
        </w:rPr>
      </w:pPr>
    </w:p>
    <w:p>
      <w:pPr>
        <w:ind w:firstLine="509"/>
        <w:spacing w:after="0" w:line="328" w:lineRule="auto"/>
        <w:rPr>
          <w:sz w:val="20"/>
          <w:szCs w:val="20"/>
          <w:color w:val="auto"/>
        </w:rPr>
      </w:pPr>
      <w:r>
        <w:rPr>
          <w:rFonts w:ascii="Arial" w:cs="Arial" w:eastAsia="Arial" w:hAnsi="Arial"/>
          <w:sz w:val="16"/>
          <w:szCs w:val="16"/>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r>
        <w:rPr>
          <w:rFonts w:ascii="Arial" w:cs="Arial" w:eastAsia="Arial" w:hAnsi="Arial"/>
          <w:sz w:val="19"/>
          <w:szCs w:val="19"/>
          <w:color w:val="auto"/>
        </w:rPr>
        <w:t>:</w:t>
      </w:r>
    </w:p>
    <w:p>
      <w:pPr>
        <w:spacing w:after="0" w:line="17"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access to working capital 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potential or actual breach of contractual obligations that require us to maintain letters or credit or other credit support arrangements; or</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termination of cash management arrangements and/or delays in accessing or actual loss of funds subject to cash management arrangements.</w:t>
      </w:r>
    </w:p>
    <w:p>
      <w:pPr>
        <w:spacing w:after="0" w:line="140"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69"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62"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41" w:lineRule="exact"/>
        <w:rPr>
          <w:sz w:val="20"/>
          <w:szCs w:val="20"/>
          <w:color w:val="auto"/>
        </w:rPr>
      </w:pPr>
    </w:p>
    <w:p>
      <w:pPr>
        <w:ind w:left="1020" w:right="14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Inability to generate satisfactory preclinical or other nonclinical data, including,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or diagnostics to support the initiation or continuation of clinical trials;</w:t>
      </w:r>
    </w:p>
    <w:p>
      <w:pPr>
        <w:spacing w:after="0" w:line="62" w:lineRule="exact"/>
        <w:rPr>
          <w:rFonts w:ascii="Arial" w:cs="Arial" w:eastAsia="Arial" w:hAnsi="Arial"/>
          <w:sz w:val="18"/>
          <w:szCs w:val="18"/>
          <w:color w:val="auto"/>
        </w:rPr>
      </w:pPr>
    </w:p>
    <w:p>
      <w:pPr>
        <w:ind w:left="1020" w:right="76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recruiting qualified patients in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ind w:left="1020" w:right="6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by us, clinical sites, CROs or other third parties to perform in accordance with the good clinical practices requirements of the FDA or applicable foreign regulatory guidelines;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Patients dropping out of the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Occurrence of adverse events, unacceptable side effects or toxicity issues associated with our product candidates;</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Imposition by the FDA of a clinical hold or the requirement by other similar regulatory agencies that one or more clinical trials be delayed or halted;</w:t>
      </w:r>
    </w:p>
    <w:p>
      <w:pPr>
        <w:spacing w:after="0" w:line="62"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 performing additional nonclinical studies;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ultimate affordability of the cost of clinical trials of our product candidates;</w:t>
      </w:r>
    </w:p>
    <w:p>
      <w:pPr>
        <w:spacing w:after="0" w:line="117" w:lineRule="exact"/>
        <w:rPr>
          <w:rFonts w:ascii="Arial" w:cs="Arial" w:eastAsia="Arial" w:hAnsi="Arial"/>
          <w:sz w:val="18"/>
          <w:szCs w:val="18"/>
          <w:color w:val="auto"/>
        </w:rPr>
      </w:pPr>
    </w:p>
    <w:p>
      <w:pPr>
        <w:ind w:left="1020" w:right="440" w:hanging="503"/>
        <w:spacing w:after="0" w:line="26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75" w:lineRule="exact"/>
        <w:rPr>
          <w:rFonts w:ascii="Arial" w:cs="Arial" w:eastAsia="Arial" w:hAnsi="Arial"/>
          <w:sz w:val="18"/>
          <w:szCs w:val="18"/>
          <w:color w:val="auto"/>
        </w:rPr>
      </w:pPr>
    </w:p>
    <w:p>
      <w:pPr>
        <w:ind w:left="1020" w:right="160" w:hanging="503"/>
        <w:spacing w:after="0" w:line="26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84"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3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6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We have also not yet succeeded and may never succeed in demonstrating efficacy and safety for our current or any future product candidates in a pivotal clinical trial. If we are not able to successfully develop and commercialize product candidates based upon this technological approach, we may never become profitable, and the value of our capital stock may decline.</w:t>
      </w:r>
    </w:p>
    <w:p>
      <w:pPr>
        <w:spacing w:after="0" w:line="2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62"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We have concentrated our research and development efforts to date on a limited number of product candidates based on our Synthetic Biotic therapeutic platform, including demonstrating proof of concept for labafenogene marselecobac (SYNB1934) for PKU, proof of concept for SYNB8802 for enteric hyperoxaluria, and proof of mechanism for SYNB1353 for HCU.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76"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The clinical trial and manufacturing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EMA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expand our development platform to build a pipeline of product candidates.</w:t>
      </w:r>
    </w:p>
    <w:p>
      <w:pPr>
        <w:spacing w:after="0" w:line="11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A key element of our strategy is to use our targeted focus and experienced management and scientific team to create Synthetic Biotics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8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6" w:lineRule="exact"/>
        <w:rPr>
          <w:sz w:val="20"/>
          <w:szCs w:val="20"/>
          <w:color w:val="auto"/>
        </w:rPr>
      </w:pPr>
    </w:p>
    <w:p>
      <w:pPr>
        <w:jc w:val="both"/>
        <w:ind w:right="140" w:firstLine="509"/>
        <w:spacing w:after="0" w:line="311"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49"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62"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or revoke licenses for such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 of such products;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be required to conduct additional clinical trials or costly post-marketing testing and surveillance to monitor the safety of the product;</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9"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3" w:name="page34"/>
    <w:bookmarkEnd w:id="33"/>
    <w:p>
      <w:pPr>
        <w:ind w:right="120"/>
        <w:spacing w:after="0" w:line="259" w:lineRule="auto"/>
        <w:rPr>
          <w:sz w:val="20"/>
          <w:szCs w:val="20"/>
          <w:color w:val="auto"/>
        </w:rPr>
      </w:pPr>
      <w:r>
        <w:rPr>
          <w:rFonts w:ascii="Arial" w:cs="Arial" w:eastAsia="Arial" w:hAnsi="Arial"/>
          <w:sz w:val="18"/>
          <w:szCs w:val="18"/>
          <w:b w:val="1"/>
          <w:bCs w:val="1"/>
          <w:i w:val="1"/>
          <w:iCs w:val="1"/>
          <w:color w:val="auto"/>
        </w:rPr>
        <w:t>We are heavily dependent on the success of our product candidates. Some of our product candidates have produced results in preclinical and clinical settings to date, but none of our product candidates have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79" w:lineRule="exact"/>
        <w:rPr>
          <w:sz w:val="20"/>
          <w:szCs w:val="20"/>
          <w:color w:val="auto"/>
        </w:rPr>
      </w:pPr>
    </w:p>
    <w:p>
      <w:pPr>
        <w:ind w:right="340" w:firstLine="509"/>
        <w:spacing w:after="0" w:line="311" w:lineRule="auto"/>
        <w:rPr>
          <w:sz w:val="20"/>
          <w:szCs w:val="20"/>
          <w:color w:val="auto"/>
        </w:rPr>
      </w:pPr>
      <w:r>
        <w:rPr>
          <w:rFonts w:ascii="Arial" w:cs="Arial" w:eastAsia="Arial" w:hAnsi="Arial"/>
          <w:sz w:val="16"/>
          <w:szCs w:val="16"/>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4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addition, among our product candidates, only labafenogene marselecobac (SYNB1934) has advanced into a pivotal clinical trial for its proposed indication, and it may be years before any pivotal clinical trials are initiated for our other products and completed for any, including labafenogene marselecobac (SYNB1934),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3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17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As part of our business strategy, we have developed and may in the future develop product candidates that may be eligible for FDA and European Commission orphan drug designation. In May 2023, the FDA granted orphan drug designation to labafenogene marselecobac (SYNB1934)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In March 2023, the EMA issued a positive opinion on our application for orphan designation for labafenogene marselecobac (SYNB1934) for the treatment of PKU. In November 2022, we received orphan drug designation from the FDA for SYNB1353 as a potential treatment for HCU.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82"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8"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Even though we have obtained orphan drug designation for some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3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seek a Rare Pediatric Disease Designation, or RPDD, for one or more of our product candidates. However, a BLA for one or more of our product candidates may not meet the eligibility criteria for a priority review voucher upon approval.</w:t>
      </w:r>
    </w:p>
    <w:p>
      <w:pPr>
        <w:spacing w:after="0" w:line="170"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In January 2023, labafenogene marselecobac (SYNB1934) received RPDD for phenylketonuria and in December 2022, SYNB1353 received RPDD for homocystinuria. With enactment of the Food and Drug Administration Safety and Innovation Act in 2012, Congress authorized the FDA to award priority review vouchers to sponsors of certain rare pediatric disease product applications that meet the criteria specified in the law. This provision is designed to encourage development of new drug and biological products for prevention and treatment of certain rare pediatric diseases. Specifically, under this program, a sponsor who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4" w:name="page35"/>
    <w:bookmarkEnd w:id="34"/>
    <w:p>
      <w:pPr>
        <w:ind w:right="40"/>
        <w:spacing w:after="0" w:line="275" w:lineRule="auto"/>
        <w:rPr>
          <w:sz w:val="20"/>
          <w:szCs w:val="20"/>
          <w:color w:val="auto"/>
        </w:rPr>
      </w:pPr>
      <w:r>
        <w:rPr>
          <w:rFonts w:ascii="Arial" w:cs="Arial" w:eastAsia="Arial" w:hAnsi="Arial"/>
          <w:sz w:val="17"/>
          <w:szCs w:val="17"/>
          <w:color w:val="auto"/>
        </w:rPr>
        <w:t>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76" w:lineRule="exact"/>
        <w:rPr>
          <w:sz w:val="20"/>
          <w:szCs w:val="20"/>
          <w:color w:val="auto"/>
        </w:rPr>
      </w:pPr>
    </w:p>
    <w:p>
      <w:pPr>
        <w:jc w:val="center"/>
        <w:ind w:right="180"/>
        <w:spacing w:after="0" w:line="291" w:lineRule="auto"/>
        <w:rPr>
          <w:sz w:val="20"/>
          <w:szCs w:val="20"/>
          <w:color w:val="auto"/>
        </w:rPr>
      </w:pPr>
      <w:r>
        <w:rPr>
          <w:rFonts w:ascii="Arial" w:cs="Arial" w:eastAsia="Arial" w:hAnsi="Arial"/>
          <w:sz w:val="16"/>
          <w:szCs w:val="16"/>
          <w:color w:val="auto"/>
        </w:rPr>
        <w:t>For the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w:t>
      </w:r>
    </w:p>
    <w:p>
      <w:pPr>
        <w:ind w:right="20" w:firstLine="8"/>
        <w:spacing w:after="0" w:line="268" w:lineRule="auto"/>
        <w:tabs>
          <w:tab w:leader="none" w:pos="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rare disease or conditions within the meaning of the Orphan Drug Act. The FDA may determine that a BLA for one or more of our product candidates does not meet the eligibility criteria for a priority review voucher upon approval. Moreover, due to the current statutory authority for the RPDD and voucher program, the FDA may not award the voucher to sponsors of marketing applications unless either (i) the drug has received rare pediatric disease designation as of September 30, 2024, and is then approved by the FDA no later than September 30, 2026; or (ii) Congress reauthorizes the program. Even though we received rare pediatric disease designation for labafenogene marselecobac (SYNB1934) and SYNB1353 by the current statutory deadline of September 30, 2024 we may not receive the voucher if we do not obtain approval by September 2026. Even if legislation is enacted that extends the date by which approval of the rare pediatric disease-designated drug must obtain approval to receive a priority review voucher, we may not obtain approval by that date, and even if we do, we may not obtain a priority review voucher.</w:t>
      </w:r>
    </w:p>
    <w:p>
      <w:pPr>
        <w:spacing w:after="0" w:line="2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and many companies that believed their product candidates performed satisfactorily in preclinical studies and clinical trials nonetheless failed to obtain regulatory authority approval. Product candidates that seemingly perform satisfactorily in preclinical studies and clinical trials may nonetheless fail to obtain regulatory approval. There is a high failure rate for drugs proceeding through clinical trials. Many companies in the pharmaceutical and biotechnology industries have suffered significant setbacks in clinical development even after achieving promising results in earlier studies. These setbacks have been caused by, among other things, preclinical findings made while clinical trials were underway, or safety or efficacy observations made in preclinical studies and clinical trials, including previously unreported adverse events. Any such setbacks in our clinical development could negatively affect our business and operating results.</w:t>
      </w:r>
    </w:p>
    <w:p>
      <w:pPr>
        <w:spacing w:after="0" w:line="29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Clinical trials of a new product candidate require the enrollment of a sufficient number of healthy volunteers or patients suffering from the disease or condition the product candidate is intended to treat and who meet other eligibility criteria. The timing of our clinical trials depends on our ability to recruit eligible subjects to participate as well as the completion of required follow-up evaluations. Patients and healthy volunteers may be unwilling to participate in our clinical trials because of negative publicity from adverse events related to novel therapeutic approaches, competitive clinical trials for similar patient populations, the existence of current treatments or for other reasons including due to concerns posed by the COVID-19 pandemic.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the clinical trial administration practices of the contract research organization (CRO) or clinical trial sites, labor shortages at the CRO or clinical trial sites, benefits and convenience of administration of the product candidate being studied, the patient referral practices of physicians, the amount of attention provided to our trial by clinical trial sites, our efforts and the CRO efforts,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78"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150,000 patients that may be diagnosed with PKU in the United States, Europe and Asia.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ind w:right="20"/>
        <w:spacing w:after="0" w:line="275" w:lineRule="auto"/>
        <w:rPr>
          <w:sz w:val="20"/>
          <w:szCs w:val="20"/>
          <w:color w:val="auto"/>
        </w:rPr>
      </w:pPr>
      <w:r>
        <w:rPr>
          <w:rFonts w:ascii="Arial" w:cs="Arial" w:eastAsia="Arial" w:hAnsi="Arial"/>
          <w:sz w:val="17"/>
          <w:szCs w:val="17"/>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68"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60"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Although we have product liability insurance, which covers any clinical trial we may conduct in the United States or internationally,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64"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commercialized, product recalls, withdrawals of labeling, marketing or promotional restrictions or the need for product modification;</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Liabilities that substantially exceed our product liability insurance, which we would then be required to pay ourselves;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increase in our product liability insurance rates or the inability to maintain insurance coverage in the future on acceptable terms, if at all;</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diversion of management’s attention from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key employees;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and our technology.</w:t>
      </w:r>
    </w:p>
    <w:p>
      <w:pPr>
        <w:spacing w:after="0" w:line="225"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Product liability claims may subject us to the foregoing and other risks, which could have a material adverse effect on our business, financial condition or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6" w:name="page37"/>
    <w:bookmarkEnd w:id="36"/>
    <w:p>
      <w:pPr>
        <w:ind w:right="220"/>
        <w:spacing w:after="0" w:line="277" w:lineRule="auto"/>
        <w:rPr>
          <w:sz w:val="20"/>
          <w:szCs w:val="20"/>
          <w:color w:val="auto"/>
        </w:rPr>
      </w:pPr>
      <w:r>
        <w:rPr>
          <w:rFonts w:ascii="Arial" w:cs="Arial" w:eastAsia="Arial" w:hAnsi="Arial"/>
          <w:sz w:val="18"/>
          <w:szCs w:val="18"/>
          <w:b w:val="1"/>
          <w:bCs w:val="1"/>
          <w:i w:val="1"/>
          <w:iCs w:val="1"/>
          <w:color w:val="auto"/>
        </w:rPr>
        <w:t>We or the third parties upon which we depend may be adversely affected by natural disasters and our business continuity and disaster recovery plans may not adequately protect us from a serious disaster.</w:t>
      </w:r>
    </w:p>
    <w:p>
      <w:pPr>
        <w:spacing w:after="0" w:line="62"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such as COVID-19, or geopolitical tensions, such as the armed conflict between Russia and Ukraine, may materially and adversely affect our business and our financial results.</w:t>
      </w:r>
    </w:p>
    <w:p>
      <w:pPr>
        <w:spacing w:after="0" w:line="62" w:lineRule="exact"/>
        <w:rPr>
          <w:sz w:val="20"/>
          <w:szCs w:val="20"/>
          <w:color w:val="auto"/>
        </w:rPr>
      </w:pPr>
    </w:p>
    <w:p>
      <w:pPr>
        <w:ind w:right="180" w:firstLine="509"/>
        <w:spacing w:after="0" w:line="287" w:lineRule="auto"/>
        <w:rPr>
          <w:sz w:val="20"/>
          <w:szCs w:val="20"/>
          <w:color w:val="auto"/>
        </w:rPr>
      </w:pPr>
      <w:r>
        <w:rPr>
          <w:rFonts w:ascii="Arial" w:cs="Arial" w:eastAsia="Arial" w:hAnsi="Arial"/>
          <w:sz w:val="16"/>
          <w:szCs w:val="16"/>
          <w:color w:val="auto"/>
        </w:rPr>
        <w:t>Over the past several years, the coronavirus outbreak has affected segments of the global economy and it may continue to materially affect our operations, including potentially significant interruption of our clinical trial activities. In addition, there could be a continuing effect of COVID-19 to the business at FDA or other health authorities, which could result in delays of reviews and approvals, including with respect to our product candidates. The COVID-19 pandemic could also have a material adverse effect on our clinical trial operations in the United States and elsewhere, including our ability to recruit and retain patients and principal investigators and site staff who, as healthcare providers, may have heightened exposure to COVID-19 if an outbreak occurs in their geography. COVID-19 may also affect employees of third-party contract research organizations and contract manufacturing organizations located in affected geographies that we rely upon to carry out our clinical trials. While the potential economic impact brought by and the duration of the coronavirus outbreak may be difficult to assess or predict, a widespread pandemic could result in significant disruption of global financial markets, potentially reducing our ability to access capital, which could in the future negatively affect our liquidity. Similarly, the current conflict between Ukraine and Russia has created extreme volatility in the global capital markets and is expected to have further global economic consequences, including disruptions of the global supply chain and energy markets. A recession or market correction resulting from the continued spread of COVID-19 or the geopolitical tensions in Russia and Ukraine, could materially affect our business and the price of our common stock.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The regulatory approval processes of the FDA and other comparable foreign regulatory authorities are lengthy, time consuming and inherently unpredictable, and if we are ultimately unable to obtain regulatory approval for our product candidates, our business will be substantially harmed.</w:t>
      </w:r>
    </w:p>
    <w:p>
      <w:pPr>
        <w:spacing w:after="0" w:line="1"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 time required to obtain marketing approval for a novel therapeutic product from the FDA and other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commercialization, of any product candidate and it is possible that none of our existing product candidates or any product candidates we may seek to develop in the future will ever obtain that approval.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1020" w:right="74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other comparable foreign regulatory authorities that our product candidates are safe, pure and potent or effective for their proposed indications;</w:t>
      </w:r>
    </w:p>
    <w:p>
      <w:pPr>
        <w:spacing w:after="0" w:line="62"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other comparable foreign regulatory authorities in order to support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20" w:right="360" w:hanging="503"/>
        <w:spacing w:after="0" w:line="342"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BLA, to the FDA or other equivalent marketing authorization application submissions to obtain regulatory approval in the United States or elsewhere;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7" w:name="page38"/>
    <w:bookmarkEnd w:id="37"/>
    <w:p>
      <w:pPr>
        <w:ind w:left="1020" w:right="34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review of our clinical trial sites and data, the FDA or comparable foreign regulatory authorities may find our record keeping or the record keeping of our clinical trial sites or investigators to be inadequate;</w:t>
      </w:r>
    </w:p>
    <w:p>
      <w:pPr>
        <w:spacing w:after="0" w:line="62"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foreign regulatory authorities or the laws they enforce may significantly change in a manner rendering our clinical data insufficient for approval.</w:t>
      </w:r>
    </w:p>
    <w:p>
      <w:pPr>
        <w:spacing w:after="0" w:line="170"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other comparable foreign regulatory authorities have substantial discretion in the approval process and determining when or whether to grant regulatory approval will be obtained for any of our product candidates, and whether to impose any conditions on such marketing approvals as described below. Even if we believe the data collected from clinical trials of our product candidates are promising, such data may not be sufficient to support approval by the FDA or other comparable foreign regulatory authorities.</w:t>
      </w:r>
    </w:p>
    <w:p>
      <w:pPr>
        <w:spacing w:after="0" w:line="192"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if any, they may grant approval contingent on the performance of costly post-marketing clinical trials, or they may approve a product candidate with a label that does not include the labeling claims necessary or desirable for the successful commercialization of that product candidate or with restrictive risk mitigation measures or warning language or contraindications that make the approved product more difficult or costly to commercialize. Any of the foregoing scenarios could materially harm the commercial prospects for our product candidates.</w:t>
      </w:r>
    </w:p>
    <w:p>
      <w:pPr>
        <w:spacing w:after="0" w:line="3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76" w:lineRule="exact"/>
        <w:rPr>
          <w:sz w:val="20"/>
          <w:szCs w:val="20"/>
          <w:color w:val="auto"/>
        </w:rPr>
      </w:pPr>
    </w:p>
    <w:p>
      <w:pPr>
        <w:jc w:val="both"/>
        <w:ind w:right="60" w:firstLine="509"/>
        <w:spacing w:after="0" w:line="293" w:lineRule="auto"/>
        <w:rPr>
          <w:sz w:val="20"/>
          <w:szCs w:val="20"/>
          <w:color w:val="auto"/>
        </w:rPr>
      </w:pPr>
      <w:r>
        <w:rPr>
          <w:rFonts w:ascii="Arial" w:cs="Arial" w:eastAsia="Arial" w:hAnsi="Arial"/>
          <w:sz w:val="16"/>
          <w:szCs w:val="16"/>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64"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grant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28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have received Fast Track designation for one of our product candidates and may seek such designation for one or more of our other product candidates, but we might not receive such designation, and even if we do, such designation may not actually lead to a faster development or regulatory review or approval process.</w:t>
      </w:r>
    </w:p>
    <w:p>
      <w:pPr>
        <w:spacing w:after="0" w:line="76"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If a product candidate is intended for the treatment of a serious condition and nonclinical or clinical data demonstrate the potential to address unmet medical need for the condition, a product sponsor may apply for Fast Track designation. We were awarded Fast Track designation for SYNB1618 (an earlier generation of labafenogene marselecobac) in April 2018, for labofenogene marselecobac in July 2023, and for SYNB1353 in August 2022. Fast Track designation does not ensure that we will receive marketing approval for the product candidate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we will remain subject to ongoing regulatory requirements.</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7"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(cGMP) regulations and corresponding foreign regulatory manufacturing requirements. As such, we and our contract manufacturers will be subject to continual review and inspections to assess compliance with cGMP and adherence to commitments made in any BLA or marketing authorization application.</w:t>
      </w:r>
    </w:p>
    <w:p>
      <w:pPr>
        <w:spacing w:after="0" w:line="157"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line="252" w:lineRule="auto"/>
        <w:rPr>
          <w:sz w:val="20"/>
          <w:szCs w:val="20"/>
          <w:color w:val="auto"/>
        </w:rPr>
      </w:pPr>
      <w:r>
        <w:rPr>
          <w:rFonts w:ascii="Arial" w:cs="Arial" w:eastAsia="Arial" w:hAnsi="Arial"/>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94" w:lineRule="exact"/>
        <w:rPr>
          <w:sz w:val="20"/>
          <w:szCs w:val="20"/>
          <w:color w:val="auto"/>
        </w:rPr>
      </w:pPr>
    </w:p>
    <w:p>
      <w:pPr>
        <w:ind w:right="240" w:firstLine="509"/>
        <w:spacing w:after="0" w:line="279"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63"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 untitled or warning letters;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92"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Obtaining and maintaining marketing approval of our current and future product candidates in one jurisdiction does not mean that we will be successful in obtaining marketing approval of our current and future therapeutic product candidates in other jurisdictions.</w:t>
      </w:r>
    </w:p>
    <w:p>
      <w:pPr>
        <w:spacing w:after="0" w:line="16"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foreign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future products will also be subject to approval.</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9" w:name="page40"/>
    <w:bookmarkEnd w:id="39"/>
    <w:p>
      <w:pPr>
        <w:ind w:right="20" w:firstLine="509"/>
        <w:spacing w:after="0" w:line="255" w:lineRule="auto"/>
        <w:rPr>
          <w:sz w:val="20"/>
          <w:szCs w:val="20"/>
          <w:color w:val="auto"/>
        </w:rPr>
      </w:pPr>
      <w:r>
        <w:rPr>
          <w:rFonts w:ascii="Arial" w:cs="Arial" w:eastAsia="Arial" w:hAnsi="Arial"/>
          <w:sz w:val="18"/>
          <w:szCs w:val="18"/>
          <w:color w:val="auto"/>
        </w:rPr>
        <w:t>We may submit marketing applications in other countries in addition to the United States.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300" w:lineRule="exact"/>
        <w:rPr>
          <w:sz w:val="20"/>
          <w:szCs w:val="20"/>
          <w:color w:val="auto"/>
        </w:rPr>
      </w:pPr>
    </w:p>
    <w:p>
      <w:pPr>
        <w:ind w:right="32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The coronavirus pandemic has also adversely affected the operations of necessary government agencies.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In addition, competing demands from other companies or issues can affect the timeliness for which the FDA can review and process our regulatory submissions.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reform measures may have a material adverse effect on our business, financial condition or results of operations.</w:t>
      </w:r>
    </w:p>
    <w:p>
      <w:pPr>
        <w:spacing w:after="0" w:line="129"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(collectively, the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and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biologics, and created a new Medicare Part D coverage gap discount program, in which manufacturers must agree to offer 70% (increased from 50% pursuant to the Bipartisan Budget Act of 2018, effective as of 2019) point-of-sale discounts off negotiated prices of applicable brand drugs and biologics to eligible beneficiaries during their coverage gap period, as a condition for the manufacturer’s outpatient drugs or biologics to be covered under Medicare Part D.</w:t>
      </w:r>
    </w:p>
    <w:p>
      <w:pPr>
        <w:spacing w:after="0" w:line="182"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Further legislative and regulatory changes under the ACA remain possible, although it is unknown what form any such changes or any law would take, and how or whether it may affect the biopharmaceutical industry as a whole or our business in the future. We expect that changes or additions to the ACA, the Medicare and Medicaid programs, such as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 care industry in the US.</w:t>
      </w:r>
    </w:p>
    <w:p>
      <w:pPr>
        <w:spacing w:after="0" w:line="188" w:lineRule="exact"/>
        <w:rPr>
          <w:sz w:val="20"/>
          <w:szCs w:val="20"/>
          <w:color w:val="auto"/>
        </w:rPr>
      </w:pPr>
    </w:p>
    <w:p>
      <w:pPr>
        <w:ind w:right="200" w:firstLine="509"/>
        <w:spacing w:after="0" w:line="291"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2032, unless additional Congressional action is taken. On January 2, 2013, the American Taxpayer Relief Act of 2012 was signed into law, which, among other things, reduced Medicare payments to several providers, including hospitals and cancer treatment centers, and increased the statute of limitations period for the government to recover overpayments to providers from three to five years. As another example, the 2021 Consolidated Appropriations Act signed into law on December 27, 2020, incorporated extensive healthcare provisions and amendments to existing laws, including a requirement that all manufacturers of drugs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ind w:right="300"/>
        <w:spacing w:after="0" w:line="277" w:lineRule="auto"/>
        <w:rPr>
          <w:sz w:val="20"/>
          <w:szCs w:val="20"/>
          <w:color w:val="auto"/>
        </w:rPr>
      </w:pPr>
      <w:r>
        <w:rPr>
          <w:rFonts w:ascii="Arial" w:cs="Arial" w:eastAsia="Arial" w:hAnsi="Arial"/>
          <w:sz w:val="18"/>
          <w:szCs w:val="18"/>
          <w:color w:val="auto"/>
        </w:rPr>
        <w:t>and biological products covered under Medicare Part B report the product’s average sales price, or ASP, to HHS subject to enforcement via civil money penalties.</w:t>
      </w:r>
    </w:p>
    <w:p>
      <w:pPr>
        <w:spacing w:after="0" w:line="170"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Further, over the past several years there has been heightened governmental scrutiny over the manner in which biopharmaceutical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probability of success of these newly announced policies, many of which have been subjected to legal challenge in the federal court system, and their potential impact on the U.S. prescription drug marketplace is unknown. There are likely to be continued political and legal challenges associated with implementing these reforms as they are currently envisioned. For example, in July 2021, President Biden issued a sweeping executive order on promoting competition in the American economy that included several mandates pertaining to the pharmaceutical and health care insurance industries and called on HHS to release a comprehensive plan to combat high prescription drug prices. The drug pricing plan released by HHS in September 2021 in response to the executive order makes clear that the Biden Administration supports aggressive action to address rising drug prices, including allowing HHS to negotiate the cost of Medicare Part B and D drugs, but such significant changes will require either new legislation to be passed by Congress or time-consuming administrative actions.</w:t>
      </w:r>
    </w:p>
    <w:p>
      <w:pPr>
        <w:spacing w:after="0" w:line="17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Most recently, in August 2022, President Biden signed into the law the Inflation Reduction Act of 2022, or the IRA. Among other things, the IRA has multiple provisions that may impact the prices of drug products that are both sold into the Medicare program and throughout the United States. Starting in 2023, a manufacturer of a drug or biological product covered by Medicare Parts B or D must pay a rebate to the federal government if the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The effect of the IRA on our business and the healthcare industry in general is not yet known. There remains a large amount of uncertainty regarding the federal government’s approach to making pharmaceutical treatment costs more affordable for patients.</w:t>
      </w:r>
    </w:p>
    <w:p>
      <w:pPr>
        <w:spacing w:after="0" w:line="194"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California requires pharmaceutical manufacturers to notify certain purchasers, including health insurers and government health plans at least 60 days before any scheduled increase in the wholesale acquisition cost (WAC), of their product if the increase exceeds 16%, and further requires pharmaceutical manufacturers to explain whether a change or improvement in the product necessitates such an increase. Similarly, Vermont requires pharmaceutical manufacturers to disclose price information on certain prescription drugs, and to provide notification to the state if introducing a new drug with a WAC in excess of the Medicare Part D specialty drug threshold. In December 2020, the U.S. Supreme Court also held unanimously that federal law does not preempt the states’ ability to regulate pharmaceutical benefit managers, or PBMs, and other members of the healthcare and pharmaceutical supply chain, an important decision that appears to be leading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business of other stakeholders, including biopharmaceutical developers like us.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90"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products. In addition to continuing pressure on prices and cost containment measures, legislative developments at the European Union or EU member state level may result in significant additional requirements or obstacles that may increase our operating costs.</w:t>
      </w:r>
    </w:p>
    <w:p>
      <w:pPr>
        <w:spacing w:after="0" w:line="184" w:lineRule="exact"/>
        <w:rPr>
          <w:sz w:val="20"/>
          <w:szCs w:val="20"/>
          <w:color w:val="auto"/>
        </w:rPr>
      </w:pPr>
    </w:p>
    <w:p>
      <w:pPr>
        <w:jc w:val="both"/>
        <w:ind w:right="340" w:firstLine="509"/>
        <w:spacing w:after="0" w:line="263"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or executive action. We expect that additional federal and state health care reform measures will be adopted in the future, any of which could limit the amounts that federal and state governments will pay for health care products and services, which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could result in limited coverage and reimbursement and reduced demand for our products, once approved, or additional pricing pressures.</w:t>
      </w:r>
    </w:p>
    <w:p>
      <w:pPr>
        <w:spacing w:after="0" w:line="33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8"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80" w:lineRule="exact"/>
        <w:rPr>
          <w:sz w:val="20"/>
          <w:szCs w:val="20"/>
          <w:color w:val="auto"/>
        </w:rPr>
      </w:pPr>
    </w:p>
    <w:p>
      <w:pPr>
        <w:jc w:val="both"/>
        <w:ind w:left="1020" w:right="60" w:hanging="503"/>
        <w:spacing w:after="0" w:line="263"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5"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020" w:right="160" w:hanging="503"/>
        <w:spacing w:after="0" w:line="308"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1020" w:right="560" w:hanging="503"/>
        <w:spacing w:after="0" w:line="308"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38" w:lineRule="exact"/>
        <w:rPr>
          <w:rFonts w:ascii="Arial" w:cs="Arial" w:eastAsia="Arial" w:hAnsi="Arial"/>
          <w:sz w:val="17"/>
          <w:szCs w:val="17"/>
          <w:color w:val="auto"/>
        </w:rPr>
      </w:pPr>
    </w:p>
    <w:p>
      <w:pPr>
        <w:ind w:left="1020" w:right="60" w:hanging="503"/>
        <w:spacing w:after="0" w:line="259"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physician payments sunshine requirements under the ACA require manufacturers of drugs, devices, biologics, and medical supplies to report annually to the HHS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78" w:lineRule="exact"/>
        <w:rPr>
          <w:rFonts w:ascii="Arial" w:cs="Arial" w:eastAsia="Arial" w:hAnsi="Arial"/>
          <w:sz w:val="18"/>
          <w:szCs w:val="18"/>
          <w:color w:val="auto"/>
        </w:rPr>
      </w:pPr>
    </w:p>
    <w:p>
      <w:pPr>
        <w:ind w:left="1020" w:hanging="503"/>
        <w:spacing w:after="0" w:line="272"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77" w:lineRule="exact"/>
        <w:rPr>
          <w:sz w:val="20"/>
          <w:szCs w:val="20"/>
          <w:color w:val="auto"/>
        </w:rPr>
      </w:pPr>
    </w:p>
    <w:p>
      <w:pPr>
        <w:ind w:right="240" w:firstLine="509"/>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U.S. government may assert that a claim including items or services resulting from a violation of the federal anti-kickback statute constitutes a false or fraudulent claim for purposes of the False Claims Act.</w:t>
      </w:r>
    </w:p>
    <w:p>
      <w:pPr>
        <w:spacing w:after="0" w:line="19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2" w:name="page43"/>
    <w:bookmarkEnd w:id="42"/>
    <w:p>
      <w:pPr>
        <w:ind w:firstLine="509"/>
        <w:spacing w:after="0" w:line="284" w:lineRule="auto"/>
        <w:rPr>
          <w:sz w:val="20"/>
          <w:szCs w:val="20"/>
          <w:color w:val="auto"/>
        </w:rPr>
      </w:pPr>
      <w:r>
        <w:rPr>
          <w:rFonts w:ascii="Arial" w:cs="Arial" w:eastAsia="Arial" w:hAnsi="Arial"/>
          <w:sz w:val="16"/>
          <w:szCs w:val="16"/>
          <w:color w:val="auto"/>
        </w:rPr>
        <w:t>In many activities, including the conduct of clinical trials, we are subject to laws and regulations governing data privacy and the protection of health-related and other personal information. The regulatory framework for collecting, using, safeguarding, sharing, transferring and other processing of information worldwide is rapidly evolving and is likely to remain uncertain for the foreseeable future. For example, the collection, use, disclosure, transfer, or other processing of personal data regarding individuals in the European Union, including personal health data, is subject to the General Data Protection Regulation, or GDPR, which took effect across all Member States of the European Economic Area, or EEA, on May 25, 2018. The withdrawal of the United Kingdom from the European Union and the subsequent separation of the data protection regimes of these territories mean we are required to comply with separate data protection laws in the European Union and the United Kingdom, which may lead to additional compliance costs and could increase our overall risk. Similar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However, in July 2020, the Court of Justice of the EU (CJEU) limited how organizations could lawfully transfer personal data from the EEA to the United States by invalidating the EU-US Privacy Shield for purposes of international transfers and imposing further restrictions on use of the standard contractual clauses (SCCs)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The European Commission subsequently issued new SCCs in June 2021 to account for the decision of the CJEU and recommendations made by the European Data Protection Board, and which are in turn relatively more onerous.</w:t>
      </w:r>
    </w:p>
    <w:p>
      <w:pPr>
        <w:spacing w:after="0" w:line="180" w:lineRule="exact"/>
        <w:rPr>
          <w:sz w:val="20"/>
          <w:szCs w:val="20"/>
          <w:color w:val="auto"/>
        </w:rPr>
      </w:pPr>
    </w:p>
    <w:p>
      <w:pPr>
        <w:ind w:right="320" w:firstLine="509"/>
        <w:spacing w:after="0" w:line="279" w:lineRule="auto"/>
        <w:rPr>
          <w:sz w:val="20"/>
          <w:szCs w:val="20"/>
          <w:color w:val="auto"/>
        </w:rPr>
      </w:pPr>
      <w:r>
        <w:rPr>
          <w:rFonts w:ascii="Arial" w:cs="Arial" w:eastAsia="Arial" w:hAnsi="Arial"/>
          <w:sz w:val="17"/>
          <w:szCs w:val="17"/>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71" w:lineRule="exact"/>
        <w:rPr>
          <w:sz w:val="20"/>
          <w:szCs w:val="20"/>
          <w:color w:val="auto"/>
        </w:rPr>
      </w:pPr>
    </w:p>
    <w:p>
      <w:pPr>
        <w:jc w:val="both"/>
        <w:ind w:right="80" w:firstLine="509"/>
        <w:spacing w:after="0" w:line="259" w:lineRule="auto"/>
        <w:rPr>
          <w:sz w:val="20"/>
          <w:szCs w:val="20"/>
          <w:color w:val="auto"/>
        </w:rPr>
      </w:pPr>
      <w:r>
        <w:rPr>
          <w:rFonts w:ascii="Arial" w:cs="Arial" w:eastAsia="Arial" w:hAnsi="Arial"/>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8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various states, such as California and Massachusetts, have implemented similar privacy laws and regulations, such as the California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Confidentiality of Medical Information Act, that impose restrictive requirements regulating the use and disclosure of health information and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personally identifiable information. In addition to fines and penalties imposed upon violators, some of these state laws also afford private rights of action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individuals who believe their personal information has been misused. California’s patient privacy laws, for example, provide for penalties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 and permit injured parties to sue for damages. In addition, California enacted the California Consumer Privacy Act (the CCPA), which took effect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January 1, 2020, became enforceable by the California Attorney General on July 1, 2020, and has been dubbed the first “GDPR-like” law in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States. The CCPA gives California residents expanded rights to access and delete their personal information, opt out of certain personal information sharing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receive detailed information about how their personal information is used by requiring covered companies to provide new disclosures to California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consumers (as that term is broadly defined) and provide such consumers new ways to opt-out of certain sales of personal information. The CCPA provides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civil penalties for violations, as well as a private right of action for data breaches that is expected to increase data breach litigation. Further,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California Privacy Rights Act (the CPRA) recently passed in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3" w:name="page44"/>
    <w:bookmarkEnd w:id="43"/>
    <w:p>
      <w:pPr>
        <w:ind w:right="100"/>
        <w:spacing w:after="0" w:line="254" w:lineRule="auto"/>
        <w:rPr>
          <w:sz w:val="20"/>
          <w:szCs w:val="20"/>
          <w:color w:val="auto"/>
        </w:rPr>
      </w:pPr>
      <w:r>
        <w:rPr>
          <w:rFonts w:ascii="Arial" w:cs="Arial" w:eastAsia="Arial" w:hAnsi="Arial"/>
          <w:sz w:val="18"/>
          <w:szCs w:val="18"/>
          <w:color w:val="auto"/>
        </w:rPr>
        <w:t>California. The CPRA will impose additional data protection obligations on companies doing business in California,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 Although the CCPA currently exempts certain health-related information, including clinical trial data, the CCPA and the CPRA may increase our compliance costs and potential liability. Similar laws have been adopted in other states (for example Nevada, Virginia, Connecticut, Utah and Colorado) or proposed in other states and at the federal level, and if passed, such laws may have potentially conflicting requirements that would make compliance challenging.</w:t>
      </w:r>
    </w:p>
    <w:p>
      <w:pPr>
        <w:spacing w:after="0" w:line="19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the interpretation and application of consumer, health-related, and data protection laws are often uncertain, contradictory, and in flux.</w:t>
      </w:r>
    </w:p>
    <w:p>
      <w:pPr>
        <w:spacing w:after="0" w:line="24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6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7"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4" w:name="page45"/>
    <w:bookmarkEnd w:id="44"/>
    <w:p>
      <w:pPr>
        <w:ind w:right="220"/>
        <w:spacing w:after="0" w:line="277" w:lineRule="auto"/>
        <w:rPr>
          <w:sz w:val="20"/>
          <w:szCs w:val="20"/>
          <w:color w:val="auto"/>
        </w:rPr>
      </w:pPr>
      <w:r>
        <w:rPr>
          <w:rFonts w:ascii="Arial" w:cs="Arial" w:eastAsia="Arial" w:hAnsi="Arial"/>
          <w:sz w:val="18"/>
          <w:szCs w:val="18"/>
          <w:color w:val="auto"/>
        </w:rPr>
        <w:t>circumstances, certain payments to hospitals in connection with clinical trials and other work have been deemed to be improper payments to government officials and have led to FCPA enforcement actions.</w:t>
      </w:r>
    </w:p>
    <w:p>
      <w:pPr>
        <w:spacing w:after="0" w:line="170"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7"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consultants or clinical trial sites are vulnerable to damage from cyber-attacks,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phishing and other means to affect service reliability and threaten the confidentiality, integrity and availability of information. The number and complexity of these threats continue to increase over time. If any of the above events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The market perception of the effectiveness of our security measures could be harmed and our reputation and credibility could be damaged. Although we develop and maintain systems and controls designed to prevent these events from occurring, and we have processes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62"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Biotics, delays or other impediments to our programs or the public acceptance and commercialization of Synthetic Biotics. Further, there is a risk that Synthetic Biotics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Synthetic Biotics, product candidates and processes for our development pipeline through acquisitions and in-licenses.</w:t>
      </w:r>
    </w:p>
    <w:p>
      <w:pPr>
        <w:spacing w:after="0" w:line="6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w:t>
      </w:r>
    </w:p>
    <w:p>
      <w:pPr>
        <w:spacing w:after="0" w:line="18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61"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intellectual property rights to other parties, potentially blocking our ability to pursue our program.</w:t>
      </w:r>
    </w:p>
    <w:p>
      <w:pPr>
        <w:spacing w:after="0" w:line="188" w:lineRule="exact"/>
        <w:rPr>
          <w:sz w:val="20"/>
          <w:szCs w:val="20"/>
          <w:color w:val="auto"/>
        </w:rPr>
      </w:pPr>
    </w:p>
    <w:p>
      <w:pPr>
        <w:ind w:right="300" w:firstLine="509"/>
        <w:spacing w:after="0" w:line="311" w:lineRule="auto"/>
        <w:rPr>
          <w:sz w:val="20"/>
          <w:szCs w:val="20"/>
          <w:color w:val="auto"/>
        </w:rPr>
      </w:pPr>
      <w:r>
        <w:rPr>
          <w:rFonts w:ascii="Arial" w:cs="Arial" w:eastAsia="Arial" w:hAnsi="Arial"/>
          <w:sz w:val="16"/>
          <w:szCs w:val="16"/>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5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76" w:lineRule="exact"/>
        <w:rPr>
          <w:sz w:val="20"/>
          <w:szCs w:val="20"/>
          <w:color w:val="auto"/>
        </w:rPr>
      </w:pPr>
    </w:p>
    <w:p>
      <w:pPr>
        <w:jc w:val="both"/>
        <w:ind w:right="20" w:firstLine="509"/>
        <w:spacing w:after="0" w:line="311" w:lineRule="auto"/>
        <w:rPr>
          <w:sz w:val="20"/>
          <w:szCs w:val="20"/>
          <w:color w:val="auto"/>
        </w:rPr>
      </w:pPr>
      <w:r>
        <w:rPr>
          <w:rFonts w:ascii="Arial" w:cs="Arial" w:eastAsia="Arial" w:hAnsi="Arial"/>
          <w:sz w:val="16"/>
          <w:szCs w:val="16"/>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4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being issued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65"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independently or together with our licensors or collaborators,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46" w:name="page47"/>
    <w:bookmarkEnd w:id="46"/>
    <w:p>
      <w:pPr>
        <w:ind w:right="20" w:firstLine="509"/>
        <w:spacing w:after="0" w:line="269" w:lineRule="auto"/>
        <w:rPr>
          <w:sz w:val="20"/>
          <w:szCs w:val="20"/>
          <w:color w:val="auto"/>
        </w:rPr>
      </w:pPr>
      <w:r>
        <w:rPr>
          <w:rFonts w:ascii="Arial" w:cs="Arial" w:eastAsia="Arial" w:hAnsi="Arial"/>
          <w:sz w:val="17"/>
          <w:szCs w:val="17"/>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 protections for our product candidates to effectively protect our business.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7"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30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Changes in U.S. and foreign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7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84"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European patent practice is expected to change now that the European Unitary Patent (UP) and Unified Patent Court (UPC) went into force on June 1, 2023. The new system will impact both pending European applications and granted European patents, and uncertainty remains about long-term implications of this change. The UPC may particularly present uncertainties for our ability to protect and enforce our patent rights against competitors in Europe. While the UPC is being implemented to provide more certainty and efficiency to patent enforcement throughout Europe, it will also provide our competitors with a new forum to use to centrally revoke our European patents. It will be several years before we will understand the scope of patent rights that will be recognized and the strength of patent remedies that will be provided by the UPC. We will have the right to opt our patents out of the UPC system over the first seven years, but doing so may preclude us from realizing the benefits of the new unified court.</w:t>
      </w:r>
    </w:p>
    <w:p>
      <w:pPr>
        <w:spacing w:after="0" w:line="17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7" w:name="page48"/>
    <w:bookmarkEnd w:id="47"/>
    <w:p>
      <w:pPr>
        <w:ind w:right="40" w:firstLine="509"/>
        <w:spacing w:after="0" w:line="254" w:lineRule="auto"/>
        <w:rPr>
          <w:sz w:val="20"/>
          <w:szCs w:val="20"/>
          <w:color w:val="auto"/>
        </w:rPr>
      </w:pPr>
      <w:r>
        <w:rPr>
          <w:rFonts w:ascii="Arial" w:cs="Arial" w:eastAsia="Arial" w:hAnsi="Arial"/>
          <w:sz w:val="18"/>
          <w:szCs w:val="18"/>
          <w:color w:val="auto"/>
        </w:rPr>
        <w:t>Periodic maintenance fees on any issued patents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74"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8" w:name="page49"/>
    <w:bookmarkEnd w:id="48"/>
    <w:p>
      <w:pPr>
        <w:ind w:firstLine="509"/>
        <w:spacing w:after="0" w:line="289" w:lineRule="auto"/>
        <w:rPr>
          <w:sz w:val="20"/>
          <w:szCs w:val="20"/>
          <w:color w:val="auto"/>
        </w:rPr>
      </w:pPr>
      <w:r>
        <w:rPr>
          <w:rFonts w:ascii="Arial" w:cs="Arial" w:eastAsia="Arial" w:hAnsi="Arial"/>
          <w:sz w:val="16"/>
          <w:szCs w:val="16"/>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6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9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in part, on our licensors to file, prosecute, maintain, defend and enforce patents and patent applications that are material to our business.</w:t>
      </w:r>
    </w:p>
    <w:p>
      <w:pPr>
        <w:spacing w:after="0" w:line="152"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303"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9" w:name="page50"/>
    <w:bookmarkEnd w:id="49"/>
    <w:p>
      <w:pPr>
        <w:ind w:right="6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66"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 xml:space="preserve">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74"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0" w:name="page51"/>
    <w:bookmarkEnd w:id="50"/>
    <w:p>
      <w:pPr>
        <w:ind w:right="6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76"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jc w:val="both"/>
        <w:ind w:right="200" w:firstLine="509"/>
        <w:spacing w:after="0" w:line="28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6"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We have relied upon and plan to continue to rely upon third parties, including independent clinical investigators, contracted laboratories and third-party CROs, to conduct our preclinical studies and clinical trials, as well as certain product candidate discovery and development activities,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 as applicable, and good clinical practice (GCP) requirements, which are regulations and guidelines enforced by the FDA, the EMA and other comparable foreign regulatory authorities for all of our products in clinical development. Regulatory authorities enforce these GLP and GCP through periodic inspections of laboratories conducting GLP studies, and clinical trial sponsors, principal investigators, CROs, and trial sites when auditing for GCP compliance. If we, our investigators or any of our CROs or contracted laboratories fail to comply with applicable GLP and GCP, as applicable, the data generated in our preclinical studies and clinical trials may be deemed unreliable and the FDA, the EMA or other comparable foreign regulatory authorities may require us to perform additional preclinical studies or clinical trials before approving our marketing applications for our therapeutic product candidates.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produced in compliance with applicable cGMP regulations. Our failure to comply with these regulations may require us to repeat preclinical studies or clinical trials, which would delay the regulatory approval process.</w:t>
      </w:r>
    </w:p>
    <w:p>
      <w:pPr>
        <w:spacing w:after="0" w:line="176"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61"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studies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8"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8"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In addition, clinical investigators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therapeutic product candidates it may develop.</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2" w:name="page53"/>
    <w:bookmarkEnd w:id="52"/>
    <w:p>
      <w:pPr>
        <w:ind w:right="820"/>
        <w:spacing w:after="0" w:line="277" w:lineRule="auto"/>
        <w:rPr>
          <w:sz w:val="20"/>
          <w:szCs w:val="20"/>
          <w:color w:val="auto"/>
        </w:rPr>
      </w:pPr>
      <w:r>
        <w:rPr>
          <w:rFonts w:ascii="Arial" w:cs="Arial" w:eastAsia="Arial" w:hAnsi="Arial"/>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62"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effective, or in an amount that satisfies our commercial needs.</w:t>
      </w:r>
    </w:p>
    <w:p>
      <w:pPr>
        <w:spacing w:after="0" w:line="18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For example, we have agreements with Azzur Cleanrooms-On-Demand to lease clean-room space at their facility for manufacturing and formulation of cGMP material for our clinical trials and we have agreed to pay Azzur to renovate and upgrade the cleanroom space for expanded use. If Azzur were to not adhere to our agreement or suffer a material adverse event that affected their delivery of services to us, our ability to conduct clinical operations would be impacted.</w:t>
      </w:r>
    </w:p>
    <w:p>
      <w:pPr>
        <w:spacing w:after="0" w:line="18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Synthetic Biotics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8"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84"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regulations.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may be required to conduct bridging studies or repeat clinical trials to assure comparable safety, purity and potency. The delays associated with the verification of a new manufacturer could negatively affect our ability to develop product candidates in a timely manner or within budget.</w:t>
      </w:r>
    </w:p>
    <w:p>
      <w:pPr>
        <w:spacing w:after="0" w:line="184"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spacing w:after="0" w:line="84" w:lineRule="exact"/>
        <w:rPr>
          <w:sz w:val="20"/>
          <w:szCs w:val="20"/>
          <w:color w:val="auto"/>
        </w:rPr>
      </w:pPr>
    </w:p>
    <w:p>
      <w:pPr>
        <w:ind w:left="1020" w:right="64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 which may impact our potential economic benefits;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3" w:name="page54"/>
    <w:bookmarkEnd w:id="53"/>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Subjecting our product candidates to additional inspections by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345"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typically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7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62"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our collaborators may devote to the relevant product candidates;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117"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our drug candidates.</w:t>
      </w:r>
    </w:p>
    <w:p>
      <w:pPr>
        <w:spacing w:after="0" w:line="2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the macro-economic conditions may disfavor a collaboration, and/or third parties may not view our product candidates and programs as having sufficient potential for commercialization, including the likelihood of an adequate safety and efficacy profile.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4" w:name="page55"/>
    <w:bookmarkEnd w:id="54"/>
    <w:p>
      <w:pPr>
        <w:ind w:firstLine="509"/>
        <w:spacing w:after="0" w:line="255"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76" w:lineRule="exact"/>
        <w:rPr>
          <w:sz w:val="20"/>
          <w:szCs w:val="20"/>
          <w:color w:val="auto"/>
        </w:rPr>
      </w:pPr>
    </w:p>
    <w:p>
      <w:pPr>
        <w:ind w:right="240" w:firstLine="509"/>
        <w:spacing w:after="0" w:line="269"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0"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1"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140"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Further there are several companies working to develop other similar products. Third-party payors, including governmental and private insurers, may also encourage the use of generic products.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5" w:name="page56"/>
    <w:bookmarkEnd w:id="55"/>
    <w:p>
      <w:pPr>
        <w:ind w:right="180" w:firstLine="509"/>
        <w:spacing w:after="0" w:line="277" w:lineRule="auto"/>
        <w:rPr>
          <w:sz w:val="20"/>
          <w:szCs w:val="20"/>
          <w:color w:val="auto"/>
        </w:rPr>
      </w:pPr>
      <w:r>
        <w:rPr>
          <w:rFonts w:ascii="Arial" w:cs="Arial" w:eastAsia="Arial" w:hAnsi="Arial"/>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70"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9"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safety and side effect profile of the product as demonstrated in clinical trials and potential advantages over competing treatments;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prevalence and severity of the disease targeted;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clinical indications for which approval is granted, including any limitations or warnings contained in a product’s approved labeling;</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products engineered from bacteria and these therapies;</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publicity concerning the products or competing products and treatments;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5"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any efforts to identify, license, discover, develop, or commercialize additional product candidates.</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6" w:name="page57"/>
    <w:bookmarkEnd w:id="56"/>
    <w:p>
      <w:pPr>
        <w:ind w:right="180"/>
        <w:spacing w:after="0" w:line="277" w:lineRule="auto"/>
        <w:rPr>
          <w:sz w:val="20"/>
          <w:szCs w:val="20"/>
          <w:color w:val="auto"/>
        </w:rPr>
      </w:pPr>
      <w:r>
        <w:rPr>
          <w:rFonts w:ascii="Arial" w:cs="Arial" w:eastAsia="Arial" w:hAnsi="Arial"/>
          <w:sz w:val="18"/>
          <w:szCs w:val="18"/>
          <w:color w:val="auto"/>
        </w:rPr>
        <w:t>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62" w:lineRule="exact"/>
        <w:rPr>
          <w:sz w:val="20"/>
          <w:szCs w:val="20"/>
          <w:color w:val="auto"/>
        </w:rPr>
      </w:pPr>
    </w:p>
    <w:p>
      <w:pPr>
        <w:ind w:left="1020" w:right="5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development or commercialization so that such a product may become unreasonable to continue to develop or commercialize;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6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95" w:lineRule="exact"/>
        <w:rPr>
          <w:sz w:val="20"/>
          <w:szCs w:val="20"/>
          <w:color w:val="auto"/>
        </w:rPr>
      </w:pPr>
    </w:p>
    <w:p>
      <w:pPr>
        <w:ind w:right="120" w:firstLine="509"/>
        <w:spacing w:after="0" w:line="288" w:lineRule="auto"/>
        <w:rPr>
          <w:sz w:val="20"/>
          <w:szCs w:val="20"/>
          <w:color w:val="auto"/>
        </w:rPr>
      </w:pPr>
      <w:r>
        <w:rPr>
          <w:rFonts w:ascii="Arial" w:cs="Arial" w:eastAsia="Arial" w:hAnsi="Arial"/>
          <w:sz w:val="16"/>
          <w:szCs w:val="16"/>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HHS,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 No uniform policy for coverage and reimbursement for drug products exist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68"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when an equivalent generic/biosimilar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over other available and comparable products, pricing of existing drugs may limit the amount we will be able to charge for its product candidate. These payors may deny or revoke the reimbursement status of a given drug product or establish prices for new or existing marketed products at levels that are too low to enable it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7" w:name="page58"/>
    <w:bookmarkEnd w:id="57"/>
    <w:p>
      <w:pPr>
        <w:ind w:firstLine="509"/>
        <w:spacing w:after="0" w:line="296" w:lineRule="auto"/>
        <w:rPr>
          <w:sz w:val="20"/>
          <w:szCs w:val="20"/>
          <w:color w:val="auto"/>
        </w:rPr>
      </w:pPr>
      <w:r>
        <w:rPr>
          <w:rFonts w:ascii="Arial" w:cs="Arial" w:eastAsia="Arial" w:hAnsi="Arial"/>
          <w:sz w:val="16"/>
          <w:szCs w:val="16"/>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For example, under these circumstances, physicians may limit how much or under what circumstances they will prescribe or administer our products and patients may deliver to purchase such products. This, in turn, could affect our ability to commercialize our products successfully and impact our profitability, results of operations, financial condition, and future success.</w:t>
      </w:r>
    </w:p>
    <w:p>
      <w:pPr>
        <w:spacing w:after="0" w:line="161"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Other countries allow companies to fix their own prices for medical products but monitor and control company profits.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64" w:lineRule="exact"/>
        <w:rPr>
          <w:sz w:val="20"/>
          <w:szCs w:val="20"/>
          <w:color w:val="auto"/>
        </w:rPr>
      </w:pPr>
    </w:p>
    <w:p>
      <w:pPr>
        <w:ind w:right="280" w:firstLine="509"/>
        <w:spacing w:after="0" w:line="273" w:lineRule="auto"/>
        <w:rPr>
          <w:sz w:val="20"/>
          <w:szCs w:val="20"/>
          <w:color w:val="auto"/>
        </w:rPr>
      </w:pPr>
      <w:r>
        <w:rPr>
          <w:rFonts w:ascii="Arial" w:cs="Arial" w:eastAsia="Arial" w:hAnsi="Arial"/>
          <w:sz w:val="17"/>
          <w:szCs w:val="17"/>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Employees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62"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57"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7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Based on the beneficial ownership of our common stock as of August 3, 2023, our executive officers and directors, together with holders of 5% or more of our common stock outstanding and their respective affiliates, beneficially own approximately 46.7%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depress our stock price.</w:t>
      </w:r>
    </w:p>
    <w:p>
      <w:pPr>
        <w:spacing w:after="0" w:line="117"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 xml:space="preserve">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August 3, 2023, there were a total of </w:t>
      </w:r>
      <w:r>
        <w:rPr>
          <w:rFonts w:ascii="Arial" w:cs="Arial" w:eastAsia="Arial" w:hAnsi="Arial"/>
          <w:sz w:val="15"/>
          <w:szCs w:val="15"/>
          <w:color w:val="auto"/>
        </w:rPr>
        <w:t>68,604,305</w:t>
      </w:r>
      <w:r>
        <w:rPr>
          <w:rFonts w:ascii="Arial" w:cs="Arial" w:eastAsia="Arial" w:hAnsi="Arial"/>
          <w:sz w:val="17"/>
          <w:szCs w:val="17"/>
          <w:color w:val="auto"/>
        </w:rPr>
        <w:t xml:space="preserve"> shares of our common stock outstanding.</w:t>
      </w:r>
    </w:p>
    <w:p>
      <w:pPr>
        <w:spacing w:after="0" w:line="2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the level of our operating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Receipt, modification or termination of government contracts or grants, and the timing of payments we receive under these arrangements;</w:t>
      </w:r>
    </w:p>
    <w:p>
      <w:pPr>
        <w:spacing w:after="0" w:line="140" w:lineRule="exact"/>
        <w:rPr>
          <w:rFonts w:ascii="Arial" w:cs="Arial" w:eastAsia="Arial" w:hAnsi="Arial"/>
          <w:sz w:val="16"/>
          <w:szCs w:val="16"/>
          <w:color w:val="auto"/>
        </w:rPr>
      </w:pPr>
    </w:p>
    <w:p>
      <w:pPr>
        <w:ind w:left="1020" w:right="16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arrangements, and the timing of payments we may make under these arrangements;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23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63"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classified board of directors so that not all directors are elected at one time;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17"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w:t>
      </w:r>
    </w:p>
    <w:p>
      <w:pPr>
        <w:spacing w:after="0" w:line="62"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59" w:name="page60"/>
    <w:bookmarkEnd w:id="59"/>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 and</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70"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17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respeBut to claims under the Securities Act, and our stockholders will not be deemed to have waived our compliance with the federal securities laws and the rules and regulations thereunder.</w:t>
      </w:r>
    </w:p>
    <w:p>
      <w:pPr>
        <w:spacing w:after="0" w:line="185" w:lineRule="exact"/>
        <w:rPr>
          <w:sz w:val="20"/>
          <w:szCs w:val="20"/>
          <w:color w:val="auto"/>
        </w:rPr>
      </w:pPr>
    </w:p>
    <w:p>
      <w:pPr>
        <w:ind w:right="160" w:firstLine="509"/>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5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Provisions in our charter and other provisions of Delaware law could limit the price that investors are willing to pay in the future for shares of our common stock.</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9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60" w:name="page61"/>
    <w:bookmarkEnd w:id="60"/>
    <w:p>
      <w:pPr>
        <w:ind w:right="60"/>
        <w:spacing w:after="0" w:line="277" w:lineRule="auto"/>
        <w:rPr>
          <w:sz w:val="20"/>
          <w:szCs w:val="20"/>
          <w:color w:val="auto"/>
        </w:rPr>
      </w:pPr>
      <w:r>
        <w:rPr>
          <w:rFonts w:ascii="Arial" w:cs="Arial" w:eastAsia="Arial" w:hAnsi="Arial"/>
          <w:sz w:val="18"/>
          <w:szCs w:val="18"/>
          <w:b w:val="1"/>
          <w:bCs w:val="1"/>
          <w:i w:val="1"/>
          <w:iCs w:val="1"/>
          <w:color w:val="auto"/>
        </w:rPr>
        <w:t>If we continue to fail to comply with the continued listing requirements of the Nasdaq Capital Market, our common stock may be delisted and the price of our common stock and our ability to access the capital markets could be negatively impacted.</w:t>
      </w:r>
    </w:p>
    <w:p>
      <w:pPr>
        <w:spacing w:after="0" w:line="6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common stock is currently listed on The Nasdaq Capital Market and was previously listed on The Nasdaq Global Market. To maintain the listing of our common stock on The Nasdaq Global Market, we were required to satisfy minimum financial and other continued listing requirements and standards, including those related to the price of our common stock. On December 6, 2022, we received a written notice from the Listing Qualifications Department of The Nasdaq Stock Market (“Nasdaq”) notifying us that, based on the closing bid price of our common stock being below $1.00 per share for 30 consecutive business days, we no longer complied with Nasdaq’s minimum bid price requirement in Listing Rule 5450(a)(1) for continued listing on The Nasdaq Global Market.</w:t>
      </w:r>
    </w:p>
    <w:p>
      <w:pPr>
        <w:spacing w:after="0" w:line="84"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Pursuant to Nasdaq Listing Rule 5810(c)(3)(A), we were provided an initial compliance period of 180 calendar days from receipt of the Notice, or until June 5, 2023, to regain compliance with the minimum bid price requirement. To regain compliance, the bid price for our common stock would need to close at $1.00 per share or more for a minimum of 10 consecutive business days during this 180-day grace period, among other requirements.</w:t>
      </w:r>
    </w:p>
    <w:p>
      <w:pPr>
        <w:spacing w:after="0" w:line="4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On May 25, 2023, we submitted to the Listing Qualifications Department of Nasdaq an application to transfer the listing of our common stock from The Nasdaq Global Market to The Nasdaq Capital Market. On June 6, 2023, we received a notice (the “Extension Notice”) from the Listing Qualifications Department informing us that Nasdaq granted us an additional 180 calendar days, or until December 4, 2023 to regain compliance with the minimum closing bid price requirement for continued listing on The Nasdaq Capital Market under Nasdaq Marketplace Rule 5550(a)(2). In connection with the Extension Notice, the listing of our common stock was transferred from the Nasdaq Global Market to the Nasdaq Capital Market, effective as of June 7, 2023. The Extension Notice has no other immediate effect on the listing of our common stock. If at any time before December 4, 2023, the closing bid price of our common stock is at least $1.00 per share for a minimum of 10 consecutive business days, Nasdaq will provide written confirmation that we have achieved compliance with Nasdaq Marketplace Rule 5550(a)(2). If compliance cannot be demonstrated to Nasdaq’s satisfaction by December 4, 2023, Nasdaq will provide written notification that our common stock will be delisted.</w:t>
      </w:r>
    </w:p>
    <w:p>
      <w:pPr>
        <w:spacing w:after="0" w:line="73"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We intend to continue actively monitoring the bid price for our common stock between now and December 4, 2023 and will consider available options to resolve the deficiency and regain compliance Nasdaq's marketplace rules. These options include, subject to approval by our Board of Directors and stockholders, effecting a reverse stock split, if necessary. However, there can be no assurance that a reverse stock split, or any other alternatives we may consider to regain compliance with the minimum bid price requirement, would be approved or would result in a sustained higher stock price that would allow us to meet the Nasdaq stock price listing requirements.</w:t>
      </w:r>
    </w:p>
    <w:p>
      <w:pPr>
        <w:spacing w:after="0" w:line="80"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There is no assurance that we will regain compliance with Nasdaq's marketplace rules or that our common stock will not be delisted from Nasdaq. If our common stock were to be delisted from Nasdaq and is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 Also, it may be difficult for us to raise additional capital if we are not listed on a major exchange.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fiscal quarter ended June 30, 2023, none of our directors or executive officers adopted, modified or terminated any contract, instruction or written plan for the purchase or sale of our securities that was intended to satisfy the affirmative defense conditions of Rule 10b5-1 (c) or any "non-Rule 10b5-1 trading arrangement."</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48" w:right="41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Incorporated by</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8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0" w:type="dxa"/>
            <w:vAlign w:val="bottom"/>
            <w:gridSpan w:val="5"/>
            <w:vMerge w:val="restart"/>
          </w:tcPr>
          <w:p>
            <w:pPr>
              <w:ind w:left="14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with this</w:t>
            </w: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from Form or</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File/Reg.</w:t>
            </w:r>
          </w:p>
        </w:tc>
        <w:tc>
          <w:tcPr>
            <w:tcW w:w="0" w:type="dxa"/>
            <w:vAlign w:val="bottom"/>
          </w:tcPr>
          <w:p>
            <w:pPr>
              <w:spacing w:after="0"/>
              <w:rPr>
                <w:sz w:val="1"/>
                <w:szCs w:val="1"/>
                <w:color w:val="auto"/>
              </w:rPr>
            </w:pPr>
          </w:p>
        </w:tc>
      </w:tr>
      <w:tr>
        <w:trPr>
          <w:trHeight w:val="185"/>
        </w:trPr>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4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14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318"/>
        </w:trPr>
        <w:tc>
          <w:tcPr>
            <w:tcW w:w="800" w:type="dxa"/>
            <w:vAlign w:val="bottom"/>
          </w:tcPr>
          <w:p>
            <w:pPr>
              <w:ind w:left="140"/>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24"/>
                <w:szCs w:val="24"/>
                <w:color w:val="auto"/>
              </w:rPr>
            </w:pPr>
          </w:p>
        </w:tc>
        <w:tc>
          <w:tcPr>
            <w:tcW w:w="5460" w:type="dxa"/>
            <w:vAlign w:val="bottom"/>
            <w:gridSpan w:val="7"/>
          </w:tcPr>
          <w:p>
            <w:pPr>
              <w:spacing w:after="0"/>
              <w:rPr>
                <w:rFonts w:ascii="Arial" w:cs="Arial" w:eastAsia="Arial" w:hAnsi="Arial"/>
                <w:sz w:val="16"/>
                <w:szCs w:val="16"/>
                <w:color w:val="0000FF"/>
                <w:w w:val="93"/>
              </w:rPr>
            </w:pPr>
            <w:hyperlink r:id="rId168">
              <w:r>
                <w:rPr>
                  <w:rFonts w:ascii="Arial" w:cs="Arial" w:eastAsia="Arial" w:hAnsi="Arial"/>
                  <w:sz w:val="16"/>
                  <w:szCs w:val="16"/>
                  <w:color w:val="0000FF"/>
                  <w:w w:val="93"/>
                </w:rPr>
                <w:t>Certificate of Amendment to Amended and Restated Certificate of Incorporation of</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5"/>
              </w:rPr>
              <w:t>Form 8-K</w:t>
            </w: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June 15, 2023</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1"/>
              </w:rPr>
              <w:t>001-37566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60" w:type="dxa"/>
            <w:vAlign w:val="bottom"/>
            <w:gridSpan w:val="7"/>
          </w:tcPr>
          <w:p>
            <w:pPr>
              <w:spacing w:after="0" w:line="183" w:lineRule="exact"/>
              <w:rPr>
                <w:rFonts w:ascii="Arial" w:cs="Arial" w:eastAsia="Arial" w:hAnsi="Arial"/>
                <w:sz w:val="16"/>
                <w:szCs w:val="16"/>
                <w:color w:val="0000FF"/>
              </w:rPr>
            </w:pPr>
            <w:hyperlink r:id="rId168">
              <w:r>
                <w:rPr>
                  <w:rFonts w:ascii="Arial" w:cs="Arial" w:eastAsia="Arial" w:hAnsi="Arial"/>
                  <w:sz w:val="16"/>
                  <w:szCs w:val="16"/>
                  <w:color w:val="0000FF"/>
                </w:rPr>
                <w:t>Synlogic, Inc., dated June 15, 2023</w:t>
              </w:r>
            </w:hyperlink>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tcBorders>
              <w:right w:val="single" w:sz="8" w:color="0000EE"/>
            </w:tcBorders>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 w:type="dxa"/>
            <w:vAlign w:val="bottom"/>
          </w:tcPr>
          <w:p>
            <w:pPr>
              <w:ind w:left="100"/>
              <w:spacing w:after="0"/>
              <w:rPr>
                <w:sz w:val="20"/>
                <w:szCs w:val="20"/>
                <w:color w:val="auto"/>
              </w:rPr>
            </w:pPr>
            <w:r>
              <w:rPr>
                <w:rFonts w:ascii="Arial" w:cs="Arial" w:eastAsia="Arial" w:hAnsi="Arial"/>
                <w:sz w:val="16"/>
                <w:szCs w:val="16"/>
                <w:color w:val="auto"/>
              </w:rPr>
              <w:t>31.1</w:t>
            </w:r>
          </w:p>
        </w:tc>
        <w:tc>
          <w:tcPr>
            <w:tcW w:w="160" w:type="dxa"/>
            <w:vAlign w:val="bottom"/>
          </w:tcPr>
          <w:p>
            <w:pPr>
              <w:spacing w:after="0"/>
              <w:rPr>
                <w:sz w:val="24"/>
                <w:szCs w:val="24"/>
                <w:color w:val="auto"/>
              </w:rPr>
            </w:pPr>
          </w:p>
        </w:tc>
        <w:tc>
          <w:tcPr>
            <w:tcW w:w="5460" w:type="dxa"/>
            <w:vAlign w:val="bottom"/>
            <w:gridSpan w:val="7"/>
          </w:tcPr>
          <w:p>
            <w:pPr>
              <w:spacing w:after="0"/>
              <w:rPr>
                <w:sz w:val="20"/>
                <w:szCs w:val="20"/>
                <w:color w:val="auto"/>
              </w:rPr>
            </w:pPr>
            <w:r>
              <w:rPr>
                <w:rFonts w:ascii="Arial" w:cs="Arial" w:eastAsia="Arial" w:hAnsi="Arial"/>
                <w:sz w:val="16"/>
                <w:szCs w:val="16"/>
                <w:color w:val="0000FF"/>
                <w:w w:val="97"/>
              </w:rPr>
              <w:t>Certification of Chief Executive Officer required by Rule 13a-14(a) or Rule 15d-</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76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60" w:type="dxa"/>
            <w:vAlign w:val="bottom"/>
            <w:gridSpan w:val="7"/>
          </w:tcPr>
          <w:p>
            <w:pPr>
              <w:spacing w:after="0" w:line="183" w:lineRule="exact"/>
              <w:rPr>
                <w:sz w:val="20"/>
                <w:szCs w:val="20"/>
                <w:color w:val="auto"/>
              </w:rPr>
            </w:pPr>
            <w:r>
              <w:rPr>
                <w:rFonts w:ascii="Arial" w:cs="Arial" w:eastAsia="Arial" w:hAnsi="Arial"/>
                <w:sz w:val="16"/>
                <w:szCs w:val="16"/>
                <w:color w:val="0000FF"/>
              </w:rPr>
              <w:t>14(a).</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100"/>
              <w:spacing w:after="0"/>
              <w:rPr>
                <w:sz w:val="20"/>
                <w:szCs w:val="20"/>
                <w:color w:val="auto"/>
              </w:rPr>
            </w:pPr>
            <w:r>
              <w:rPr>
                <w:rFonts w:ascii="Arial" w:cs="Arial" w:eastAsia="Arial" w:hAnsi="Arial"/>
                <w:sz w:val="16"/>
                <w:szCs w:val="16"/>
                <w:color w:val="auto"/>
              </w:rPr>
              <w:t>31.2</w:t>
            </w:r>
          </w:p>
        </w:tc>
        <w:tc>
          <w:tcPr>
            <w:tcW w:w="160" w:type="dxa"/>
            <w:vAlign w:val="bottom"/>
          </w:tcPr>
          <w:p>
            <w:pPr>
              <w:spacing w:after="0"/>
              <w:rPr>
                <w:sz w:val="24"/>
                <w:szCs w:val="24"/>
                <w:color w:val="auto"/>
              </w:rPr>
            </w:pPr>
          </w:p>
        </w:tc>
        <w:tc>
          <w:tcPr>
            <w:tcW w:w="5460" w:type="dxa"/>
            <w:vAlign w:val="bottom"/>
            <w:gridSpan w:val="7"/>
          </w:tcPr>
          <w:p>
            <w:pPr>
              <w:spacing w:after="0"/>
              <w:rPr>
                <w:sz w:val="20"/>
                <w:szCs w:val="20"/>
                <w:color w:val="auto"/>
              </w:rPr>
            </w:pPr>
            <w:r>
              <w:rPr>
                <w:rFonts w:ascii="Arial" w:cs="Arial" w:eastAsia="Arial" w:hAnsi="Arial"/>
                <w:sz w:val="16"/>
                <w:szCs w:val="16"/>
                <w:color w:val="0000FF"/>
                <w:w w:val="95"/>
              </w:rPr>
              <w:t>Certification of Interim Chief Financial Officer required by Rule 13a-14(a) or Rule</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76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60" w:type="dxa"/>
            <w:vAlign w:val="bottom"/>
            <w:gridSpan w:val="7"/>
          </w:tcPr>
          <w:p>
            <w:pPr>
              <w:spacing w:after="0" w:line="183" w:lineRule="exact"/>
              <w:rPr>
                <w:sz w:val="20"/>
                <w:szCs w:val="20"/>
                <w:color w:val="auto"/>
              </w:rPr>
            </w:pPr>
            <w:r>
              <w:rPr>
                <w:rFonts w:ascii="Arial" w:cs="Arial" w:eastAsia="Arial" w:hAnsi="Arial"/>
                <w:sz w:val="16"/>
                <w:szCs w:val="16"/>
                <w:color w:val="0000FF"/>
              </w:rPr>
              <w:t>15d-14(a).</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100"/>
              <w:spacing w:after="0"/>
              <w:rPr>
                <w:sz w:val="20"/>
                <w:szCs w:val="20"/>
                <w:color w:val="auto"/>
              </w:rPr>
            </w:pPr>
            <w:r>
              <w:rPr>
                <w:rFonts w:ascii="Arial" w:cs="Arial" w:eastAsia="Arial" w:hAnsi="Arial"/>
                <w:sz w:val="16"/>
                <w:szCs w:val="16"/>
                <w:color w:val="auto"/>
              </w:rPr>
              <w:t>32.1*</w:t>
            </w:r>
          </w:p>
        </w:tc>
        <w:tc>
          <w:tcPr>
            <w:tcW w:w="160" w:type="dxa"/>
            <w:vAlign w:val="bottom"/>
          </w:tcPr>
          <w:p>
            <w:pPr>
              <w:spacing w:after="0"/>
              <w:rPr>
                <w:sz w:val="24"/>
                <w:szCs w:val="24"/>
                <w:color w:val="auto"/>
              </w:rPr>
            </w:pPr>
          </w:p>
        </w:tc>
        <w:tc>
          <w:tcPr>
            <w:tcW w:w="5460" w:type="dxa"/>
            <w:vAlign w:val="bottom"/>
            <w:gridSpan w:val="7"/>
          </w:tcPr>
          <w:p>
            <w:pPr>
              <w:spacing w:after="0"/>
              <w:rPr>
                <w:sz w:val="20"/>
                <w:szCs w:val="20"/>
                <w:color w:val="auto"/>
              </w:rPr>
            </w:pPr>
            <w:r>
              <w:rPr>
                <w:rFonts w:ascii="Arial" w:cs="Arial" w:eastAsia="Arial" w:hAnsi="Arial"/>
                <w:sz w:val="16"/>
                <w:szCs w:val="16"/>
                <w:color w:val="0000FF"/>
                <w:w w:val="97"/>
              </w:rPr>
              <w:t>Certification required by Rule 13a-14(b) or Rule 15d-14(b) and Section 1350 of</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2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60" w:type="dxa"/>
            <w:vAlign w:val="bottom"/>
            <w:gridSpan w:val="7"/>
          </w:tcPr>
          <w:p>
            <w:pPr>
              <w:spacing w:after="0" w:line="183" w:lineRule="exact"/>
              <w:rPr>
                <w:sz w:val="20"/>
                <w:szCs w:val="20"/>
                <w:color w:val="auto"/>
              </w:rPr>
            </w:pPr>
            <w:r>
              <w:rPr>
                <w:rFonts w:ascii="Arial" w:cs="Arial" w:eastAsia="Arial" w:hAnsi="Arial"/>
                <w:sz w:val="16"/>
                <w:szCs w:val="16"/>
                <w:color w:val="0000FF"/>
              </w:rPr>
              <w:t>Chapter 63 of Title 18 of the United States Code (18 U.S.C. §1350).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EE"/>
            </w:tcBorders>
            <w:gridSpan w:val="4"/>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100"/>
              <w:spacing w:after="0"/>
              <w:rPr>
                <w:sz w:val="20"/>
                <w:szCs w:val="20"/>
                <w:color w:val="auto"/>
              </w:rPr>
            </w:pPr>
            <w:r>
              <w:rPr>
                <w:rFonts w:ascii="Arial" w:cs="Arial" w:eastAsia="Arial" w:hAnsi="Arial"/>
                <w:sz w:val="16"/>
                <w:szCs w:val="16"/>
                <w:color w:val="auto"/>
              </w:rPr>
              <w:t>32.2*</w:t>
            </w:r>
          </w:p>
        </w:tc>
        <w:tc>
          <w:tcPr>
            <w:tcW w:w="160" w:type="dxa"/>
            <w:vAlign w:val="bottom"/>
          </w:tcPr>
          <w:p>
            <w:pPr>
              <w:spacing w:after="0"/>
              <w:rPr>
                <w:sz w:val="24"/>
                <w:szCs w:val="24"/>
                <w:color w:val="auto"/>
              </w:rPr>
            </w:pPr>
          </w:p>
        </w:tc>
        <w:tc>
          <w:tcPr>
            <w:tcW w:w="5460" w:type="dxa"/>
            <w:vAlign w:val="bottom"/>
            <w:gridSpan w:val="7"/>
          </w:tcPr>
          <w:p>
            <w:pPr>
              <w:spacing w:after="0"/>
              <w:rPr>
                <w:sz w:val="20"/>
                <w:szCs w:val="20"/>
                <w:color w:val="auto"/>
              </w:rPr>
            </w:pPr>
            <w:r>
              <w:rPr>
                <w:rFonts w:ascii="Arial" w:cs="Arial" w:eastAsia="Arial" w:hAnsi="Arial"/>
                <w:sz w:val="16"/>
                <w:szCs w:val="16"/>
                <w:color w:val="0000FF"/>
                <w:w w:val="97"/>
              </w:rPr>
              <w:t>Certification required by Rule 13a-14(b) or Rule 15d-14(b) and Section 1350 of</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0" w:type="dxa"/>
            <w:vAlign w:val="bottom"/>
            <w:gridSpan w:val="5"/>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60" w:type="dxa"/>
            <w:vAlign w:val="bottom"/>
            <w:gridSpan w:val="7"/>
          </w:tcPr>
          <w:p>
            <w:pPr>
              <w:spacing w:after="0" w:line="183" w:lineRule="exact"/>
              <w:rPr>
                <w:sz w:val="20"/>
                <w:szCs w:val="20"/>
                <w:color w:val="auto"/>
              </w:rPr>
            </w:pPr>
            <w:r>
              <w:rPr>
                <w:rFonts w:ascii="Arial" w:cs="Arial" w:eastAsia="Arial" w:hAnsi="Arial"/>
                <w:sz w:val="16"/>
                <w:szCs w:val="16"/>
                <w:color w:val="0000FF"/>
              </w:rPr>
              <w:t>Chapter 63 of Title 18 of the United States Code (18 U.S.C. §1350).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EE"/>
            </w:tcBorders>
            <w:gridSpan w:val="4"/>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800" w:type="dxa"/>
            <w:vAlign w:val="bottom"/>
          </w:tcPr>
          <w:p>
            <w:pPr>
              <w:ind w:left="20"/>
              <w:spacing w:after="0"/>
              <w:rPr>
                <w:sz w:val="20"/>
                <w:szCs w:val="20"/>
                <w:color w:val="auto"/>
              </w:rPr>
            </w:pPr>
            <w:r>
              <w:rPr>
                <w:rFonts w:ascii="Arial" w:cs="Arial" w:eastAsia="Arial" w:hAnsi="Arial"/>
                <w:sz w:val="16"/>
                <w:szCs w:val="16"/>
                <w:color w:val="auto"/>
              </w:rPr>
              <w:t>101.INS</w:t>
            </w:r>
          </w:p>
        </w:tc>
        <w:tc>
          <w:tcPr>
            <w:tcW w:w="160" w:type="dxa"/>
            <w:vAlign w:val="bottom"/>
          </w:tcPr>
          <w:p>
            <w:pPr>
              <w:spacing w:after="0"/>
              <w:rPr>
                <w:sz w:val="24"/>
                <w:szCs w:val="24"/>
                <w:color w:val="auto"/>
              </w:rPr>
            </w:pPr>
          </w:p>
        </w:tc>
        <w:tc>
          <w:tcPr>
            <w:tcW w:w="5460" w:type="dxa"/>
            <w:vAlign w:val="bottom"/>
            <w:gridSpan w:val="7"/>
          </w:tcPr>
          <w:p>
            <w:pPr>
              <w:spacing w:after="0"/>
              <w:rPr>
                <w:sz w:val="20"/>
                <w:szCs w:val="20"/>
                <w:color w:val="auto"/>
              </w:rPr>
            </w:pPr>
            <w:r>
              <w:rPr>
                <w:rFonts w:ascii="Arial" w:cs="Arial" w:eastAsia="Arial" w:hAnsi="Arial"/>
                <w:sz w:val="16"/>
                <w:szCs w:val="16"/>
                <w:color w:val="auto"/>
                <w:w w:val="95"/>
              </w:rPr>
              <w:t>Inline XBRL Instance Document – the instance document does not appear in the</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gridSpan w:val="7"/>
          </w:tcPr>
          <w:p>
            <w:pPr>
              <w:spacing w:after="0"/>
              <w:rPr>
                <w:sz w:val="20"/>
                <w:szCs w:val="20"/>
                <w:color w:val="auto"/>
              </w:rPr>
            </w:pPr>
            <w:r>
              <w:rPr>
                <w:rFonts w:ascii="Arial" w:cs="Arial" w:eastAsia="Arial" w:hAnsi="Arial"/>
                <w:sz w:val="16"/>
                <w:szCs w:val="16"/>
                <w:color w:val="auto"/>
                <w:w w:val="97"/>
              </w:rPr>
              <w:t>Interactive Date File because XBRL tags are embedded within the Inline XBRL</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gridSpan w:val="7"/>
          </w:tcPr>
          <w:p>
            <w:pPr>
              <w:spacing w:after="0"/>
              <w:rPr>
                <w:sz w:val="20"/>
                <w:szCs w:val="20"/>
                <w:color w:val="auto"/>
              </w:rPr>
            </w:pPr>
            <w:r>
              <w:rPr>
                <w:rFonts w:ascii="Arial" w:cs="Arial" w:eastAsia="Arial" w:hAnsi="Arial"/>
                <w:sz w:val="16"/>
                <w:szCs w:val="16"/>
                <w:color w:val="auto"/>
              </w:rPr>
              <w:t>document.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800" w:type="dxa"/>
            <w:vAlign w:val="bottom"/>
          </w:tcPr>
          <w:p>
            <w:pPr>
              <w:ind w:left="20"/>
              <w:spacing w:after="0"/>
              <w:rPr>
                <w:sz w:val="20"/>
                <w:szCs w:val="20"/>
                <w:color w:val="auto"/>
              </w:rPr>
            </w:pPr>
            <w:r>
              <w:rPr>
                <w:rFonts w:ascii="Arial" w:cs="Arial" w:eastAsia="Arial" w:hAnsi="Arial"/>
                <w:sz w:val="16"/>
                <w:szCs w:val="16"/>
                <w:color w:val="auto"/>
              </w:rPr>
              <w:t>101.SCH</w:t>
            </w:r>
          </w:p>
        </w:tc>
        <w:tc>
          <w:tcPr>
            <w:tcW w:w="160" w:type="dxa"/>
            <w:vAlign w:val="bottom"/>
          </w:tcPr>
          <w:p>
            <w:pPr>
              <w:spacing w:after="0"/>
              <w:rPr>
                <w:sz w:val="24"/>
                <w:szCs w:val="24"/>
                <w:color w:val="auto"/>
              </w:rPr>
            </w:pPr>
          </w:p>
        </w:tc>
        <w:tc>
          <w:tcPr>
            <w:tcW w:w="5460" w:type="dxa"/>
            <w:vAlign w:val="bottom"/>
            <w:gridSpan w:val="7"/>
          </w:tcPr>
          <w:p>
            <w:pPr>
              <w:spacing w:after="0"/>
              <w:rPr>
                <w:sz w:val="20"/>
                <w:szCs w:val="20"/>
                <w:color w:val="auto"/>
              </w:rPr>
            </w:pPr>
            <w:r>
              <w:rPr>
                <w:rFonts w:ascii="Arial" w:cs="Arial" w:eastAsia="Arial" w:hAnsi="Arial"/>
                <w:sz w:val="16"/>
                <w:szCs w:val="16"/>
                <w:color w:val="auto"/>
              </w:rPr>
              <w:t>Inline XBRL Taxonomy Extension Schema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ind w:left="20"/>
              <w:spacing w:after="0"/>
              <w:rPr>
                <w:sz w:val="20"/>
                <w:szCs w:val="20"/>
                <w:color w:val="auto"/>
              </w:rPr>
            </w:pPr>
            <w:r>
              <w:rPr>
                <w:rFonts w:ascii="Arial" w:cs="Arial" w:eastAsia="Arial" w:hAnsi="Arial"/>
                <w:sz w:val="16"/>
                <w:szCs w:val="16"/>
                <w:color w:val="auto"/>
              </w:rPr>
              <w:t>101.CAL</w:t>
            </w:r>
          </w:p>
        </w:tc>
        <w:tc>
          <w:tcPr>
            <w:tcW w:w="160" w:type="dxa"/>
            <w:vAlign w:val="bottom"/>
          </w:tcPr>
          <w:p>
            <w:pPr>
              <w:spacing w:after="0"/>
              <w:rPr>
                <w:sz w:val="24"/>
                <w:szCs w:val="24"/>
                <w:color w:val="auto"/>
              </w:rPr>
            </w:pPr>
          </w:p>
        </w:tc>
        <w:tc>
          <w:tcPr>
            <w:tcW w:w="5460" w:type="dxa"/>
            <w:vAlign w:val="bottom"/>
            <w:gridSpan w:val="7"/>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ind w:left="20"/>
              <w:spacing w:after="0"/>
              <w:rPr>
                <w:sz w:val="20"/>
                <w:szCs w:val="20"/>
                <w:color w:val="auto"/>
              </w:rPr>
            </w:pPr>
            <w:r>
              <w:rPr>
                <w:rFonts w:ascii="Arial" w:cs="Arial" w:eastAsia="Arial" w:hAnsi="Arial"/>
                <w:sz w:val="16"/>
                <w:szCs w:val="16"/>
                <w:color w:val="auto"/>
              </w:rPr>
              <w:t>101.DEF</w:t>
            </w:r>
          </w:p>
        </w:tc>
        <w:tc>
          <w:tcPr>
            <w:tcW w:w="160" w:type="dxa"/>
            <w:vAlign w:val="bottom"/>
          </w:tcPr>
          <w:p>
            <w:pPr>
              <w:spacing w:after="0"/>
              <w:rPr>
                <w:sz w:val="24"/>
                <w:szCs w:val="24"/>
                <w:color w:val="auto"/>
              </w:rPr>
            </w:pPr>
          </w:p>
        </w:tc>
        <w:tc>
          <w:tcPr>
            <w:tcW w:w="5460" w:type="dxa"/>
            <w:vAlign w:val="bottom"/>
            <w:gridSpan w:val="7"/>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ind w:left="20"/>
              <w:spacing w:after="0"/>
              <w:rPr>
                <w:sz w:val="20"/>
                <w:szCs w:val="20"/>
                <w:color w:val="auto"/>
              </w:rPr>
            </w:pPr>
            <w:r>
              <w:rPr>
                <w:rFonts w:ascii="Arial" w:cs="Arial" w:eastAsia="Arial" w:hAnsi="Arial"/>
                <w:sz w:val="16"/>
                <w:szCs w:val="16"/>
                <w:color w:val="auto"/>
              </w:rPr>
              <w:t>101.LAB</w:t>
            </w:r>
          </w:p>
        </w:tc>
        <w:tc>
          <w:tcPr>
            <w:tcW w:w="160" w:type="dxa"/>
            <w:vAlign w:val="bottom"/>
          </w:tcPr>
          <w:p>
            <w:pPr>
              <w:spacing w:after="0"/>
              <w:rPr>
                <w:sz w:val="24"/>
                <w:szCs w:val="24"/>
                <w:color w:val="auto"/>
              </w:rPr>
            </w:pPr>
          </w:p>
        </w:tc>
        <w:tc>
          <w:tcPr>
            <w:tcW w:w="5460" w:type="dxa"/>
            <w:vAlign w:val="bottom"/>
            <w:gridSpan w:val="7"/>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ind w:left="20"/>
              <w:spacing w:after="0"/>
              <w:rPr>
                <w:sz w:val="20"/>
                <w:szCs w:val="20"/>
                <w:color w:val="auto"/>
              </w:rPr>
            </w:pPr>
            <w:r>
              <w:rPr>
                <w:rFonts w:ascii="Arial" w:cs="Arial" w:eastAsia="Arial" w:hAnsi="Arial"/>
                <w:sz w:val="16"/>
                <w:szCs w:val="16"/>
                <w:color w:val="auto"/>
              </w:rPr>
              <w:t>101.PRE</w:t>
            </w:r>
          </w:p>
        </w:tc>
        <w:tc>
          <w:tcPr>
            <w:tcW w:w="160" w:type="dxa"/>
            <w:vAlign w:val="bottom"/>
          </w:tcPr>
          <w:p>
            <w:pPr>
              <w:spacing w:after="0"/>
              <w:rPr>
                <w:sz w:val="24"/>
                <w:szCs w:val="24"/>
                <w:color w:val="auto"/>
              </w:rPr>
            </w:pPr>
          </w:p>
        </w:tc>
        <w:tc>
          <w:tcPr>
            <w:tcW w:w="5460" w:type="dxa"/>
            <w:vAlign w:val="bottom"/>
            <w:gridSpan w:val="7"/>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ind w:left="20"/>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24"/>
                <w:szCs w:val="24"/>
                <w:color w:val="auto"/>
              </w:rPr>
            </w:pPr>
          </w:p>
        </w:tc>
        <w:tc>
          <w:tcPr>
            <w:tcW w:w="5460" w:type="dxa"/>
            <w:vAlign w:val="bottom"/>
            <w:gridSpan w:val="7"/>
          </w:tcPr>
          <w:p>
            <w:pPr>
              <w:spacing w:after="0"/>
              <w:rPr>
                <w:sz w:val="20"/>
                <w:szCs w:val="20"/>
                <w:color w:val="auto"/>
              </w:rPr>
            </w:pPr>
            <w:r>
              <w:rPr>
                <w:rFonts w:ascii="Arial" w:cs="Arial" w:eastAsia="Arial" w:hAnsi="Arial"/>
                <w:sz w:val="16"/>
                <w:szCs w:val="16"/>
                <w:color w:val="auto"/>
                <w:w w:val="97"/>
              </w:rPr>
              <w:t>Cover Page Interactive Data File (embedded within the Inline XBRL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6686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6" w:lineRule="exact"/>
        <w:rPr>
          <w:sz w:val="20"/>
          <w:szCs w:val="20"/>
          <w:color w:val="auto"/>
        </w:rPr>
      </w:pPr>
    </w:p>
    <w:p>
      <w:pPr>
        <w:ind w:right="80" w:firstLine="8"/>
        <w:spacing w:after="0" w:line="335" w:lineRule="auto"/>
        <w:tabs>
          <w:tab w:leader="none" w:pos="22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2023</w:t>
      </w:r>
    </w:p>
    <w:p>
      <w:pPr>
        <w:spacing w:after="0" w:line="26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SYNLOGIC, INC.</w:t>
      </w:r>
    </w:p>
    <w:p>
      <w:pPr>
        <w:spacing w:after="0" w:line="306" w:lineRule="exact"/>
        <w:rPr>
          <w:sz w:val="20"/>
          <w:szCs w:val="20"/>
          <w:color w:val="auto"/>
        </w:rPr>
      </w:pPr>
    </w:p>
    <w:p>
      <w:pPr>
        <w:ind w:left="684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23495</wp:posOffset>
            </wp:positionV>
            <wp:extent cx="24688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Aoife Brennan</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09" w:lineRule="exact"/>
        <w:rPr>
          <w:sz w:val="20"/>
          <w:szCs w:val="20"/>
          <w:color w:val="auto"/>
        </w:rPr>
      </w:pPr>
    </w:p>
    <w:p>
      <w:pPr>
        <w:ind w:left="684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23495</wp:posOffset>
            </wp:positionV>
            <wp:extent cx="24688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Michael Jensen</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(Principal Financial Officer and Principal Accounting</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4" w:name="page65"/>
    <w:bookmarkEnd w:id="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Aoife Brennan, certify that:</w:t>
      </w:r>
    </w:p>
    <w:p>
      <w:pPr>
        <w:spacing w:after="0" w:line="225"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Aoife Brennan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Jensen, certify that:</w:t>
      </w:r>
    </w:p>
    <w:p>
      <w:pPr>
        <w:spacing w:after="0" w:line="225"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Jensen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09"/>
        <w:spacing w:after="0" w:line="286" w:lineRule="auto"/>
        <w:rPr>
          <w:sz w:val="20"/>
          <w:szCs w:val="20"/>
          <w:color w:val="auto"/>
        </w:rPr>
      </w:pPr>
      <w:r>
        <w:rPr>
          <w:rFonts w:ascii="Arial" w:cs="Arial" w:eastAsia="Arial" w:hAnsi="Arial"/>
          <w:sz w:val="17"/>
          <w:szCs w:val="17"/>
          <w:color w:val="auto"/>
        </w:rPr>
        <w:t>In connection with the Quarterly Report of Synlogic, Inc. (the “Company”) on Form 10-Q for the period ended June 30, 2023 as filed with the Securities and Exchange Commission on the date hereof (the “Report”), I, Aoife Brennan, President and Chief Executive Officer of the Company, certify, pursuant to 18 U.S.C. Section 1350, as adopted pursuant to Section 906 of the Sarbanes-Oxley Act of 2002, to my knowledge that:</w:t>
      </w:r>
    </w:p>
    <w:p>
      <w:pPr>
        <w:spacing w:after="0" w:line="57"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20" w:right="56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97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Aoife Brennan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August 10, 2023</w:t>
      </w:r>
    </w:p>
    <w:p>
      <w:pPr>
        <w:spacing w:after="0" w:line="117"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In connection with the Quarterly Report of Synlogic, Inc. (the “Company”) on Form 10-Q for the period ended June 30, 2023 as filed with the Securities and Exchange Commission on the date hereof (the “Report”), I, Michael Jensen, Chief Financial Officer of the Company, certify, pursuant to 18 U.S.C. Section 1350, as adopted pursuant to Section 906 of the Sarbanes-Oxley Act of 2002, to my knowledge that:</w:t>
      </w:r>
    </w:p>
    <w:p>
      <w:pPr>
        <w:spacing w:after="0" w:line="76"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20" w:right="560" w:hanging="503"/>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97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Jensen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August 10, 2023</w:t>
      </w:r>
    </w:p>
    <w:p>
      <w:pPr>
        <w:spacing w:after="0" w:line="117"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2"/>
    </w:lvl>
  </w:abstractNum>
  <w:abstractNum w:abstractNumId="5">
    <w:nsid w:val="71F32454"/>
    <w:multiLevelType w:val="hybridMultilevel"/>
    <w:lvl w:ilvl="0">
      <w:lvlJc w:val="left"/>
      <w:lvlText w:val="(%1)"/>
      <w:numFmt w:val="decimal"/>
      <w:start w:val="3"/>
    </w:lvl>
  </w:abstractNum>
  <w:abstractNum w:abstractNumId="6">
    <w:nsid w:val="2CA88611"/>
    <w:multiLevelType w:val="hybridMultilevel"/>
    <w:lvl w:ilvl="0">
      <w:lvlJc w:val="left"/>
      <w:lvlText w:val="(%1)"/>
      <w:numFmt w:val="decimal"/>
      <w:start w:val="4"/>
    </w:lvl>
  </w:abstractNum>
  <w:abstractNum w:abstractNumId="7">
    <w:nsid w:val="836C40E"/>
    <w:multiLevelType w:val="hybridMultilevel"/>
    <w:lvl w:ilvl="0">
      <w:lvlJc w:val="left"/>
      <w:lvlText w:val="(%1)"/>
      <w:numFmt w:val="decimal"/>
      <w:start w:val="5"/>
    </w:lvl>
  </w:abstractNum>
  <w:abstractNum w:abstractNumId="8">
    <w:nsid w:val="2901D82"/>
    <w:multiLevelType w:val="hybridMultilevel"/>
    <w:lvl w:ilvl="0">
      <w:lvlJc w:val="left"/>
      <w:lvlText w:val="(%1)"/>
      <w:numFmt w:val="decimal"/>
      <w:start w:val="6"/>
    </w:lvl>
  </w:abstractNum>
  <w:abstractNum w:abstractNumId="9">
    <w:nsid w:val="3A95F874"/>
    <w:multiLevelType w:val="hybridMultilevel"/>
    <w:lvl w:ilvl="0">
      <w:lvlJc w:val="left"/>
      <w:lvlText w:val="(%1)"/>
      <w:numFmt w:val="decimal"/>
      <w:start w:val="7"/>
    </w:lvl>
  </w:abstractNum>
  <w:abstractNum w:abstractNumId="10">
    <w:nsid w:val="8138641"/>
    <w:multiLevelType w:val="hybridMultilevel"/>
    <w:lvl w:ilvl="0">
      <w:lvlJc w:val="left"/>
      <w:lvlText w:val="(%1)"/>
      <w:numFmt w:val="decimal"/>
      <w:start w:val="8"/>
    </w:lvl>
  </w:abstractNum>
  <w:abstractNum w:abstractNumId="11">
    <w:nsid w:val="1E7FF521"/>
    <w:multiLevelType w:val="hybridMultilevel"/>
    <w:lvl w:ilvl="0">
      <w:lvlJc w:val="left"/>
      <w:lvlText w:val="(%1)"/>
      <w:numFmt w:val="decimal"/>
      <w:start w:val="9"/>
    </w:lvl>
  </w:abstractNum>
  <w:abstractNum w:abstractNumId="12">
    <w:nsid w:val="7C3DBD3D"/>
    <w:multiLevelType w:val="hybridMultilevel"/>
    <w:lvl w:ilvl="0">
      <w:lvlJc w:val="left"/>
      <w:lvlText w:val="(%1)"/>
      <w:numFmt w:val="decimal"/>
      <w:start w:val="10"/>
    </w:lvl>
  </w:abstractNum>
  <w:abstractNum w:abstractNumId="13">
    <w:nsid w:val="737B8DDC"/>
    <w:multiLevelType w:val="hybridMultilevel"/>
    <w:lvl w:ilvl="0">
      <w:lvlJc w:val="left"/>
      <w:lvlText w:val="(%1)"/>
      <w:numFmt w:val="decimal"/>
      <w:start w:val="11"/>
    </w:lvl>
  </w:abstractNum>
  <w:abstractNum w:abstractNumId="14">
    <w:nsid w:val="6CEAF087"/>
    <w:multiLevelType w:val="hybridMultilevel"/>
    <w:lvl w:ilvl="0">
      <w:lvlJc w:val="left"/>
      <w:lvlText w:val="(%1)"/>
      <w:numFmt w:val="decimal"/>
      <w:start w:val="12"/>
    </w:lvl>
  </w:abstractNum>
  <w:abstractNum w:abstractNumId="15">
    <w:nsid w:val="22221A70"/>
    <w:multiLevelType w:val="hybridMultilevel"/>
    <w:lvl w:ilvl="0">
      <w:lvlJc w:val="left"/>
      <w:lvlText w:val="(%1)"/>
      <w:numFmt w:val="decimal"/>
      <w:start w:val="13"/>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lowerLetter"/>
      <w:start w:val="2"/>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68" Type="http://schemas.openxmlformats.org/officeDocument/2006/relationships/hyperlink" Target="https://www.sec.gov/Archives/edgar/data/1527599/000119312523167885/d52093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2023-08-10T05:37:45Z</dcterms:created>
  <dcterms:modified xsi:type="dcterms:W3CDTF">2023-08-10T05:37:45Z</dcterms:modified>
</cp:coreProperties>
</file>