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109855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500" w:right="240" w:hanging="492"/>
        <w:spacing w:after="0" w:line="243" w:lineRule="auto"/>
        <w:tabs>
          <w:tab w:leader="none" w:pos="5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2021</w:t>
      </w:r>
    </w:p>
    <w:p>
      <w:pPr>
        <w:ind w:left="500" w:hanging="492"/>
        <w:spacing w:after="0" w:line="189" w:lineRule="auto"/>
        <w:tabs>
          <w:tab w:leader="none" w:pos="5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w:t>
      </w:r>
    </w:p>
    <w:p>
      <w:pPr>
        <w:spacing w:after="0" w:line="220" w:lineRule="exact"/>
        <w:rPr>
          <w:sz w:val="24"/>
          <w:szCs w:val="24"/>
          <w:color w:val="auto"/>
        </w:rPr>
      </w:pPr>
    </w:p>
    <w:p>
      <w:pPr>
        <w:ind w:left="500"/>
        <w:spacing w:after="0"/>
        <w:tabs>
          <w:tab w:leader="none" w:pos="5680" w:val="left"/>
        </w:tabs>
        <w:rPr>
          <w:sz w:val="20"/>
          <w:szCs w:val="20"/>
          <w:color w:val="auto"/>
        </w:rPr>
      </w:pPr>
      <w:r>
        <w:rPr>
          <w:rFonts w:ascii="Arial" w:cs="Arial" w:eastAsia="Arial" w:hAnsi="Arial"/>
          <w:sz w:val="22"/>
          <w:szCs w:val="22"/>
          <w:b w:val="1"/>
          <w:bCs w:val="1"/>
          <w:color w:val="auto"/>
        </w:rPr>
        <w:t>1934 FOR THE TRANSITION PERIOD FROM</w:t>
      </w:r>
      <w:r>
        <w:rPr>
          <w:sz w:val="20"/>
          <w:szCs w:val="20"/>
          <w:color w:val="auto"/>
        </w:rPr>
        <w:tab/>
      </w:r>
      <w:r>
        <w:rPr>
          <w:rFonts w:ascii="Arial" w:cs="Arial" w:eastAsia="Arial" w:hAnsi="Arial"/>
          <w:sz w:val="21"/>
          <w:szCs w:val="21"/>
          <w:b w:val="1"/>
          <w:bCs w:val="1"/>
          <w:color w:val="auto"/>
        </w:rPr>
        <w:t>TO</w:t>
      </w:r>
    </w:p>
    <w:p>
      <w:pPr>
        <w:spacing w:after="0" w:line="1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001-37566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34" w:lineRule="exact"/>
        <w:rPr>
          <w:sz w:val="24"/>
          <w:szCs w:val="24"/>
          <w:color w:val="auto"/>
        </w:rPr>
      </w:pPr>
    </w:p>
    <w:tbl>
      <w:tblPr>
        <w:tblLayout w:type="fixed"/>
        <w:tblInd w:w="10" w:type="dxa"/>
        <w:tblCellMar>
          <w:top w:w="0" w:type="dxa"/>
          <w:left w:w="0" w:type="dxa"/>
          <w:bottom w:w="0" w:type="dxa"/>
          <w:right w:w="0" w:type="dxa"/>
        </w:tblCellMar>
      </w:tblPr>
      <w:tr>
        <w:trPr>
          <w:trHeight w:val="525"/>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43"/>
                <w:szCs w:val="43"/>
                <w:b w:val="1"/>
                <w:bCs w:val="1"/>
                <w:color w:val="auto"/>
              </w:rPr>
              <w:t>SYNLOGIC, INC.</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4320" w:type="dxa"/>
            <w:vAlign w:val="bottom"/>
            <w:gridSpan w:val="5"/>
          </w:tcPr>
          <w:p>
            <w:pPr>
              <w:jc w:val="center"/>
              <w:ind w:right="200"/>
              <w:spacing w:after="0"/>
              <w:rPr>
                <w:sz w:val="20"/>
                <w:szCs w:val="20"/>
                <w:color w:val="auto"/>
              </w:rPr>
            </w:pPr>
            <w:r>
              <w:rPr>
                <w:rFonts w:ascii="Arial" w:cs="Arial" w:eastAsia="Arial" w:hAnsi="Arial"/>
                <w:sz w:val="18"/>
                <w:szCs w:val="18"/>
                <w:b w:val="1"/>
                <w:bCs w:val="1"/>
                <w:color w:val="auto"/>
                <w:w w:val="90"/>
              </w:rPr>
              <w:t>(Exact name of Registrant as specified in its Charter)</w:t>
            </w:r>
          </w:p>
        </w:tc>
        <w:tc>
          <w:tcPr>
            <w:tcW w:w="3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560" w:type="dxa"/>
            <w:vAlign w:val="bottom"/>
            <w:vMerge w:val="restart"/>
          </w:tcPr>
          <w:p>
            <w:pPr>
              <w:jc w:val="center"/>
              <w:ind w:left="1519"/>
              <w:spacing w:after="0"/>
              <w:rPr>
                <w:sz w:val="20"/>
                <w:szCs w:val="20"/>
                <w:color w:val="auto"/>
              </w:rPr>
            </w:pPr>
            <w:r>
              <w:rPr>
                <w:rFonts w:ascii="Arial" w:cs="Arial" w:eastAsia="Arial" w:hAnsi="Arial"/>
                <w:sz w:val="18"/>
                <w:szCs w:val="18"/>
                <w:b w:val="1"/>
                <w:bCs w:val="1"/>
                <w:color w:val="auto"/>
                <w:w w:val="91"/>
              </w:rPr>
              <w:t>Delaware</w:t>
            </w: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360" w:type="dxa"/>
            <w:vAlign w:val="bottom"/>
            <w:vMerge w:val="restart"/>
          </w:tcPr>
          <w:p>
            <w:pPr>
              <w:jc w:val="right"/>
              <w:ind w:right="2060"/>
              <w:spacing w:after="0"/>
              <w:rPr>
                <w:sz w:val="20"/>
                <w:szCs w:val="20"/>
                <w:color w:val="auto"/>
              </w:rPr>
            </w:pPr>
            <w:r>
              <w:rPr>
                <w:rFonts w:ascii="Arial" w:cs="Arial" w:eastAsia="Arial" w:hAnsi="Arial"/>
                <w:sz w:val="18"/>
                <w:szCs w:val="18"/>
                <w:b w:val="1"/>
                <w:bCs w:val="1"/>
                <w:color w:val="auto"/>
              </w:rPr>
              <w:t>26-1824804</w:t>
            </w:r>
          </w:p>
        </w:tc>
        <w:tc>
          <w:tcPr>
            <w:tcW w:w="0" w:type="dxa"/>
            <w:vAlign w:val="bottom"/>
          </w:tcPr>
          <w:p>
            <w:pPr>
              <w:spacing w:after="0"/>
              <w:rPr>
                <w:sz w:val="1"/>
                <w:szCs w:val="1"/>
                <w:color w:val="auto"/>
              </w:rPr>
            </w:pPr>
          </w:p>
        </w:tc>
      </w:tr>
      <w:tr>
        <w:trPr>
          <w:trHeight w:val="187"/>
        </w:trPr>
        <w:tc>
          <w:tcPr>
            <w:tcW w:w="3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560" w:type="dxa"/>
            <w:vAlign w:val="bottom"/>
          </w:tcPr>
          <w:p>
            <w:pPr>
              <w:jc w:val="center"/>
              <w:ind w:left="151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360" w:type="dxa"/>
            <w:vAlign w:val="bottom"/>
          </w:tcPr>
          <w:p>
            <w:pPr>
              <w:jc w:val="center"/>
              <w:ind w:right="1720"/>
              <w:spacing w:after="0" w:line="149" w:lineRule="exact"/>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3560" w:type="dxa"/>
            <w:vAlign w:val="bottom"/>
          </w:tcPr>
          <w:p>
            <w:pPr>
              <w:jc w:val="center"/>
              <w:ind w:left="1519"/>
              <w:spacing w:after="0"/>
              <w:rPr>
                <w:sz w:val="20"/>
                <w:szCs w:val="20"/>
                <w:color w:val="auto"/>
              </w:rPr>
            </w:pPr>
            <w:r>
              <w:rPr>
                <w:rFonts w:ascii="Arial" w:cs="Arial" w:eastAsia="Arial" w:hAnsi="Arial"/>
                <w:sz w:val="14"/>
                <w:szCs w:val="14"/>
                <w:b w:val="1"/>
                <w:bCs w:val="1"/>
                <w:color w:val="auto"/>
                <w:w w:val="94"/>
              </w:rPr>
              <w:t>incorporation or organization)</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60" w:type="dxa"/>
            <w:vAlign w:val="bottom"/>
          </w:tcPr>
          <w:p>
            <w:pPr>
              <w:jc w:val="center"/>
              <w:ind w:right="1700"/>
              <w:spacing w:after="0"/>
              <w:rPr>
                <w:sz w:val="20"/>
                <w:szCs w:val="20"/>
                <w:color w:val="auto"/>
              </w:rPr>
            </w:pPr>
            <w:r>
              <w:rPr>
                <w:rFonts w:ascii="Arial" w:cs="Arial" w:eastAsia="Arial" w:hAnsi="Arial"/>
                <w:sz w:val="14"/>
                <w:szCs w:val="14"/>
                <w:b w:val="1"/>
                <w:bCs w:val="1"/>
                <w:color w:val="auto"/>
                <w:w w:val="96"/>
              </w:rPr>
              <w:t>Identification No.)</w:t>
            </w:r>
          </w:p>
        </w:tc>
        <w:tc>
          <w:tcPr>
            <w:tcW w:w="0" w:type="dxa"/>
            <w:vAlign w:val="bottom"/>
          </w:tcPr>
          <w:p>
            <w:pPr>
              <w:spacing w:after="0"/>
              <w:rPr>
                <w:sz w:val="1"/>
                <w:szCs w:val="1"/>
                <w:color w:val="auto"/>
              </w:rPr>
            </w:pPr>
          </w:p>
        </w:tc>
      </w:tr>
      <w:tr>
        <w:trPr>
          <w:trHeight w:val="304"/>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89"/>
              </w:rPr>
              <w:t>301 Binney St., Suite 402</w:t>
            </w: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560" w:type="dxa"/>
            <w:vAlign w:val="bottom"/>
          </w:tcPr>
          <w:p>
            <w:pPr>
              <w:jc w:val="center"/>
              <w:ind w:left="1539"/>
              <w:spacing w:after="0"/>
              <w:rPr>
                <w:sz w:val="20"/>
                <w:szCs w:val="20"/>
                <w:color w:val="auto"/>
              </w:rPr>
            </w:pPr>
            <w:r>
              <w:rPr>
                <w:rFonts w:ascii="Arial" w:cs="Arial" w:eastAsia="Arial" w:hAnsi="Arial"/>
                <w:sz w:val="18"/>
                <w:szCs w:val="18"/>
                <w:b w:val="1"/>
                <w:bCs w:val="1"/>
                <w:color w:val="auto"/>
                <w:w w:val="95"/>
              </w:rPr>
              <w:t>Cambridge, MA</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jc w:val="right"/>
              <w:ind w:right="2260"/>
              <w:spacing w:after="0"/>
              <w:rPr>
                <w:sz w:val="20"/>
                <w:szCs w:val="20"/>
                <w:color w:val="auto"/>
              </w:rPr>
            </w:pPr>
            <w:r>
              <w:rPr>
                <w:rFonts w:ascii="Arial" w:cs="Arial" w:eastAsia="Arial" w:hAnsi="Arial"/>
                <w:sz w:val="18"/>
                <w:szCs w:val="18"/>
                <w:b w:val="1"/>
                <w:bCs w:val="1"/>
                <w:color w:val="auto"/>
              </w:rPr>
              <w:t>02142</w:t>
            </w:r>
          </w:p>
        </w:tc>
        <w:tc>
          <w:tcPr>
            <w:tcW w:w="0" w:type="dxa"/>
            <w:vAlign w:val="bottom"/>
          </w:tcPr>
          <w:p>
            <w:pPr>
              <w:spacing w:after="0"/>
              <w:rPr>
                <w:sz w:val="1"/>
                <w:szCs w:val="1"/>
                <w:color w:val="auto"/>
              </w:rPr>
            </w:pPr>
          </w:p>
        </w:tc>
      </w:tr>
      <w:tr>
        <w:trPr>
          <w:trHeight w:val="153"/>
        </w:trPr>
        <w:tc>
          <w:tcPr>
            <w:tcW w:w="7880" w:type="dxa"/>
            <w:vAlign w:val="bottom"/>
            <w:gridSpan w:val="6"/>
          </w:tcPr>
          <w:p>
            <w:pPr>
              <w:jc w:val="center"/>
              <w:ind w:right="2700"/>
              <w:spacing w:after="0" w:line="153" w:lineRule="exact"/>
              <w:rPr>
                <w:sz w:val="20"/>
                <w:szCs w:val="20"/>
                <w:color w:val="auto"/>
              </w:rPr>
            </w:pPr>
            <w:r>
              <w:rPr>
                <w:rFonts w:ascii="Arial" w:cs="Arial" w:eastAsia="Arial" w:hAnsi="Arial"/>
                <w:sz w:val="14"/>
                <w:szCs w:val="14"/>
                <w:b w:val="1"/>
                <w:bCs w:val="1"/>
                <w:color w:val="auto"/>
                <w:w w:val="91"/>
              </w:rPr>
              <w:t>(Address of principal executive offices)</w:t>
            </w:r>
          </w:p>
        </w:tc>
        <w:tc>
          <w:tcPr>
            <w:tcW w:w="3360" w:type="dxa"/>
            <w:vAlign w:val="bottom"/>
          </w:tcPr>
          <w:p>
            <w:pPr>
              <w:jc w:val="center"/>
              <w:ind w:right="1700"/>
              <w:spacing w:after="0" w:line="153" w:lineRule="exact"/>
              <w:rPr>
                <w:sz w:val="20"/>
                <w:szCs w:val="20"/>
                <w:color w:val="auto"/>
              </w:rPr>
            </w:pPr>
            <w:r>
              <w:rPr>
                <w:rFonts w:ascii="Arial" w:cs="Arial" w:eastAsia="Arial" w:hAnsi="Arial"/>
                <w:sz w:val="14"/>
                <w:szCs w:val="14"/>
                <w:b w:val="1"/>
                <w:bCs w:val="1"/>
                <w:color w:val="auto"/>
                <w:w w:val="95"/>
              </w:rPr>
              <w:t>(Zip Code)</w:t>
            </w:r>
          </w:p>
        </w:tc>
        <w:tc>
          <w:tcPr>
            <w:tcW w:w="0" w:type="dxa"/>
            <w:vAlign w:val="bottom"/>
          </w:tcPr>
          <w:p>
            <w:pPr>
              <w:spacing w:after="0"/>
              <w:rPr>
                <w:sz w:val="1"/>
                <w:szCs w:val="1"/>
                <w:color w:val="auto"/>
              </w:rPr>
            </w:pPr>
          </w:p>
        </w:tc>
      </w:tr>
      <w:tr>
        <w:trPr>
          <w:trHeight w:val="212"/>
        </w:trPr>
        <w:tc>
          <w:tcPr>
            <w:tcW w:w="3560" w:type="dxa"/>
            <w:vAlign w:val="bottom"/>
          </w:tcPr>
          <w:p>
            <w:pPr>
              <w:spacing w:after="0"/>
              <w:rPr>
                <w:sz w:val="18"/>
                <w:szCs w:val="18"/>
                <w:color w:val="auto"/>
              </w:rPr>
            </w:pPr>
          </w:p>
        </w:tc>
        <w:tc>
          <w:tcPr>
            <w:tcW w:w="3180" w:type="dxa"/>
            <w:vAlign w:val="bottom"/>
            <w:gridSpan w:val="3"/>
          </w:tcPr>
          <w:p>
            <w:pPr>
              <w:jc w:val="center"/>
              <w:ind w:left="850"/>
              <w:spacing w:after="0"/>
              <w:rPr>
                <w:sz w:val="20"/>
                <w:szCs w:val="20"/>
                <w:color w:val="auto"/>
              </w:rPr>
            </w:pPr>
            <w:r>
              <w:rPr>
                <w:rFonts w:ascii="Arial" w:cs="Arial" w:eastAsia="Arial" w:hAnsi="Arial"/>
                <w:sz w:val="18"/>
                <w:szCs w:val="18"/>
                <w:b w:val="1"/>
                <w:bCs w:val="1"/>
                <w:color w:val="auto"/>
                <w:w w:val="90"/>
              </w:rPr>
              <w:t>(617) 401-9975</w:t>
            </w: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3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3"/>
        </w:trPr>
        <w:tc>
          <w:tcPr>
            <w:tcW w:w="3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120" w:type="dxa"/>
            <w:vAlign w:val="bottom"/>
            <w:gridSpan w:val="4"/>
          </w:tcPr>
          <w:p>
            <w:pPr>
              <w:jc w:val="center"/>
              <w:ind w:right="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35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300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Title of each class</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40"/>
              <w:spacing w:after="0"/>
              <w:rPr>
                <w:sz w:val="20"/>
                <w:szCs w:val="20"/>
                <w:color w:val="auto"/>
              </w:rPr>
            </w:pPr>
            <w:r>
              <w:rPr>
                <w:rFonts w:ascii="Arial" w:cs="Arial" w:eastAsia="Arial" w:hAnsi="Arial"/>
                <w:sz w:val="16"/>
                <w:szCs w:val="16"/>
                <w:color w:val="auto"/>
                <w:w w:val="94"/>
              </w:rPr>
              <w:t>Trading Symbol</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00"/>
              <w:spacing w:after="0"/>
              <w:rPr>
                <w:sz w:val="20"/>
                <w:szCs w:val="20"/>
                <w:color w:val="auto"/>
              </w:rPr>
            </w:pPr>
            <w:r>
              <w:rPr>
                <w:rFonts w:ascii="Arial" w:cs="Arial" w:eastAsia="Arial" w:hAnsi="Arial"/>
                <w:sz w:val="16"/>
                <w:szCs w:val="16"/>
                <w:color w:val="auto"/>
                <w:w w:val="91"/>
              </w:rPr>
              <w:t>Name of exchange on which registered</w:t>
            </w:r>
          </w:p>
        </w:tc>
        <w:tc>
          <w:tcPr>
            <w:tcW w:w="0" w:type="dxa"/>
            <w:vAlign w:val="bottom"/>
          </w:tcPr>
          <w:p>
            <w:pPr>
              <w:spacing w:after="0"/>
              <w:rPr>
                <w:sz w:val="1"/>
                <w:szCs w:val="1"/>
                <w:color w:val="auto"/>
              </w:rPr>
            </w:pPr>
          </w:p>
        </w:tc>
      </w:tr>
      <w:tr>
        <w:trPr>
          <w:trHeight w:val="196"/>
        </w:trPr>
        <w:tc>
          <w:tcPr>
            <w:tcW w:w="3560" w:type="dxa"/>
            <w:vAlign w:val="bottom"/>
            <w:tcBorders>
              <w:left w:val="single" w:sz="8" w:color="auto"/>
              <w:bottom w:val="single" w:sz="8" w:color="auto"/>
            </w:tcBorders>
          </w:tcPr>
          <w:p>
            <w:pPr>
              <w:jc w:val="center"/>
              <w:ind w:left="119"/>
              <w:spacing w:after="0"/>
              <w:rPr>
                <w:sz w:val="20"/>
                <w:szCs w:val="20"/>
                <w:color w:val="auto"/>
              </w:rPr>
            </w:pPr>
            <w:r>
              <w:rPr>
                <w:rFonts w:ascii="Arial" w:cs="Arial" w:eastAsia="Arial" w:hAnsi="Arial"/>
                <w:sz w:val="16"/>
                <w:szCs w:val="16"/>
                <w:color w:val="auto"/>
                <w:w w:val="90"/>
              </w:rPr>
              <w:t>Common Stock, par value $0.001 per share</w:t>
            </w:r>
          </w:p>
        </w:tc>
        <w:tc>
          <w:tcPr>
            <w:tcW w:w="200" w:type="dxa"/>
            <w:vAlign w:val="bottom"/>
            <w:tcBorders>
              <w:bottom w:val="single" w:sz="8" w:color="auto"/>
              <w:right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000" w:type="dxa"/>
            <w:vAlign w:val="bottom"/>
            <w:tcBorders>
              <w:bottom w:val="single" w:sz="8" w:color="auto"/>
              <w:right w:val="single" w:sz="8" w:color="auto"/>
            </w:tcBorders>
            <w:gridSpan w:val="2"/>
          </w:tcPr>
          <w:p>
            <w:pPr>
              <w:jc w:val="center"/>
              <w:ind w:right="760"/>
              <w:spacing w:after="0"/>
              <w:rPr>
                <w:sz w:val="20"/>
                <w:szCs w:val="20"/>
                <w:color w:val="auto"/>
              </w:rPr>
            </w:pPr>
            <w:r>
              <w:rPr>
                <w:rFonts w:ascii="Arial" w:cs="Arial" w:eastAsia="Arial" w:hAnsi="Arial"/>
                <w:sz w:val="16"/>
                <w:szCs w:val="16"/>
                <w:color w:val="auto"/>
              </w:rPr>
              <w:t>SYBX</w:t>
            </w:r>
          </w:p>
        </w:tc>
        <w:tc>
          <w:tcPr>
            <w:tcW w:w="380" w:type="dxa"/>
            <w:vAlign w:val="bottom"/>
            <w:tcBorders>
              <w:bottom w:val="single" w:sz="8" w:color="auto"/>
            </w:tcBorders>
          </w:tcPr>
          <w:p>
            <w:pPr>
              <w:spacing w:after="0"/>
              <w:rPr>
                <w:sz w:val="17"/>
                <w:szCs w:val="17"/>
                <w:color w:val="auto"/>
              </w:rPr>
            </w:pPr>
          </w:p>
        </w:tc>
        <w:tc>
          <w:tcPr>
            <w:tcW w:w="3360" w:type="dxa"/>
            <w:vAlign w:val="bottom"/>
            <w:tcBorders>
              <w:bottom w:val="single" w:sz="8" w:color="auto"/>
              <w:right w:val="single" w:sz="8" w:color="auto"/>
            </w:tcBorders>
          </w:tcPr>
          <w:p>
            <w:pPr>
              <w:jc w:val="center"/>
              <w:ind w:right="320"/>
              <w:spacing w:after="0"/>
              <w:rPr>
                <w:sz w:val="20"/>
                <w:szCs w:val="20"/>
                <w:color w:val="auto"/>
              </w:rPr>
            </w:pPr>
            <w:r>
              <w:rPr>
                <w:rFonts w:ascii="Arial" w:cs="Arial" w:eastAsia="Arial" w:hAnsi="Arial"/>
                <w:sz w:val="16"/>
                <w:szCs w:val="16"/>
                <w:color w:val="auto"/>
                <w:w w:val="92"/>
              </w:rPr>
              <w:t>The Nasdaq Capital Market</w:t>
            </w:r>
          </w:p>
        </w:tc>
        <w:tc>
          <w:tcPr>
            <w:tcW w:w="0" w:type="dxa"/>
            <w:vAlign w:val="bottom"/>
          </w:tcPr>
          <w:p>
            <w:pPr>
              <w:spacing w:after="0"/>
              <w:rPr>
                <w:sz w:val="1"/>
                <w:szCs w:val="1"/>
                <w:color w:val="auto"/>
              </w:rPr>
            </w:pPr>
          </w:p>
        </w:tc>
      </w:tr>
    </w:tbl>
    <w:p>
      <w:pPr>
        <w:spacing w:after="0" w:line="193" w:lineRule="exact"/>
        <w:rPr>
          <w:sz w:val="24"/>
          <w:szCs w:val="24"/>
          <w:color w:val="auto"/>
        </w:rPr>
      </w:pPr>
    </w:p>
    <w:p>
      <w:pPr>
        <w:ind w:right="38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01" w:lineRule="exact"/>
        <w:rPr>
          <w:sz w:val="24"/>
          <w:szCs w:val="24"/>
          <w:color w:val="auto"/>
        </w:rPr>
      </w:pPr>
    </w:p>
    <w:p>
      <w:pPr>
        <w:ind w:right="260"/>
        <w:spacing w:after="0" w:line="27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16"/>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100" w:type="dxa"/>
            <w:vAlign w:val="bottom"/>
          </w:tcPr>
          <w:p>
            <w:pPr>
              <w:ind w:left="540"/>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54"/>
        </w:trPr>
        <w:tc>
          <w:tcPr>
            <w:tcW w:w="19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502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86" w:lineRule="exact"/>
        <w:rPr>
          <w:sz w:val="24"/>
          <w:szCs w:val="24"/>
          <w:color w:val="auto"/>
        </w:rPr>
      </w:pPr>
    </w:p>
    <w:p>
      <w:pPr>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70" w:lineRule="exact"/>
        <w:rPr>
          <w:sz w:val="24"/>
          <w:szCs w:val="24"/>
          <w:color w:val="auto"/>
        </w:rPr>
      </w:pPr>
    </w:p>
    <w:p>
      <w:pPr>
        <w:ind w:right="2660"/>
        <w:spacing w:after="0" w:line="28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3, 2021, there were 69,709,236 shares of the registrant’s common stock, par value $0.001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420370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This Quarterly Report on Form 10-Q contains forward-looking statements that involve risks and uncertainties. We make such forward-looking statements pursuant to the safe harbor provisions of the Private Securities Litigation Reform Act of 1995 and other federal securities laws. All statements other than statements of historical facts contained herein are forward-looking statements. In some cases, you can identify forward-looking statements by terminology such as “may,” “will,” “should,” “expects,” “intends,” “plans,” “anticipates,” “believes,” “estimates,” “predicts,” “potential,” “continue” or the negative of these terms or other comparable terminology. These forward-looking statements include, but are not limited to, statements about:</w:t>
      </w:r>
    </w:p>
    <w:p>
      <w:pPr>
        <w:spacing w:after="0" w:line="67" w:lineRule="exact"/>
        <w:rPr>
          <w:sz w:val="20"/>
          <w:szCs w:val="20"/>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collaborations with third parties;</w:t>
      </w:r>
    </w:p>
    <w:p>
      <w:pPr>
        <w:spacing w:after="0" w:line="117"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in manufacturing products, as well as agreements with third-party manufacturers;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20" w:hanging="493"/>
        <w:spacing w:after="0" w:line="277" w:lineRule="auto"/>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w:t>
      </w:r>
    </w:p>
    <w:p>
      <w:pPr>
        <w:spacing w:after="0" w:line="62" w:lineRule="exact"/>
        <w:rPr>
          <w:rFonts w:ascii="Arial" w:cs="Arial" w:eastAsia="Arial" w:hAnsi="Arial"/>
          <w:sz w:val="18"/>
          <w:szCs w:val="18"/>
          <w:color w:val="auto"/>
        </w:rPr>
      </w:pPr>
    </w:p>
    <w:p>
      <w:pPr>
        <w:ind w:left="1000" w:right="460" w:hanging="493"/>
        <w:spacing w:after="0" w:line="308" w:lineRule="auto"/>
        <w:tabs>
          <w:tab w:leader="none" w:pos="10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major public health concerns, including the novel coronavirus outbreak or other pandemics arising globally, and the current and future impact of it and COVID-19 on our clinical trials, business operations and funding requirements; and</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including those listed under Part II, Item 1A. “Risk Factors”.</w:t>
      </w:r>
    </w:p>
    <w:p>
      <w:pPr>
        <w:spacing w:after="0" w:line="225"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ind w:right="140" w:firstLine="510"/>
        <w:spacing w:after="0" w:line="273" w:lineRule="auto"/>
        <w:rPr>
          <w:sz w:val="20"/>
          <w:szCs w:val="20"/>
          <w:color w:val="auto"/>
        </w:rPr>
      </w:pPr>
      <w:r>
        <w:rPr>
          <w:rFonts w:ascii="Arial" w:cs="Arial" w:eastAsia="Arial" w:hAnsi="Arial"/>
          <w:sz w:val="17"/>
          <w:szCs w:val="17"/>
          <w:color w:val="auto"/>
        </w:rPr>
        <w:t>This Quarterly Report on Form 10-Q also contains estimates, projections and other information concerning our industry, our business, and the markets for certain diseases, including data regarding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409575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SYNLOGIC,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50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Page</w:t>
            </w:r>
          </w:p>
        </w:tc>
      </w:tr>
      <w:tr>
        <w:trPr>
          <w:trHeight w:val="358"/>
        </w:trPr>
        <w:tc>
          <w:tcPr>
            <w:tcW w:w="10740" w:type="dxa"/>
            <w:vAlign w:val="bottom"/>
            <w:gridSpan w:val="19"/>
          </w:tcPr>
          <w:p>
            <w:pPr>
              <w:spacing w:after="0"/>
              <w:rPr>
                <w:sz w:val="20"/>
                <w:szCs w:val="20"/>
                <w:color w:val="auto"/>
              </w:rPr>
            </w:pPr>
            <w:r>
              <w:rPr>
                <w:rFonts w:ascii="Arial" w:cs="Arial" w:eastAsia="Arial" w:hAnsi="Arial"/>
                <w:sz w:val="18"/>
                <w:szCs w:val="18"/>
                <w:b w:val="1"/>
                <w:bCs w:val="1"/>
                <w:color w:val="auto"/>
              </w:rPr>
              <w:t>PART I - FINANCIAL INFORMATION</w:t>
            </w:r>
          </w:p>
        </w:tc>
        <w:tc>
          <w:tcPr>
            <w:tcW w:w="500" w:type="dxa"/>
            <w:vAlign w:val="bottom"/>
          </w:tcPr>
          <w:p>
            <w:pPr>
              <w:spacing w:after="0"/>
              <w:rPr>
                <w:sz w:val="24"/>
                <w:szCs w:val="24"/>
                <w:color w:val="auto"/>
              </w:rPr>
            </w:pPr>
          </w:p>
        </w:tc>
      </w:tr>
      <w:tr>
        <w:trPr>
          <w:trHeight w:val="338"/>
        </w:trPr>
        <w:tc>
          <w:tcPr>
            <w:tcW w:w="260" w:type="dxa"/>
            <w:vAlign w:val="bottom"/>
          </w:tcPr>
          <w:p>
            <w:pPr>
              <w:spacing w:after="0"/>
              <w:rPr>
                <w:sz w:val="24"/>
                <w:szCs w:val="24"/>
                <w:color w:val="auto"/>
              </w:rPr>
            </w:pPr>
          </w:p>
        </w:tc>
        <w:tc>
          <w:tcPr>
            <w:tcW w:w="10480" w:type="dxa"/>
            <w:vAlign w:val="bottom"/>
            <w:gridSpan w:val="18"/>
          </w:tcPr>
          <w:p>
            <w:pPr>
              <w:spacing w:after="0"/>
              <w:rPr>
                <w:sz w:val="20"/>
                <w:szCs w:val="20"/>
                <w:color w:val="auto"/>
              </w:rPr>
            </w:pPr>
            <w:r>
              <w:rPr>
                <w:rFonts w:ascii="Arial" w:cs="Arial" w:eastAsia="Arial" w:hAnsi="Arial"/>
                <w:sz w:val="18"/>
                <w:szCs w:val="18"/>
                <w:color w:val="auto"/>
              </w:rPr>
              <w:t>Item 1. Financial Statements</w:t>
            </w:r>
          </w:p>
        </w:tc>
        <w:tc>
          <w:tcPr>
            <w:tcW w:w="5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8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Consolidated Balance Sheets</w:t>
              </w:r>
            </w:hyperlink>
          </w:p>
        </w:tc>
        <w:tc>
          <w:tcPr>
            <w:tcW w:w="7260" w:type="dxa"/>
            <w:vAlign w:val="bottom"/>
            <w:gridSpan w:val="8"/>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14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Operations and Comprehensive Loss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3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Stockholders’ Equity</w:t>
              </w:r>
            </w:hyperlink>
          </w:p>
        </w:tc>
        <w:tc>
          <w:tcPr>
            <w:tcW w:w="1120" w:type="dxa"/>
            <w:vAlign w:val="bottom"/>
            <w:tcBorders>
              <w:top w:val="single" w:sz="8" w:color="0000EE"/>
            </w:tcBorders>
            <w:gridSpan w:val="3"/>
          </w:tcPr>
          <w:p>
            <w:pPr>
              <w:spacing w:after="0"/>
              <w:rPr>
                <w:sz w:val="24"/>
                <w:szCs w:val="24"/>
                <w:color w:val="auto"/>
              </w:rPr>
            </w:pPr>
          </w:p>
        </w:tc>
        <w:tc>
          <w:tcPr>
            <w:tcW w:w="46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Unaudited Consolidated Statements of Cash Flows</w:t>
              </w:r>
            </w:hyperlink>
          </w:p>
        </w:tc>
        <w:tc>
          <w:tcPr>
            <w:tcW w:w="6480" w:type="dxa"/>
            <w:vAlign w:val="bottom"/>
            <w:gridSpan w:val="7"/>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17"/>
        </w:trPr>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6200" w:type="dxa"/>
            <w:vAlign w:val="bottom"/>
            <w:gridSpan w:val="6"/>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18"/>
        </w:trPr>
        <w:tc>
          <w:tcPr>
            <w:tcW w:w="260" w:type="dxa"/>
            <w:vAlign w:val="bottom"/>
          </w:tcPr>
          <w:p>
            <w:pPr>
              <w:spacing w:after="0"/>
              <w:rPr>
                <w:sz w:val="24"/>
                <w:szCs w:val="24"/>
                <w:color w:val="auto"/>
              </w:rPr>
            </w:pPr>
          </w:p>
        </w:tc>
        <w:tc>
          <w:tcPr>
            <w:tcW w:w="7020" w:type="dxa"/>
            <w:vAlign w:val="bottom"/>
            <w:tcBorders>
              <w:bottom w:val="single" w:sz="8" w:color="0000EE"/>
            </w:tcBorders>
            <w:gridSpan w:val="17"/>
          </w:tcPr>
          <w:p>
            <w:pPr>
              <w:spacing w:after="0"/>
              <w:rPr>
                <w:rFonts w:ascii="Arial" w:cs="Arial" w:eastAsia="Arial" w:hAnsi="Arial"/>
                <w:sz w:val="18"/>
                <w:szCs w:val="18"/>
                <w:color w:val="0000EE"/>
                <w:w w:val="91"/>
              </w:rPr>
            </w:pPr>
            <w:hyperlink w:anchor="page18">
              <w:r>
                <w:rPr>
                  <w:rFonts w:ascii="Arial" w:cs="Arial" w:eastAsia="Arial" w:hAnsi="Arial"/>
                  <w:sz w:val="18"/>
                  <w:szCs w:val="18"/>
                  <w:color w:val="0000EE"/>
                  <w:w w:val="91"/>
                </w:rPr>
                <w:t>Item 2. Management’s Discussion and Analysis of Financial Condition and Results of Operations</w:t>
              </w:r>
            </w:hyperlink>
          </w:p>
        </w:tc>
        <w:tc>
          <w:tcPr>
            <w:tcW w:w="34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8"/>
        </w:trPr>
        <w:tc>
          <w:tcPr>
            <w:tcW w:w="26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3. Quantitative and Qualitative Disclosures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18"/>
        </w:trPr>
        <w:tc>
          <w:tcPr>
            <w:tcW w:w="260" w:type="dxa"/>
            <w:vAlign w:val="bottom"/>
          </w:tcPr>
          <w:p>
            <w:pPr>
              <w:spacing w:after="0"/>
              <w:rPr>
                <w:sz w:val="24"/>
                <w:szCs w:val="24"/>
                <w:color w:val="auto"/>
              </w:rPr>
            </w:pPr>
          </w:p>
        </w:tc>
        <w:tc>
          <w:tcPr>
            <w:tcW w:w="23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Item 4. Controls and Procedures</w:t>
              </w:r>
            </w:hyperlink>
          </w:p>
        </w:tc>
        <w:tc>
          <w:tcPr>
            <w:tcW w:w="2500" w:type="dxa"/>
            <w:vAlign w:val="bottom"/>
            <w:tcBorders>
              <w:top w:val="single" w:sz="8" w:color="0000EE"/>
            </w:tcBorders>
            <w:gridSpan w:val="6"/>
          </w:tcPr>
          <w:p>
            <w:pPr>
              <w:spacing w:after="0"/>
              <w:rPr>
                <w:sz w:val="24"/>
                <w:szCs w:val="24"/>
                <w:color w:val="auto"/>
              </w:rPr>
            </w:pPr>
          </w:p>
        </w:tc>
        <w:tc>
          <w:tcPr>
            <w:tcW w:w="5620" w:type="dxa"/>
            <w:vAlign w:val="bottom"/>
            <w:gridSpan w:val="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58"/>
        </w:trPr>
        <w:tc>
          <w:tcPr>
            <w:tcW w:w="10740" w:type="dxa"/>
            <w:vAlign w:val="bottom"/>
            <w:gridSpan w:val="19"/>
          </w:tcPr>
          <w:p>
            <w:pPr>
              <w:spacing w:after="0"/>
              <w:rPr>
                <w:sz w:val="20"/>
                <w:szCs w:val="20"/>
                <w:color w:val="auto"/>
              </w:rPr>
            </w:pPr>
            <w:r>
              <w:rPr>
                <w:rFonts w:ascii="Arial" w:cs="Arial" w:eastAsia="Arial" w:hAnsi="Arial"/>
                <w:sz w:val="18"/>
                <w:szCs w:val="18"/>
                <w:b w:val="1"/>
                <w:bCs w:val="1"/>
                <w:color w:val="auto"/>
              </w:rPr>
              <w:t>PART II - OTHER INFORMATION</w:t>
            </w:r>
          </w:p>
        </w:tc>
        <w:tc>
          <w:tcPr>
            <w:tcW w:w="500" w:type="dxa"/>
            <w:vAlign w:val="bottom"/>
          </w:tcPr>
          <w:p>
            <w:pPr>
              <w:spacing w:after="0"/>
              <w:rPr>
                <w:sz w:val="24"/>
                <w:szCs w:val="24"/>
                <w:color w:val="auto"/>
              </w:rPr>
            </w:pPr>
          </w:p>
        </w:tc>
      </w:tr>
      <w:tr>
        <w:trPr>
          <w:trHeight w:val="297"/>
        </w:trPr>
        <w:tc>
          <w:tcPr>
            <w:tcW w:w="260" w:type="dxa"/>
            <w:vAlign w:val="bottom"/>
          </w:tcPr>
          <w:p>
            <w:pPr>
              <w:spacing w:after="0"/>
              <w:rPr>
                <w:sz w:val="24"/>
                <w:szCs w:val="24"/>
                <w:color w:val="auto"/>
              </w:rPr>
            </w:pPr>
          </w:p>
        </w:tc>
        <w:tc>
          <w:tcPr>
            <w:tcW w:w="19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0">
              <w:r>
                <w:rPr>
                  <w:rFonts w:ascii="Arial" w:cs="Arial" w:eastAsia="Arial" w:hAnsi="Arial"/>
                  <w:sz w:val="18"/>
                  <w:szCs w:val="18"/>
                  <w:color w:val="0000EE"/>
                  <w:w w:val="89"/>
                </w:rPr>
                <w:t>Item 1. Legal Proceedings</w:t>
              </w:r>
            </w:hyperlink>
          </w:p>
        </w:tc>
        <w:tc>
          <w:tcPr>
            <w:tcW w:w="8580" w:type="dxa"/>
            <w:vAlign w:val="bottom"/>
            <w:gridSpan w:val="1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260" w:type="dxa"/>
            <w:vAlign w:val="bottom"/>
          </w:tcPr>
          <w:p>
            <w:pPr>
              <w:spacing w:after="0"/>
              <w:rPr>
                <w:sz w:val="24"/>
                <w:szCs w:val="24"/>
                <w:color w:val="auto"/>
              </w:rPr>
            </w:pPr>
          </w:p>
        </w:tc>
        <w:tc>
          <w:tcPr>
            <w:tcW w:w="160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1A. Risk Factors</w:t>
              </w:r>
            </w:hyperlink>
          </w:p>
        </w:tc>
        <w:tc>
          <w:tcPr>
            <w:tcW w:w="8880" w:type="dxa"/>
            <w:vAlign w:val="bottom"/>
            <w:gridSpan w:val="14"/>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18"/>
        </w:trPr>
        <w:tc>
          <w:tcPr>
            <w:tcW w:w="26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2. Unregistered Sales of Equity Securities and Use of Proceeds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260" w:type="dxa"/>
            <w:vAlign w:val="bottom"/>
          </w:tcPr>
          <w:p>
            <w:pPr>
              <w:spacing w:after="0"/>
              <w:rPr>
                <w:sz w:val="24"/>
                <w:szCs w:val="24"/>
                <w:color w:val="auto"/>
              </w:rPr>
            </w:pPr>
          </w:p>
        </w:tc>
        <w:tc>
          <w:tcPr>
            <w:tcW w:w="4900" w:type="dxa"/>
            <w:vAlign w:val="bottom"/>
            <w:tcBorders>
              <w:top w:val="single" w:sz="8" w:color="0000EE"/>
            </w:tcBorders>
            <w:gridSpan w:val="1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Item 3. Defaults Upon Senior Securities</w:t>
              </w:r>
            </w:hyperlink>
          </w:p>
        </w:tc>
        <w:tc>
          <w:tcPr>
            <w:tcW w:w="5580" w:type="dxa"/>
            <w:vAlign w:val="bottom"/>
            <w:gridSpan w:val="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260" w:type="dxa"/>
            <w:vAlign w:val="bottom"/>
          </w:tcPr>
          <w:p>
            <w:pPr>
              <w:spacing w:after="0"/>
              <w:rPr>
                <w:sz w:val="24"/>
                <w:szCs w:val="24"/>
                <w:color w:val="auto"/>
              </w:rPr>
            </w:pPr>
          </w:p>
        </w:tc>
        <w:tc>
          <w:tcPr>
            <w:tcW w:w="23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1"/>
              </w:rPr>
            </w:pPr>
            <w:hyperlink w:anchor="page60">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gridSpan w:val="2"/>
          </w:tcPr>
          <w:p>
            <w:pPr>
              <w:spacing w:after="0"/>
              <w:rPr>
                <w:sz w:val="24"/>
                <w:szCs w:val="24"/>
                <w:color w:val="auto"/>
              </w:rPr>
            </w:pPr>
          </w:p>
        </w:tc>
        <w:tc>
          <w:tcPr>
            <w:tcW w:w="7600" w:type="dxa"/>
            <w:vAlign w:val="bottom"/>
            <w:gridSpan w:val="9"/>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260" w:type="dxa"/>
            <w:vAlign w:val="bottom"/>
          </w:tcPr>
          <w:p>
            <w:pPr>
              <w:spacing w:after="0"/>
              <w:rPr>
                <w:sz w:val="24"/>
                <w:szCs w:val="24"/>
                <w:color w:val="auto"/>
              </w:rPr>
            </w:pPr>
          </w:p>
        </w:tc>
        <w:tc>
          <w:tcPr>
            <w:tcW w:w="1880" w:type="dxa"/>
            <w:vAlign w:val="bottom"/>
            <w:tcBorders>
              <w:bottom w:val="single" w:sz="8" w:color="0000EE"/>
            </w:tcBorders>
            <w:gridSpan w:val="5"/>
          </w:tcPr>
          <w:p>
            <w:pPr>
              <w:spacing w:after="0"/>
              <w:rPr>
                <w:rFonts w:ascii="Arial" w:cs="Arial" w:eastAsia="Arial" w:hAnsi="Arial"/>
                <w:sz w:val="18"/>
                <w:szCs w:val="18"/>
                <w:color w:val="0000EE"/>
                <w:w w:val="92"/>
              </w:rPr>
            </w:pPr>
            <w:hyperlink w:anchor="page60">
              <w:r>
                <w:rPr>
                  <w:rFonts w:ascii="Arial" w:cs="Arial" w:eastAsia="Arial" w:hAnsi="Arial"/>
                  <w:sz w:val="18"/>
                  <w:szCs w:val="18"/>
                  <w:color w:val="0000EE"/>
                  <w:w w:val="92"/>
                </w:rPr>
                <w:t>Item 5. Other Information</w:t>
              </w:r>
            </w:hyperlink>
          </w:p>
        </w:tc>
        <w:tc>
          <w:tcPr>
            <w:tcW w:w="8600" w:type="dxa"/>
            <w:vAlign w:val="bottom"/>
            <w:gridSpan w:val="13"/>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318"/>
        </w:trPr>
        <w:tc>
          <w:tcPr>
            <w:tcW w:w="260" w:type="dxa"/>
            <w:vAlign w:val="bottom"/>
          </w:tcPr>
          <w:p>
            <w:pPr>
              <w:spacing w:after="0"/>
              <w:rPr>
                <w:sz w:val="24"/>
                <w:szCs w:val="24"/>
                <w:color w:val="auto"/>
              </w:rPr>
            </w:pPr>
          </w:p>
        </w:tc>
        <w:tc>
          <w:tcPr>
            <w:tcW w:w="10480" w:type="dxa"/>
            <w:vAlign w:val="bottom"/>
            <w:gridSpan w:val="1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Item 6. 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318"/>
        </w:trPr>
        <w:tc>
          <w:tcPr>
            <w:tcW w:w="260" w:type="dxa"/>
            <w:vAlign w:val="bottom"/>
          </w:tcPr>
          <w:p>
            <w:pPr>
              <w:spacing w:after="0"/>
              <w:rPr>
                <w:sz w:val="24"/>
                <w:szCs w:val="24"/>
                <w:color w:val="auto"/>
              </w:rPr>
            </w:pPr>
          </w:p>
        </w:tc>
        <w:tc>
          <w:tcPr>
            <w:tcW w:w="1160" w:type="dxa"/>
            <w:vAlign w:val="bottom"/>
            <w:tcBorders>
              <w:top w:val="single" w:sz="8" w:color="0000EE"/>
            </w:tcBorders>
            <w:gridSpan w:val="3"/>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Signatures</w:t>
              </w:r>
            </w:hyperlink>
          </w:p>
        </w:tc>
        <w:tc>
          <w:tcPr>
            <w:tcW w:w="9320" w:type="dxa"/>
            <w:vAlign w:val="bottom"/>
            <w:gridSpan w:val="15"/>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215"/>
        </w:trPr>
        <w:tc>
          <w:tcPr>
            <w:tcW w:w="260" w:type="dxa"/>
            <w:vAlign w:val="bottom"/>
            <w:tcBorders>
              <w:bottom w:val="single" w:sz="8" w:color="9A9A9A"/>
            </w:tcBorders>
          </w:tcPr>
          <w:p>
            <w:pPr>
              <w:spacing w:after="0"/>
              <w:rPr>
                <w:sz w:val="24"/>
                <w:szCs w:val="24"/>
                <w:color w:val="auto"/>
              </w:rPr>
            </w:pPr>
          </w:p>
        </w:tc>
        <w:tc>
          <w:tcPr>
            <w:tcW w:w="340" w:type="dxa"/>
            <w:vAlign w:val="bottom"/>
            <w:tcBorders>
              <w:top w:val="single" w:sz="8" w:color="0000EE"/>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Balance Sheets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51"/>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62,925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Short-term marketable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87,129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67,937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5,548</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156,602</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106,846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9,625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Right of use asset - operating lease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14,455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15,527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Prepaid research and development, net of current portion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8,750</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9,590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190,536</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2,522</w:t>
            </w:r>
          </w:p>
        </w:tc>
        <w:tc>
          <w:tcPr>
            <w:tcW w:w="28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expenses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Finance lease obligations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Lease liability - operating lease, net of current portion</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Finance lease obligations, net of current portion</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28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long-term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18,363</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20,404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Common stock, $0.001 par value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500"/>
              <w:spacing w:after="0"/>
              <w:rPr>
                <w:sz w:val="20"/>
                <w:szCs w:val="20"/>
                <w:color w:val="auto"/>
              </w:rPr>
            </w:pPr>
            <w:r>
              <w:rPr>
                <w:rFonts w:ascii="Arial" w:cs="Arial" w:eastAsia="Arial" w:hAnsi="Arial"/>
                <w:sz w:val="18"/>
                <w:szCs w:val="18"/>
                <w:color w:val="auto"/>
              </w:rPr>
              <w:t>250,000,000 shares authorized as of September 30, 2021 and December 31, 2020.</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640"/>
              <w:spacing w:after="0"/>
              <w:rPr>
                <w:sz w:val="20"/>
                <w:szCs w:val="20"/>
                <w:color w:val="auto"/>
              </w:rPr>
            </w:pPr>
            <w:r>
              <w:rPr>
                <w:rFonts w:ascii="Arial" w:cs="Arial" w:eastAsia="Arial" w:hAnsi="Arial"/>
                <w:sz w:val="18"/>
                <w:szCs w:val="18"/>
                <w:color w:val="auto"/>
              </w:rPr>
              <w:t>69,707,541 shares issued and outstanding as of September 30, 2021 and</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640"/>
              <w:spacing w:after="0"/>
              <w:rPr>
                <w:sz w:val="20"/>
                <w:szCs w:val="20"/>
                <w:color w:val="auto"/>
              </w:rPr>
            </w:pPr>
            <w:r>
              <w:rPr>
                <w:rFonts w:ascii="Arial" w:cs="Arial" w:eastAsia="Arial" w:hAnsi="Arial"/>
                <w:sz w:val="18"/>
                <w:szCs w:val="18"/>
                <w:color w:val="auto"/>
              </w:rPr>
              <w:t>38,183,273 shares issued and outstanding as of December 31, 2020.</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437,286</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345,394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(275,783)</w:t>
            </w:r>
          </w:p>
        </w:tc>
        <w:tc>
          <w:tcPr>
            <w:tcW w:w="24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(230,311)</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161,582</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115,135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190,536</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143,840</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Operations and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2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For the Three Months Ended</w:t>
            </w: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55"/>
        </w:trPr>
        <w:tc>
          <w:tcPr>
            <w:tcW w:w="5200" w:type="dxa"/>
            <w:vAlign w:val="bottom"/>
          </w:tcPr>
          <w:p>
            <w:pPr>
              <w:spacing w:after="0"/>
              <w:rPr>
                <w:sz w:val="13"/>
                <w:szCs w:val="13"/>
                <w:color w:val="auto"/>
              </w:rPr>
            </w:pPr>
          </w:p>
        </w:tc>
        <w:tc>
          <w:tcPr>
            <w:tcW w:w="150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September 30, 2021</w:t>
            </w:r>
          </w:p>
        </w:tc>
        <w:tc>
          <w:tcPr>
            <w:tcW w:w="12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September 30, 2020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w w:val="91"/>
              </w:rPr>
              <w:t>September 30, 2021</w:t>
            </w:r>
          </w:p>
        </w:tc>
        <w:tc>
          <w:tcPr>
            <w:tcW w:w="130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93"/>
              </w:rPr>
              <w:t>September 30, 2020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Revenue</w:t>
            </w:r>
          </w:p>
        </w:tc>
        <w:tc>
          <w:tcPr>
            <w:tcW w:w="2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13,355</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10,481</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35,254</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36,067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3,616</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2,956</w:t>
            </w:r>
          </w:p>
        </w:tc>
        <w:tc>
          <w:tcPr>
            <w:tcW w:w="20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11,528</w:t>
            </w:r>
          </w:p>
        </w:tc>
        <w:tc>
          <w:tcPr>
            <w:tcW w:w="2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16,971</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13,437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46,782</w:t>
            </w:r>
          </w:p>
        </w:tc>
        <w:tc>
          <w:tcPr>
            <w:tcW w:w="2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(16,055)</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(45,620)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tcPr>
          <w:p>
            <w:pPr>
              <w:ind w:left="500"/>
              <w:spacing w:after="0"/>
              <w:rPr>
                <w:sz w:val="20"/>
                <w:szCs w:val="20"/>
                <w:color w:val="auto"/>
              </w:rPr>
            </w:pPr>
            <w:r>
              <w:rPr>
                <w:rFonts w:ascii="Arial" w:cs="Arial" w:eastAsia="Arial" w:hAnsi="Arial"/>
                <w:sz w:val="18"/>
                <w:szCs w:val="18"/>
                <w:color w:val="auto"/>
              </w:rPr>
              <w:t>Interest and investment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Interest expense</w:t>
            </w:r>
          </w:p>
        </w:tc>
        <w:tc>
          <w:tcPr>
            <w:tcW w:w="26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5200" w:type="dxa"/>
            <w:vAlign w:val="bottom"/>
          </w:tcPr>
          <w:p>
            <w:pPr>
              <w:ind w:left="500"/>
              <w:spacing w:after="0"/>
              <w:rPr>
                <w:sz w:val="20"/>
                <w:szCs w:val="20"/>
                <w:color w:val="auto"/>
              </w:rPr>
            </w:pPr>
            <w:r>
              <w:rPr>
                <w:rFonts w:ascii="Arial" w:cs="Arial" w:eastAsia="Arial" w:hAnsi="Arial"/>
                <w:sz w:val="18"/>
                <w:szCs w:val="18"/>
                <w:color w:val="auto"/>
              </w:rPr>
              <w:t>Other expense</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24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200" w:type="dxa"/>
            <w:vAlign w:val="bottom"/>
            <w:tcBorders>
              <w:bottom w:val="single" w:sz="8" w:color="CFF0FC"/>
            </w:tcBorders>
          </w:tcPr>
          <w:p>
            <w:pPr>
              <w:spacing w:after="0"/>
              <w:rPr>
                <w:sz w:val="22"/>
                <w:szCs w:val="22"/>
                <w:color w:val="auto"/>
              </w:rPr>
            </w:pPr>
          </w:p>
        </w:tc>
        <w:tc>
          <w:tcPr>
            <w:tcW w:w="14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(45,472)</w:t>
            </w:r>
          </w:p>
        </w:tc>
        <w:tc>
          <w:tcPr>
            <w:tcW w:w="24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(44,585)</w:t>
            </w:r>
          </w:p>
        </w:tc>
        <w:tc>
          <w:tcPr>
            <w:tcW w:w="100" w:type="dxa"/>
            <w:vAlign w:val="bottom"/>
            <w:tcBorders>
              <w:bottom w:val="single" w:sz="8" w:color="CFF0FC"/>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520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(0.29)</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(0.36)</w:t>
            </w:r>
          </w:p>
        </w:tc>
        <w:tc>
          <w:tcPr>
            <w:tcW w:w="40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(0.91)</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0"/>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w w:val="95"/>
              </w:rPr>
              <w:t>Weighted-average common stock outstanding - basic and diluted</w:t>
            </w: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55,336,936</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36,297,780</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49,730,231</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35,174,203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(16,016)</w:t>
            </w:r>
          </w:p>
        </w:tc>
        <w:tc>
          <w:tcPr>
            <w:tcW w:w="280" w:type="dxa"/>
            <w:vAlign w:val="bottom"/>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(13,222)</w:t>
            </w:r>
          </w:p>
        </w:tc>
        <w:tc>
          <w:tcPr>
            <w:tcW w:w="400" w:type="dxa"/>
            <w:vAlign w:val="bottom"/>
            <w:gridSpan w:val="2"/>
            <w:shd w:val="clear" w:color="auto" w:fill="CFF0FC"/>
          </w:tcPr>
          <w:p>
            <w:pPr>
              <w:jc w:val="right"/>
              <w:ind w:right="107"/>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(45,472)</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(44,585)</w:t>
            </w: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Net unrealized (loss) gain on marketable securities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520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(16,018)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9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(13,357)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(45,477)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(44,616)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SYNLOGIC,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 Consolidated Statements of Stockholders’ Equity</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1960" w:type="dxa"/>
            <w:vAlign w:val="bottom"/>
            <w:gridSpan w:val="2"/>
            <w:vMerge w:val="restart"/>
          </w:tcPr>
          <w:p>
            <w:pPr>
              <w:jc w:val="right"/>
              <w:ind w:right="34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restart"/>
          </w:tcPr>
          <w:p>
            <w:pPr>
              <w:jc w:val="center"/>
              <w:ind w:right="128"/>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02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36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12"/>
                <w:szCs w:val="12"/>
                <w:color w:val="auto"/>
              </w:rPr>
            </w:pPr>
          </w:p>
        </w:tc>
        <w:tc>
          <w:tcPr>
            <w:tcW w:w="96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196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$0.001 par value</w:t>
            </w: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b w:val="1"/>
                <w:bCs w:val="1"/>
                <w:color w:val="auto"/>
                <w:w w:val="95"/>
              </w:rPr>
              <w:t>paid-in</w:t>
            </w:r>
          </w:p>
        </w:tc>
        <w:tc>
          <w:tcPr>
            <w:tcW w:w="114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comprehensive</w:t>
            </w:r>
          </w:p>
        </w:tc>
        <w:tc>
          <w:tcPr>
            <w:tcW w:w="14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360" w:type="dxa"/>
            <w:vAlign w:val="bottom"/>
          </w:tcPr>
          <w:p>
            <w:pPr>
              <w:spacing w:after="0"/>
              <w:rPr>
                <w:sz w:val="13"/>
                <w:szCs w:val="13"/>
                <w:color w:val="auto"/>
              </w:rPr>
            </w:pPr>
          </w:p>
        </w:tc>
        <w:tc>
          <w:tcPr>
            <w:tcW w:w="1120" w:type="dxa"/>
            <w:vAlign w:val="bottom"/>
            <w:tcBorders>
              <w:bottom w:val="single" w:sz="8" w:color="auto"/>
            </w:tcBorders>
          </w:tcPr>
          <w:p>
            <w:pPr>
              <w:jc w:val="right"/>
              <w:ind w:right="328"/>
              <w:spacing w:after="0" w:line="155" w:lineRule="exact"/>
              <w:rPr>
                <w:sz w:val="20"/>
                <w:szCs w:val="20"/>
                <w:color w:val="auto"/>
              </w:rPr>
            </w:pPr>
            <w:r>
              <w:rPr>
                <w:rFonts w:ascii="Arial" w:cs="Arial" w:eastAsia="Arial" w:hAnsi="Arial"/>
                <w:sz w:val="14"/>
                <w:szCs w:val="14"/>
                <w:b w:val="1"/>
                <w:bCs w:val="1"/>
                <w:color w:val="auto"/>
              </w:rPr>
              <w:t>Shares</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2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center"/>
              <w:ind w:right="128"/>
              <w:spacing w:after="0" w:line="155" w:lineRule="exact"/>
              <w:rPr>
                <w:sz w:val="20"/>
                <w:szCs w:val="20"/>
                <w:color w:val="auto"/>
              </w:rPr>
            </w:pPr>
            <w:r>
              <w:rPr>
                <w:rFonts w:ascii="Arial" w:cs="Arial" w:eastAsia="Arial" w:hAnsi="Arial"/>
                <w:sz w:val="14"/>
                <w:szCs w:val="14"/>
                <w:b w:val="1"/>
                <w:bCs w:val="1"/>
                <w:color w:val="auto"/>
                <w:w w:val="94"/>
              </w:rPr>
              <w:t>capital</w:t>
            </w: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108"/>
              <w:spacing w:after="0" w:line="155" w:lineRule="exact"/>
              <w:rPr>
                <w:sz w:val="20"/>
                <w:szCs w:val="20"/>
                <w:color w:val="auto"/>
              </w:rPr>
            </w:pPr>
            <w:r>
              <w:rPr>
                <w:rFonts w:ascii="Arial" w:cs="Arial" w:eastAsia="Arial" w:hAnsi="Arial"/>
                <w:sz w:val="14"/>
                <w:szCs w:val="14"/>
                <w:b w:val="1"/>
                <w:bCs w:val="1"/>
                <w:color w:val="auto"/>
                <w:w w:val="88"/>
              </w:rPr>
              <w:t>income (loss)</w:t>
            </w: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deficit</w:t>
            </w: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56"/>
        </w:trPr>
        <w:tc>
          <w:tcPr>
            <w:tcW w:w="4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560" w:type="dxa"/>
            <w:vAlign w:val="bottom"/>
            <w:gridSpan w:val="9"/>
          </w:tcPr>
          <w:p>
            <w:pPr>
              <w:jc w:val="center"/>
              <w:spacing w:after="0" w:line="155" w:lineRule="exact"/>
              <w:rPr>
                <w:sz w:val="20"/>
                <w:szCs w:val="20"/>
                <w:color w:val="auto"/>
              </w:rPr>
            </w:pPr>
            <w:r>
              <w:rPr>
                <w:rFonts w:ascii="Arial" w:cs="Arial" w:eastAsia="Arial" w:hAnsi="Arial"/>
                <w:sz w:val="14"/>
                <w:szCs w:val="14"/>
                <w:b w:val="1"/>
                <w:bCs w:val="1"/>
                <w:color w:val="auto"/>
                <w:w w:val="93"/>
              </w:rPr>
              <w:t>For the Three Months Ended September 30, 2021</w:t>
            </w:r>
          </w:p>
        </w:tc>
        <w:tc>
          <w:tcPr>
            <w:tcW w:w="2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2021</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52,375,344</w:t>
            </w: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387,782</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(259,767)</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128,078</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Proceeds from issuance of common stock, net of issuance costs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17,250,000</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18</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48,426</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48,444</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Exercise of options</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93,033</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209</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23,592</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Cancellation of restricted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(34,428)</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Equity-based compensation expense</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808</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Unrealized gain (loss) on securities</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(16,016)</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(16,016)</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September 30, 2021</w:t>
            </w:r>
          </w:p>
        </w:tc>
        <w:tc>
          <w:tcPr>
            <w:tcW w:w="11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69,707,541</w:t>
            </w:r>
          </w:p>
        </w:tc>
        <w:tc>
          <w:tcPr>
            <w:tcW w:w="840" w:type="dxa"/>
            <w:vAlign w:val="bottom"/>
            <w:tcBorders>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w:t>
            </w:r>
          </w:p>
        </w:tc>
        <w:tc>
          <w:tcPr>
            <w:tcW w:w="180" w:type="dxa"/>
            <w:vAlign w:val="bottom"/>
            <w:tcBorders>
              <w:bottom w:val="single" w:sz="8" w:color="auto"/>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437,286</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9</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(275,783)</w:t>
            </w:r>
          </w:p>
        </w:tc>
        <w:tc>
          <w:tcPr>
            <w:tcW w:w="2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161,582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3400" w:type="dxa"/>
            <w:vAlign w:val="bottom"/>
            <w:tcBorders>
              <w:bottom w:val="single" w:sz="8" w:color="auto"/>
            </w:tcBorders>
            <w:gridSpan w:val="6"/>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560" w:type="dxa"/>
            <w:vAlign w:val="bottom"/>
            <w:gridSpan w:val="9"/>
          </w:tcPr>
          <w:p>
            <w:pPr>
              <w:jc w:val="center"/>
              <w:spacing w:after="0" w:line="143" w:lineRule="exact"/>
              <w:rPr>
                <w:sz w:val="20"/>
                <w:szCs w:val="20"/>
                <w:color w:val="auto"/>
              </w:rPr>
            </w:pPr>
            <w:r>
              <w:rPr>
                <w:rFonts w:ascii="Arial" w:cs="Arial" w:eastAsia="Arial" w:hAnsi="Arial"/>
                <w:sz w:val="14"/>
                <w:szCs w:val="14"/>
                <w:b w:val="1"/>
                <w:bCs w:val="1"/>
                <w:color w:val="auto"/>
                <w:w w:val="93"/>
              </w:rPr>
              <w:t>For the Three Months Ended September 30, 2020</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Balance at June 30, 2020</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34,145,111</w:t>
            </w: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333,925</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214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(202,501)</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131,672</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29,857</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Exercise of options</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724</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3"/>
        </w:trPr>
        <w:tc>
          <w:tcPr>
            <w:tcW w:w="4360" w:type="dxa"/>
            <w:vAlign w:val="bottom"/>
          </w:tcPr>
          <w:p>
            <w:pPr>
              <w:spacing w:after="0" w:line="143" w:lineRule="exact"/>
              <w:rPr>
                <w:sz w:val="20"/>
                <w:szCs w:val="20"/>
                <w:color w:val="auto"/>
              </w:rPr>
            </w:pPr>
            <w:r>
              <w:rPr>
                <w:rFonts w:ascii="Arial" w:cs="Arial" w:eastAsia="Arial" w:hAnsi="Arial"/>
                <w:sz w:val="14"/>
                <w:szCs w:val="14"/>
                <w:color w:val="auto"/>
              </w:rPr>
              <w:t>Proceeds from issuance of common stock in connection with ATM</w:t>
            </w: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offering, net of issuance costs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533,711</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1,203</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1,204</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Cancellation of restricted stock</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(37,351)</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Equity-based compensation expense</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935</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935</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Unrealized gain (loss) on securities</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162"/>
        </w:trPr>
        <w:tc>
          <w:tcPr>
            <w:tcW w:w="43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(13,222)</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(13,222)</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at September 30, 2020</w:t>
            </w:r>
          </w:p>
        </w:tc>
        <w:tc>
          <w:tcPr>
            <w:tcW w:w="112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34,672,052</w:t>
            </w:r>
          </w:p>
        </w:tc>
        <w:tc>
          <w:tcPr>
            <w:tcW w:w="840" w:type="dxa"/>
            <w:vAlign w:val="bottom"/>
            <w:tcBorders>
              <w:bottom w:val="single" w:sz="8" w:color="auto"/>
            </w:tcBorders>
            <w:shd w:val="clear" w:color="auto" w:fill="CFF0FC"/>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w:t>
            </w:r>
          </w:p>
        </w:tc>
        <w:tc>
          <w:tcPr>
            <w:tcW w:w="180" w:type="dxa"/>
            <w:vAlign w:val="bottom"/>
            <w:tcBorders>
              <w:bottom w:val="single" w:sz="8" w:color="auto"/>
            </w:tcBorders>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336,106</w:t>
            </w: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79</w:t>
            </w:r>
          </w:p>
        </w:tc>
        <w:tc>
          <w:tcPr>
            <w:tcW w:w="1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(215,723)</w:t>
            </w:r>
          </w:p>
        </w:tc>
        <w:tc>
          <w:tcPr>
            <w:tcW w:w="24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120,497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3400" w:type="dxa"/>
            <w:vAlign w:val="bottom"/>
            <w:tcBorders>
              <w:bottom w:val="single" w:sz="8" w:color="auto"/>
            </w:tcBorders>
            <w:gridSpan w:val="6"/>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560" w:type="dxa"/>
            <w:vAlign w:val="bottom"/>
            <w:gridSpan w:val="9"/>
          </w:tcPr>
          <w:p>
            <w:pPr>
              <w:jc w:val="center"/>
              <w:spacing w:after="0" w:line="143" w:lineRule="exact"/>
              <w:rPr>
                <w:sz w:val="20"/>
                <w:szCs w:val="20"/>
                <w:color w:val="auto"/>
              </w:rPr>
            </w:pPr>
            <w:r>
              <w:rPr>
                <w:rFonts w:ascii="Arial" w:cs="Arial" w:eastAsia="Arial" w:hAnsi="Arial"/>
                <w:sz w:val="14"/>
                <w:szCs w:val="14"/>
                <w:b w:val="1"/>
                <w:bCs w:val="1"/>
                <w:color w:val="auto"/>
                <w:w w:val="93"/>
              </w:rPr>
              <w:t>For the Nine Months Ended September 30, 2021</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2020</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38,183,273</w:t>
            </w: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345,394</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14</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(230,311)</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115,135</w:t>
            </w:r>
          </w:p>
        </w:tc>
        <w:tc>
          <w:tcPr>
            <w:tcW w:w="0" w:type="dxa"/>
            <w:vAlign w:val="bottom"/>
          </w:tcPr>
          <w:p>
            <w:pPr>
              <w:spacing w:after="0"/>
              <w:rPr>
                <w:sz w:val="1"/>
                <w:szCs w:val="1"/>
                <w:color w:val="auto"/>
              </w:rPr>
            </w:pPr>
          </w:p>
        </w:tc>
      </w:tr>
      <w:tr>
        <w:trPr>
          <w:trHeight w:val="143"/>
        </w:trPr>
        <w:tc>
          <w:tcPr>
            <w:tcW w:w="4360" w:type="dxa"/>
            <w:vAlign w:val="bottom"/>
          </w:tcPr>
          <w:p>
            <w:pPr>
              <w:spacing w:after="0" w:line="143" w:lineRule="exact"/>
              <w:rPr>
                <w:sz w:val="20"/>
                <w:szCs w:val="20"/>
                <w:color w:val="auto"/>
              </w:rPr>
            </w:pPr>
            <w:r>
              <w:rPr>
                <w:rFonts w:ascii="Arial" w:cs="Arial" w:eastAsia="Arial" w:hAnsi="Arial"/>
                <w:sz w:val="14"/>
                <w:szCs w:val="14"/>
                <w:color w:val="auto"/>
              </w:rPr>
              <w:t>Proceeds from issuance of common stock in connection with ATM</w:t>
            </w: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tcPr>
          <w:p>
            <w:pPr>
              <w:spacing w:after="0"/>
              <w:rPr>
                <w:sz w:val="20"/>
                <w:szCs w:val="20"/>
                <w:color w:val="auto"/>
              </w:rPr>
            </w:pPr>
            <w:r>
              <w:rPr>
                <w:rFonts w:ascii="Arial" w:cs="Arial" w:eastAsia="Arial" w:hAnsi="Arial"/>
                <w:sz w:val="14"/>
                <w:szCs w:val="14"/>
                <w:color w:val="auto"/>
              </w:rPr>
              <w:t>offering, net of issuance costs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2,447,211</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8,047</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8,050</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Proceeds from issuance of common stock, net of issuance costs</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28,750,000</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80,990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81,019</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Exercise of options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125,146</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273</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273</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Issuance of restricted stock</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242,454</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42,653</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143"/>
        </w:trPr>
        <w:tc>
          <w:tcPr>
            <w:tcW w:w="43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w w:val="97"/>
              </w:rPr>
              <w:t>Restricted stock awards withheld for payment of employees' withholding</w:t>
            </w:r>
          </w:p>
        </w:tc>
        <w:tc>
          <w:tcPr>
            <w:tcW w:w="1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tax liability</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(18,187)</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Cancellation of restricted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(65,009)</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expense</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2,561</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2,561</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(45,472)</w:t>
            </w: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(45,472)</w:t>
            </w:r>
          </w:p>
        </w:tc>
        <w:tc>
          <w:tcPr>
            <w:tcW w:w="0" w:type="dxa"/>
            <w:vAlign w:val="bottom"/>
          </w:tcPr>
          <w:p>
            <w:pPr>
              <w:spacing w:after="0"/>
              <w:rPr>
                <w:sz w:val="1"/>
                <w:szCs w:val="1"/>
                <w:color w:val="auto"/>
              </w:rPr>
            </w:pPr>
          </w:p>
        </w:tc>
      </w:tr>
      <w:tr>
        <w:trPr>
          <w:trHeight w:val="155"/>
        </w:trPr>
        <w:tc>
          <w:tcPr>
            <w:tcW w:w="4360" w:type="dxa"/>
            <w:vAlign w:val="bottom"/>
          </w:tcPr>
          <w:p>
            <w:pPr>
              <w:spacing w:after="0" w:line="155" w:lineRule="exact"/>
              <w:rPr>
                <w:sz w:val="20"/>
                <w:szCs w:val="20"/>
                <w:color w:val="auto"/>
              </w:rPr>
            </w:pPr>
            <w:r>
              <w:rPr>
                <w:rFonts w:ascii="Arial" w:cs="Arial" w:eastAsia="Arial" w:hAnsi="Arial"/>
                <w:sz w:val="14"/>
                <w:szCs w:val="14"/>
                <w:color w:val="auto"/>
              </w:rPr>
              <w:t>Balance at September 30, 2021</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69,707,541</w:t>
            </w:r>
          </w:p>
        </w:tc>
        <w:tc>
          <w:tcPr>
            <w:tcW w:w="840" w:type="dxa"/>
            <w:vAlign w:val="bottom"/>
            <w:tcBorders>
              <w:bottom w:val="single" w:sz="8" w:color="auto"/>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70</w:t>
            </w:r>
          </w:p>
        </w:tc>
        <w:tc>
          <w:tcPr>
            <w:tcW w:w="1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437,286</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9</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(275,783)</w:t>
            </w:r>
          </w:p>
        </w:tc>
        <w:tc>
          <w:tcPr>
            <w:tcW w:w="2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161,582</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3"/>
          </w:tcPr>
          <w:p>
            <w:pPr>
              <w:spacing w:after="0" w:line="20" w:lineRule="exact"/>
              <w:rPr>
                <w:sz w:val="1"/>
                <w:szCs w:val="1"/>
                <w:color w:val="auto"/>
              </w:rPr>
            </w:pPr>
          </w:p>
        </w:tc>
        <w:tc>
          <w:tcPr>
            <w:tcW w:w="3400" w:type="dxa"/>
            <w:vAlign w:val="bottom"/>
            <w:tcBorders>
              <w:bottom w:val="single" w:sz="8" w:color="auto"/>
            </w:tcBorders>
            <w:gridSpan w:val="6"/>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3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560" w:type="dxa"/>
            <w:vAlign w:val="bottom"/>
            <w:gridSpan w:val="9"/>
          </w:tcPr>
          <w:p>
            <w:pPr>
              <w:jc w:val="center"/>
              <w:spacing w:after="0" w:line="143" w:lineRule="exact"/>
              <w:rPr>
                <w:sz w:val="20"/>
                <w:szCs w:val="20"/>
                <w:color w:val="auto"/>
              </w:rPr>
            </w:pPr>
            <w:r>
              <w:rPr>
                <w:rFonts w:ascii="Arial" w:cs="Arial" w:eastAsia="Arial" w:hAnsi="Arial"/>
                <w:sz w:val="14"/>
                <w:szCs w:val="14"/>
                <w:b w:val="1"/>
                <w:bCs w:val="1"/>
                <w:color w:val="auto"/>
                <w:w w:val="93"/>
              </w:rPr>
              <w:t>For the Nine Months Ended September 30, 2020</w:t>
            </w: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Balance at December 31, 2019</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32,266,814</w:t>
            </w:r>
          </w:p>
        </w:tc>
        <w:tc>
          <w:tcPr>
            <w:tcW w:w="840" w:type="dxa"/>
            <w:vAlign w:val="bottom"/>
            <w:shd w:val="clear" w:color="auto" w:fill="CFF0FC"/>
          </w:tcPr>
          <w:p>
            <w:pPr>
              <w:jc w:val="right"/>
              <w:ind w:right="6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1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327,900</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(171,138)</w:t>
            </w:r>
          </w:p>
        </w:tc>
        <w:tc>
          <w:tcPr>
            <w:tcW w:w="24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156,905</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Issuance of common stock under employee stock purchase plan</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29,857</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Exercise of options</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724</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Issuance of restricted stock</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226,335</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436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Proceeds from issuance of common stock in connection with ATM</w:t>
            </w:r>
          </w:p>
        </w:tc>
        <w:tc>
          <w:tcPr>
            <w:tcW w:w="112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9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offering, net of issuance costs</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2,312,693</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5,058</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5,060</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Cancellation of restricted stock</w:t>
            </w:r>
          </w:p>
        </w:tc>
        <w:tc>
          <w:tcPr>
            <w:tcW w:w="1120" w:type="dxa"/>
            <w:vAlign w:val="bottom"/>
          </w:tcPr>
          <w:p>
            <w:pPr>
              <w:jc w:val="right"/>
              <w:spacing w:after="0"/>
              <w:rPr>
                <w:sz w:val="20"/>
                <w:szCs w:val="20"/>
                <w:color w:val="auto"/>
              </w:rPr>
            </w:pPr>
            <w:r>
              <w:rPr>
                <w:rFonts w:ascii="Arial" w:cs="Arial" w:eastAsia="Arial" w:hAnsi="Arial"/>
                <w:sz w:val="14"/>
                <w:szCs w:val="14"/>
                <w:color w:val="auto"/>
              </w:rPr>
              <w:t>(164,371)</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Equity-based compensation expense</w:t>
            </w:r>
          </w:p>
        </w:tc>
        <w:tc>
          <w:tcPr>
            <w:tcW w:w="112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3,105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4"/>
                <w:szCs w:val="14"/>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3,105</w:t>
            </w:r>
          </w:p>
        </w:tc>
        <w:tc>
          <w:tcPr>
            <w:tcW w:w="0" w:type="dxa"/>
            <w:vAlign w:val="bottom"/>
          </w:tcPr>
          <w:p>
            <w:pPr>
              <w:spacing w:after="0"/>
              <w:rPr>
                <w:sz w:val="1"/>
                <w:szCs w:val="1"/>
                <w:color w:val="auto"/>
              </w:rPr>
            </w:pPr>
          </w:p>
        </w:tc>
      </w:tr>
      <w:tr>
        <w:trPr>
          <w:trHeight w:val="162"/>
        </w:trPr>
        <w:tc>
          <w:tcPr>
            <w:tcW w:w="4360" w:type="dxa"/>
            <w:vAlign w:val="bottom"/>
          </w:tcPr>
          <w:p>
            <w:pPr>
              <w:spacing w:after="0"/>
              <w:rPr>
                <w:sz w:val="20"/>
                <w:szCs w:val="20"/>
                <w:color w:val="auto"/>
              </w:rPr>
            </w:pPr>
            <w:r>
              <w:rPr>
                <w:rFonts w:ascii="Arial" w:cs="Arial" w:eastAsia="Arial" w:hAnsi="Arial"/>
                <w:sz w:val="14"/>
                <w:szCs w:val="14"/>
                <w:color w:val="auto"/>
              </w:rPr>
              <w:t>Unrealized gain (loss) on securities</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4"/>
                <w:szCs w:val="1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62"/>
        </w:trPr>
        <w:tc>
          <w:tcPr>
            <w:tcW w:w="4360" w:type="dxa"/>
            <w:vAlign w:val="bottom"/>
            <w:shd w:val="clear" w:color="auto" w:fill="CFF0FC"/>
          </w:tcPr>
          <w:p>
            <w:pPr>
              <w:spacing w:after="0"/>
              <w:rPr>
                <w:sz w:val="20"/>
                <w:szCs w:val="20"/>
                <w:color w:val="auto"/>
              </w:rPr>
            </w:pPr>
            <w:r>
              <w:rPr>
                <w:rFonts w:ascii="Arial" w:cs="Arial" w:eastAsia="Arial" w:hAnsi="Arial"/>
                <w:sz w:val="14"/>
                <w:szCs w:val="14"/>
                <w:color w:val="auto"/>
              </w:rPr>
              <w:t>Net loss</w:t>
            </w:r>
          </w:p>
        </w:tc>
        <w:tc>
          <w:tcPr>
            <w:tcW w:w="112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(44,585)</w:t>
            </w:r>
          </w:p>
        </w:tc>
        <w:tc>
          <w:tcPr>
            <w:tcW w:w="24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color w:val="auto"/>
              </w:rPr>
              <w:t>(44,585)</w:t>
            </w:r>
          </w:p>
        </w:tc>
        <w:tc>
          <w:tcPr>
            <w:tcW w:w="0" w:type="dxa"/>
            <w:vAlign w:val="bottom"/>
          </w:tcPr>
          <w:p>
            <w:pPr>
              <w:spacing w:after="0"/>
              <w:rPr>
                <w:sz w:val="1"/>
                <w:szCs w:val="1"/>
                <w:color w:val="auto"/>
              </w:rPr>
            </w:pPr>
          </w:p>
        </w:tc>
      </w:tr>
      <w:tr>
        <w:trPr>
          <w:trHeight w:val="155"/>
        </w:trPr>
        <w:tc>
          <w:tcPr>
            <w:tcW w:w="4360" w:type="dxa"/>
            <w:vAlign w:val="bottom"/>
          </w:tcPr>
          <w:p>
            <w:pPr>
              <w:spacing w:after="0" w:line="155" w:lineRule="exact"/>
              <w:rPr>
                <w:sz w:val="20"/>
                <w:szCs w:val="20"/>
                <w:color w:val="auto"/>
              </w:rPr>
            </w:pPr>
            <w:r>
              <w:rPr>
                <w:rFonts w:ascii="Arial" w:cs="Arial" w:eastAsia="Arial" w:hAnsi="Arial"/>
                <w:sz w:val="14"/>
                <w:szCs w:val="14"/>
                <w:color w:val="auto"/>
              </w:rPr>
              <w:t>Balance at September 30, 2020</w:t>
            </w:r>
          </w:p>
        </w:tc>
        <w:tc>
          <w:tcPr>
            <w:tcW w:w="112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34,672,052</w:t>
            </w:r>
          </w:p>
        </w:tc>
        <w:tc>
          <w:tcPr>
            <w:tcW w:w="840" w:type="dxa"/>
            <w:vAlign w:val="bottom"/>
            <w:tcBorders>
              <w:bottom w:val="single" w:sz="8" w:color="auto"/>
            </w:tcBorders>
          </w:tcPr>
          <w:p>
            <w:pPr>
              <w:jc w:val="right"/>
              <w:ind w:right="668"/>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w:t>
            </w:r>
          </w:p>
        </w:tc>
        <w:tc>
          <w:tcPr>
            <w:tcW w:w="180" w:type="dxa"/>
            <w:vAlign w:val="bottom"/>
            <w:tcBorders>
              <w:bottom w:val="single" w:sz="8" w:color="auto"/>
            </w:tcBorders>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rPr>
              <w:t>336,106</w:t>
            </w: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rPr>
              <w:t>79</w:t>
            </w:r>
          </w:p>
        </w:tc>
        <w:tc>
          <w:tcPr>
            <w:tcW w:w="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(215,723)</w:t>
            </w:r>
          </w:p>
        </w:tc>
        <w:tc>
          <w:tcPr>
            <w:tcW w:w="24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rPr>
              <w:t>120,497</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SYNLOGIC, INC. AND SUBSIDIARIES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 Consolidated Statements of Cash Flows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ectPr>
          <w:pgSz w:w="11900" w:h="16838" w:orient="portrait"/>
          <w:cols w:equalWidth="0" w:num="1">
            <w:col w:w="11240"/>
          </w:cols>
          <w:pgMar w:left="320" w:top="337" w:right="339" w:bottom="1440" w:gutter="0" w:footer="0" w:header="0"/>
        </w:sectPr>
      </w:pPr>
    </w:p>
    <w:p>
      <w:pPr>
        <w:spacing w:after="0" w:line="298" w:lineRule="exact"/>
        <w:rPr>
          <w:sz w:val="20"/>
          <w:szCs w:val="20"/>
          <w:color w:val="auto"/>
        </w:rPr>
      </w:pPr>
    </w:p>
    <w:p>
      <w:pPr>
        <w:ind w:left="788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13970</wp:posOffset>
            </wp:positionV>
            <wp:extent cx="9861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17" w:lineRule="exact"/>
        <w:rPr>
          <w:sz w:val="20"/>
          <w:szCs w:val="20"/>
          <w:color w:val="auto"/>
        </w:rPr>
      </w:pPr>
    </w:p>
    <w:p>
      <w:pPr>
        <w:ind w:left="7880"/>
        <w:spacing w:after="0"/>
        <w:rPr>
          <w:sz w:val="20"/>
          <w:szCs w:val="20"/>
          <w:color w:val="auto"/>
        </w:rPr>
      </w:pPr>
      <w:r>
        <w:rPr>
          <w:rFonts w:ascii="Arial" w:cs="Arial" w:eastAsia="Arial" w:hAnsi="Arial"/>
          <w:sz w:val="13"/>
          <w:szCs w:val="13"/>
          <w:b w:val="1"/>
          <w:bCs w:val="1"/>
          <w:color w:val="auto"/>
        </w:rPr>
        <w:t>September 30, 2021</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13970</wp:posOffset>
            </wp:positionV>
            <wp:extent cx="9855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985520" cy="825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September 30, 2020</w:t>
      </w:r>
    </w:p>
    <w:p>
      <w:pPr>
        <w:spacing w:after="0" w:line="11" w:lineRule="exact"/>
        <w:rPr>
          <w:sz w:val="20"/>
          <w:szCs w:val="20"/>
          <w:color w:val="auto"/>
        </w:rPr>
      </w:pPr>
    </w:p>
    <w:p>
      <w:pPr>
        <w:sectPr>
          <w:pgSz w:w="11900" w:h="16838" w:orient="portrait"/>
          <w:cols w:equalWidth="0" w:num="2">
            <w:col w:w="9100" w:space="620"/>
            <w:col w:w="1520"/>
          </w:cols>
          <w:pgMar w:left="320" w:top="337"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75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(45,472)</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(44,585)</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Depreciation</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1,832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1,983</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Equity-based compensation expense</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3,105</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500"/>
              <w:spacing w:after="0"/>
              <w:rPr>
                <w:sz w:val="20"/>
                <w:szCs w:val="20"/>
                <w:color w:val="auto"/>
              </w:rPr>
            </w:pPr>
            <w:r>
              <w:rPr>
                <w:rFonts w:ascii="Arial" w:cs="Arial" w:eastAsia="Arial" w:hAnsi="Arial"/>
                <w:sz w:val="18"/>
                <w:szCs w:val="18"/>
                <w:color w:val="auto"/>
              </w:rPr>
              <w:t>Accretion/amortization of investment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243</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r>
      <w:tr>
        <w:trPr>
          <w:trHeight w:val="229"/>
        </w:trPr>
        <w:tc>
          <w:tcPr>
            <w:tcW w:w="75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Reduction in carrying amount of operating lease right of use asset</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1,532</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1,286</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(1,000)</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854</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research and development, net of current portion</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7,164</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(1,843)</w:t>
            </w:r>
          </w:p>
        </w:tc>
      </w:tr>
      <w:tr>
        <w:trPr>
          <w:trHeight w:val="230"/>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988</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(544)</w:t>
            </w:r>
          </w:p>
        </w:tc>
      </w:tr>
      <w:tr>
        <w:trPr>
          <w:trHeight w:val="229"/>
        </w:trPr>
        <w:tc>
          <w:tcPr>
            <w:tcW w:w="7580" w:type="dxa"/>
            <w:vAlign w:val="bottom"/>
          </w:tcPr>
          <w:p>
            <w:pPr>
              <w:ind w:left="7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(1,968)</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(1,419)</w:t>
            </w:r>
          </w:p>
        </w:tc>
      </w:tr>
      <w:tr>
        <w:trPr>
          <w:trHeight w:val="229"/>
        </w:trPr>
        <w:tc>
          <w:tcPr>
            <w:tcW w:w="75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Other long-term liabilities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(39,138)</w:t>
            </w: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(29,665)</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marketable securities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(97,981)</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(52,726)</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maturity of marketable securities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77,272</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61,736</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redemption of marketable securities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16,747</w:t>
            </w: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(507)</w:t>
            </w:r>
          </w:p>
        </w:tc>
        <w:tc>
          <w:tcPr>
            <w:tcW w:w="54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(384)</w:t>
            </w:r>
          </w:p>
        </w:tc>
      </w:tr>
      <w:tr>
        <w:trPr>
          <w:trHeight w:val="223"/>
        </w:trPr>
        <w:tc>
          <w:tcPr>
            <w:tcW w:w="75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provided by investing activities</w:t>
            </w:r>
          </w:p>
        </w:tc>
        <w:tc>
          <w:tcPr>
            <w:tcW w:w="14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300" w:type="dxa"/>
            <w:vAlign w:val="bottom"/>
            <w:tcBorders>
              <w:top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25,373</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Payments on finance lease obligations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(190)</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issuance of common stock, net of issuance costs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81,167</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5"/>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Proceeds from issuance of common stock in connection with at-the-market offering, net of issuance</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costs</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8,047</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5,070</w:t>
            </w:r>
          </w:p>
        </w:tc>
        <w:tc>
          <w:tcPr>
            <w:tcW w:w="120" w:type="dxa"/>
            <w:vAlign w:val="bottom"/>
            <w:shd w:val="clear" w:color="auto" w:fill="CFF0FC"/>
          </w:tcPr>
          <w:p>
            <w:pPr>
              <w:spacing w:after="0"/>
              <w:rPr>
                <w:sz w:val="20"/>
                <w:szCs w:val="20"/>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Proceeds from employee stock purchases and exercise of stock options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Payment of employee withholding taxes relating to restricted stock awards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(73)</w:t>
            </w:r>
          </w:p>
        </w:tc>
        <w:tc>
          <w:tcPr>
            <w:tcW w:w="54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89,502</w:t>
            </w:r>
          </w:p>
        </w:tc>
        <w:tc>
          <w:tcPr>
            <w:tcW w:w="300" w:type="dxa"/>
            <w:vAlign w:val="bottom"/>
            <w:tcBorders>
              <w:bottom w:val="single" w:sz="8" w:color="CFF0FC"/>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4,923</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30,418</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FF0FC"/>
          </w:tcPr>
          <w:p>
            <w:pPr>
              <w:spacing w:after="0"/>
              <w:rPr>
                <w:sz w:val="19"/>
                <w:szCs w:val="19"/>
                <w:color w:val="auto"/>
              </w:rPr>
            </w:pPr>
          </w:p>
        </w:tc>
      </w:tr>
      <w:tr>
        <w:trPr>
          <w:trHeight w:val="229"/>
        </w:trPr>
        <w:tc>
          <w:tcPr>
            <w:tcW w:w="75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14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33,604</w:t>
            </w:r>
          </w:p>
        </w:tc>
        <w:tc>
          <w:tcPr>
            <w:tcW w:w="3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27,281</w:t>
            </w:r>
          </w:p>
        </w:tc>
        <w:tc>
          <w:tcPr>
            <w:tcW w:w="120" w:type="dxa"/>
            <w:vAlign w:val="bottom"/>
            <w:tcBorders>
              <w:bottom w:val="single" w:sz="8" w:color="CFF0FC"/>
            </w:tcBorders>
          </w:tcPr>
          <w:p>
            <w:pPr>
              <w:spacing w:after="0"/>
              <w:rPr>
                <w:sz w:val="19"/>
                <w:szCs w:val="19"/>
                <w:color w:val="auto"/>
              </w:rPr>
            </w:pPr>
          </w:p>
        </w:tc>
      </w:tr>
      <w:tr>
        <w:trPr>
          <w:trHeight w:val="223"/>
        </w:trPr>
        <w:tc>
          <w:tcPr>
            <w:tcW w:w="75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end of period</w:t>
            </w:r>
          </w:p>
        </w:tc>
        <w:tc>
          <w:tcPr>
            <w:tcW w:w="14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8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64,022</w:t>
            </w:r>
          </w:p>
        </w:tc>
        <w:tc>
          <w:tcPr>
            <w:tcW w:w="3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29"/>
        </w:trPr>
        <w:tc>
          <w:tcPr>
            <w:tcW w:w="758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 of non-cash investing activities:</w:t>
            </w:r>
          </w:p>
        </w:tc>
        <w:tc>
          <w:tcPr>
            <w:tcW w:w="1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Assets acquired under operating lease obligation</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460</w:t>
            </w:r>
          </w:p>
        </w:tc>
        <w:tc>
          <w:tcPr>
            <w:tcW w:w="3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and equipment purchases included in accounts payable and accrued expenses</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Supplemental disclosure of non-cash financing activities:</w:t>
            </w: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under finance lease</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30"/>
        </w:trPr>
        <w:tc>
          <w:tcPr>
            <w:tcW w:w="7580" w:type="dxa"/>
            <w:vAlign w:val="bottom"/>
          </w:tcPr>
          <w:p>
            <w:pPr>
              <w:ind w:left="260"/>
              <w:spacing w:after="0"/>
              <w:rPr>
                <w:sz w:val="20"/>
                <w:szCs w:val="20"/>
                <w:color w:val="auto"/>
              </w:rPr>
            </w:pPr>
            <w:r>
              <w:rPr>
                <w:rFonts w:ascii="Arial" w:cs="Arial" w:eastAsia="Arial" w:hAnsi="Arial"/>
                <w:sz w:val="18"/>
                <w:szCs w:val="18"/>
                <w:color w:val="auto"/>
              </w:rPr>
              <w:t>Issuance costs included in accounts payable and accrued expenses</w:t>
            </w:r>
          </w:p>
        </w:tc>
        <w:tc>
          <w:tcPr>
            <w:tcW w:w="680" w:type="dxa"/>
            <w:vAlign w:val="bottom"/>
            <w:gridSpan w:val="2"/>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9"/>
                <w:szCs w:val="19"/>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30"/>
        </w:trPr>
        <w:tc>
          <w:tcPr>
            <w:tcW w:w="75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paid for interest</w:t>
            </w:r>
          </w:p>
        </w:tc>
        <w:tc>
          <w:tcPr>
            <w:tcW w:w="680" w:type="dxa"/>
            <w:vAlign w:val="bottom"/>
            <w:gridSpan w:val="2"/>
            <w:shd w:val="clear" w:color="auto" w:fill="CFF0FC"/>
          </w:tcPr>
          <w:p>
            <w:pPr>
              <w:jc w:val="right"/>
              <w:ind w:right="387"/>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7" w:name="page8"/>
    <w:bookmarkEnd w:id="7"/>
    <w:p>
      <w:pPr>
        <w:jc w:val="center"/>
        <w:ind w:right="-79"/>
        <w:spacing w:after="0"/>
        <w:rPr>
          <w:sz w:val="20"/>
          <w:szCs w:val="20"/>
          <w:color w:val="auto"/>
        </w:rPr>
      </w:pPr>
      <w:r>
        <w:rPr>
          <w:rFonts w:ascii="Arial" w:cs="Arial" w:eastAsia="Arial" w:hAnsi="Arial"/>
          <w:sz w:val="18"/>
          <w:szCs w:val="18"/>
          <w:b w:val="1"/>
          <w:bCs w:val="1"/>
          <w:color w:val="auto"/>
        </w:rPr>
        <w:t>SYNLOGIC,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185"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Nature of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44" w:lineRule="exact"/>
        <w:rPr>
          <w:sz w:val="20"/>
          <w:szCs w:val="20"/>
          <w:color w:val="auto"/>
        </w:rPr>
      </w:pPr>
    </w:p>
    <w:p>
      <w:pPr>
        <w:ind w:firstLine="562"/>
        <w:spacing w:after="0" w:line="273" w:lineRule="auto"/>
        <w:rPr>
          <w:sz w:val="20"/>
          <w:szCs w:val="20"/>
          <w:color w:val="auto"/>
        </w:rPr>
      </w:pPr>
      <w:r>
        <w:rPr>
          <w:rFonts w:ascii="Arial" w:cs="Arial" w:eastAsia="Arial" w:hAnsi="Arial"/>
          <w:sz w:val="17"/>
          <w:szCs w:val="17"/>
          <w:color w:val="auto"/>
        </w:rPr>
        <w:t>Synlogic, Inc., together with its wholly owned and consolidated subsidiaries (Synlogic or the Company), is a clinical-stage biopharmaceutical company focused on the drug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or compensate for missing or damaged metabolic pathways. Synlogic’s goal is to discover, develop and ultimately commercialize Synthetic Biotic medicines. Since incorporation, the Company has devoted substantially all of its efforts to the research and development of its product candidates.</w:t>
      </w:r>
    </w:p>
    <w:p>
      <w:pPr>
        <w:spacing w:after="0" w:line="110" w:lineRule="exact"/>
        <w:rPr>
          <w:sz w:val="20"/>
          <w:szCs w:val="20"/>
          <w:color w:val="auto"/>
        </w:rPr>
      </w:pPr>
    </w:p>
    <w:p>
      <w:pPr>
        <w:jc w:val="both"/>
        <w:ind w:right="120" w:firstLine="562"/>
        <w:spacing w:after="0" w:line="259" w:lineRule="auto"/>
        <w:rPr>
          <w:sz w:val="20"/>
          <w:szCs w:val="20"/>
          <w:color w:val="auto"/>
        </w:rPr>
      </w:pPr>
      <w:r>
        <w:rPr>
          <w:rFonts w:ascii="Arial" w:cs="Arial" w:eastAsia="Arial" w:hAnsi="Arial"/>
          <w:sz w:val="18"/>
          <w:szCs w:val="18"/>
          <w:color w:val="auto"/>
        </w:rPr>
        <w:t>On August 28, 2017, Synlogic, Inc., formerly known as Mirna Therapeutics, Inc. (NASDAQ: MIRN) (Mirna), completed a business combination with Synlogic, a private company, pursuant to the Agreement and Plan of Merger and Reorganization, dated as of May 15, 2017 (the Merger Agreement), pursuant to which the private Synlogic entity survived as a wholly owned subsidiary of Mirna (the Merger). Immediately after completion of the Merger, Mirna changed its name to “Synlogic, Inc.” (NASDAQ: SYBX).</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right="160" w:firstLine="510"/>
        <w:spacing w:after="0" w:line="293" w:lineRule="auto"/>
        <w:rPr>
          <w:sz w:val="20"/>
          <w:szCs w:val="20"/>
          <w:color w:val="auto"/>
        </w:rPr>
      </w:pPr>
      <w:r>
        <w:rPr>
          <w:rFonts w:ascii="Arial" w:cs="Arial" w:eastAsia="Arial" w:hAnsi="Arial"/>
          <w:sz w:val="16"/>
          <w:szCs w:val="16"/>
          <w:color w:val="auto"/>
        </w:rPr>
        <w:t>At September 30, 2021, the Company had approximately $150.1 million in cash, cash equivalents, and short-term marketable securities, $1.1 million of restricted cash and an accumulated deficit of approximately $275.8 million. Since its inception through September 30, 2021, the Company has primarily financed its operations through the issuance of preferred stock, units and warrants, the sale of its common stock, the Roche Collaboration and Option Agreement, the AbbVie collaboration, and cash received in the Merger. In the absence of positive cash flows from operations, the Company is highly dependent on its ability to find additional sources of funding in the form of debt or equity financing. Management believes that the Company has sufficient cash to fund its operations through at least twelve months from the issuance of these financial statements.</w:t>
      </w:r>
    </w:p>
    <w:p>
      <w:pPr>
        <w:spacing w:after="0" w:line="164"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As an early-stage company, the Company is subject to a number of risks common to other life science companies, including, but not limited to, raising additional capital, development by its competitors of new technological innovations, risk of failure in preclinical and clinical studies, safety and efficacy of its product candidates in clinical trials, the risk of relying on external parties such as contract research organizations (CROs) and contract manufacturing organizations (CMOs), the regulatory approval process, market acceptance of the Company’s products once approved, lack of marketing and sales history, dependence on key personnel and protection of proprietary technology. The Company’s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the Company’s research and development will be successfully completed, that adequate protection for the Company’s intellectual property will be obtained, that any products developed will obtain necessary regulatory approval or that any approved products will be commercially viable. Even if the Company’s product development efforts are successful, it is uncertain when, if ever, the Company will generate revenue from product sales. The Company may never achieve profitability, and unless and until it does, it will continue to need to raise additional capital or obtain financing from other sources, such as strategic collaborations or partnerships.</w:t>
      </w:r>
    </w:p>
    <w:p>
      <w:pPr>
        <w:spacing w:after="0" w:line="290"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significant accounting policies described in the Company’s audited financial statements as of and for the year ended December 31, 2020, and the notes thereto, which are included in the Company’s Annual Report on Form 10-K for the year ended December 31, 2020, filed with the Securities and Exchange Commission (SEC) on March 25, 2021 (the 2020 Annual Report), have had no material changes during the three and nine months ended September 30, 2021.</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accompanying consolidated financial statements and the related disclosures as of September 30, 2021 and for the three and nine months ended September 30, 2021 and 2020 are unaudited and have been prepared in accordance with accounting principles generally accepted in the United States (GAAP) and the rules and regulations of the SEC for interim financial statements. Accordingly, they do not include all of the information and notes required by GAAP for complete financial statements. These interim consolidated financial statements should be read in conjunction with the Company’s 2020 and 2019 audited consolidated financial statements and notes included in the Company’s 2020 Annual Report. The December 31, 2020 consolidated balance sheet included herein was derived from the audited financial statements as of that date but does not include all disclosures including notes required by</w:t>
      </w:r>
    </w:p>
    <w:p>
      <w:pPr>
        <w:spacing w:after="0" w:line="19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8" w:name="page9"/>
    <w:bookmarkEnd w:id="8"/>
    <w:p>
      <w:pPr>
        <w:ind w:right="80"/>
        <w:spacing w:after="0" w:line="279" w:lineRule="auto"/>
        <w:rPr>
          <w:sz w:val="20"/>
          <w:szCs w:val="20"/>
          <w:color w:val="auto"/>
        </w:rPr>
      </w:pPr>
      <w:r>
        <w:rPr>
          <w:rFonts w:ascii="Arial" w:cs="Arial" w:eastAsia="Arial" w:hAnsi="Arial"/>
          <w:sz w:val="17"/>
          <w:szCs w:val="17"/>
          <w:color w:val="auto"/>
        </w:rPr>
        <w:t>GAAP for complete financial statements. In the opinion of management, the unaudited interim consolidated financial statements reflect all adjustments, consisting of normal and recurring adjustments, necessary for the fair presentation of the Company’s financial position and results of operations for the three and nine months ended September 30, 2021 and 2020. The results of operations for the interim periods are not necessarily indicative of the results to be expected for the year ending December 31, 2021 or any other interim period or future year or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620" w:firstLine="562"/>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Synlogic and its wholly 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 xml:space="preserve">In October 2020, the FASB issued an amendment, ASU 2020-08, </w:t>
      </w:r>
      <w:r>
        <w:rPr>
          <w:rFonts w:ascii="Arial" w:cs="Arial" w:eastAsia="Arial" w:hAnsi="Arial"/>
          <w:sz w:val="18"/>
          <w:szCs w:val="18"/>
          <w:i w:val="1"/>
          <w:iCs w:val="1"/>
          <w:color w:val="auto"/>
        </w:rPr>
        <w:t>Codification Improvements to Subtopic 310-20, Receivables – Nonrefundable Fees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Other Costs, </w:t>
      </w:r>
      <w:r>
        <w:rPr>
          <w:rFonts w:ascii="Arial" w:cs="Arial" w:eastAsia="Arial" w:hAnsi="Arial"/>
          <w:sz w:val="18"/>
          <w:szCs w:val="18"/>
          <w:color w:val="auto"/>
        </w:rPr>
        <w:t>to the guidance in ASU 2017-08,</w:t>
      </w:r>
      <w:r>
        <w:rPr>
          <w:rFonts w:ascii="Arial" w:cs="Arial" w:eastAsia="Arial" w:hAnsi="Arial"/>
          <w:sz w:val="18"/>
          <w:szCs w:val="18"/>
          <w:i w:val="1"/>
          <w:iCs w:val="1"/>
          <w:color w:val="auto"/>
        </w:rPr>
        <w:t xml:space="preserve"> Receivables-Nonrefundable Fees and Other Costs (Subtopic 310-20): Premium Amortization on Purchased Callable Debt Securities. </w:t>
      </w:r>
      <w:r>
        <w:rPr>
          <w:rFonts w:ascii="Arial" w:cs="Arial" w:eastAsia="Arial" w:hAnsi="Arial"/>
          <w:sz w:val="18"/>
          <w:szCs w:val="18"/>
          <w:color w:val="auto"/>
        </w:rPr>
        <w:t>The amendment requires companies to reevaluate whether a callable debt security that has multiple call dates is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scope of paragraph 310-20-65-2. The amendment shall be effective for fiscal years, and interim periods within those fiscal years, beginning after December 15, 2020. The Company adopted the new guidance effective on January 1, 2021 which had an immaterial impact on its consolidated financial statements.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Pronouncements</w:t>
      </w:r>
    </w:p>
    <w:p>
      <w:pPr>
        <w:spacing w:after="0" w:line="117" w:lineRule="exact"/>
        <w:rPr>
          <w:sz w:val="20"/>
          <w:szCs w:val="20"/>
          <w:color w:val="auto"/>
        </w:rPr>
      </w:pPr>
    </w:p>
    <w:p>
      <w:pPr>
        <w:ind w:right="60" w:firstLine="510"/>
        <w:spacing w:after="0" w:line="271" w:lineRule="auto"/>
        <w:rPr>
          <w:sz w:val="20"/>
          <w:szCs w:val="20"/>
          <w:color w:val="auto"/>
        </w:rPr>
      </w:pPr>
      <w:r>
        <w:rPr>
          <w:rFonts w:ascii="Arial" w:cs="Arial" w:eastAsia="Arial" w:hAnsi="Arial"/>
          <w:sz w:val="17"/>
          <w:szCs w:val="17"/>
          <w:color w:val="auto"/>
        </w:rPr>
        <w:t xml:space="preserve">In June 2016, the FASB issued ASU 2016-13 - </w:t>
      </w:r>
      <w:r>
        <w:rPr>
          <w:rFonts w:ascii="Arial" w:cs="Arial" w:eastAsia="Arial" w:hAnsi="Arial"/>
          <w:sz w:val="17"/>
          <w:szCs w:val="17"/>
          <w:i w:val="1"/>
          <w:iCs w:val="1"/>
          <w:color w:val="auto"/>
        </w:rPr>
        <w:t>Measurement of Credit Losses on Financial Statements</w:t>
      </w:r>
      <w:r>
        <w:rPr>
          <w:rFonts w:ascii="Arial" w:cs="Arial" w:eastAsia="Arial" w:hAnsi="Arial"/>
          <w:sz w:val="17"/>
          <w:szCs w:val="17"/>
          <w:color w:val="auto"/>
        </w:rPr>
        <w:t xml:space="preserve">. The new standard requires that expected credit losses relating to financial assets measured on an amortized cost basis and available-for-sale debt securities be recorded through an allowance for credit losses. It also limits the amount of credit losses to be recognized for available-for-sale debt securities to the amount by which carrying value exceeds fair value and also requires the reversal of previously recognized credit losses if fair value increases. In November 2019, the FASB issued ASU 2019-10 – </w:t>
      </w:r>
      <w:r>
        <w:rPr>
          <w:rFonts w:ascii="Arial" w:cs="Arial" w:eastAsia="Arial" w:hAnsi="Arial"/>
          <w:sz w:val="17"/>
          <w:szCs w:val="17"/>
          <w:i w:val="1"/>
          <w:iCs w:val="1"/>
          <w:color w:val="auto"/>
        </w:rPr>
        <w:t>Financial Instruments – Credit Losses (Topic 326), Derivatives and Hedging (Topic 815), and Leases (Topic 842): Effective Dates</w:t>
      </w:r>
      <w:r>
        <w:rPr>
          <w:rFonts w:ascii="Arial" w:cs="Arial" w:eastAsia="Arial" w:hAnsi="Arial"/>
          <w:sz w:val="17"/>
          <w:szCs w:val="17"/>
          <w:color w:val="auto"/>
        </w:rPr>
        <w:t>, which amended the</w:t>
      </w:r>
      <w:r>
        <w:rPr>
          <w:rFonts w:ascii="Arial" w:cs="Arial" w:eastAsia="Arial" w:hAnsi="Arial"/>
          <w:sz w:val="17"/>
          <w:szCs w:val="17"/>
          <w:i w:val="1"/>
          <w:iCs w:val="1"/>
          <w:color w:val="auto"/>
        </w:rPr>
        <w:t xml:space="preserve"> </w:t>
      </w:r>
      <w:r>
        <w:rPr>
          <w:rFonts w:ascii="Arial" w:cs="Arial" w:eastAsia="Arial" w:hAnsi="Arial"/>
          <w:sz w:val="17"/>
          <w:szCs w:val="17"/>
          <w:color w:val="auto"/>
        </w:rPr>
        <w:t>effective date for certain companies. The standard is effective for public companies eligible to be smaller reporting companies for annual and interim periods beginning after December 15, 2022. Early adoption is available. The Company is currently evaluating the potential impact ASU 2016-13, and related updates, will have on its consolidated financial statements and disclosures.</w:t>
      </w:r>
    </w:p>
    <w:p>
      <w:pPr>
        <w:spacing w:after="0" w:line="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In May 2021, the FASB issued Accounting Standards Update 2021-04</w:t>
      </w:r>
      <w:r>
        <w:rPr>
          <w:rFonts w:ascii="Arial" w:cs="Arial" w:eastAsia="Arial" w:hAnsi="Arial"/>
          <w:sz w:val="18"/>
          <w:szCs w:val="18"/>
          <w:i w:val="1"/>
          <w:iCs w:val="1"/>
          <w:color w:val="auto"/>
        </w:rPr>
        <w:t>—Issuer’s Accounting for Certain Modifications or Exchanges of</w:t>
      </w:r>
      <w:r>
        <w:rPr>
          <w:rFonts w:ascii="Arial" w:cs="Arial" w:eastAsia="Arial" w:hAnsi="Arial"/>
          <w:sz w:val="18"/>
          <w:szCs w:val="18"/>
          <w:color w:val="auto"/>
        </w:rPr>
        <w:t xml:space="preserve"> </w:t>
      </w:r>
      <w:r>
        <w:rPr>
          <w:rFonts w:ascii="Arial" w:cs="Arial" w:eastAsia="Arial" w:hAnsi="Arial"/>
          <w:sz w:val="18"/>
          <w:szCs w:val="18"/>
          <w:i w:val="1"/>
          <w:iCs w:val="1"/>
          <w:color w:val="auto"/>
        </w:rPr>
        <w:t>Freestanding Equity-Classified Written Call Options</w:t>
      </w:r>
      <w:r>
        <w:rPr>
          <w:rFonts w:ascii="Arial" w:cs="Arial" w:eastAsia="Arial" w:hAnsi="Arial"/>
          <w:sz w:val="18"/>
          <w:szCs w:val="18"/>
          <w:color w:val="auto"/>
        </w:rPr>
        <w:t>. The standard provides a principles-based framework to determine whether an issuer should recognize</w:t>
      </w:r>
      <w:r>
        <w:rPr>
          <w:rFonts w:ascii="Arial" w:cs="Arial" w:eastAsia="Arial" w:hAnsi="Arial"/>
          <w:sz w:val="18"/>
          <w:szCs w:val="18"/>
          <w:i w:val="1"/>
          <w:iCs w:val="1"/>
          <w:color w:val="auto"/>
        </w:rPr>
        <w:t xml:space="preserve"> </w:t>
      </w:r>
      <w:r>
        <w:rPr>
          <w:rFonts w:ascii="Arial" w:cs="Arial" w:eastAsia="Arial" w:hAnsi="Arial"/>
          <w:sz w:val="18"/>
          <w:szCs w:val="18"/>
          <w:color w:val="auto"/>
        </w:rPr>
        <w:t>the modification or exchange as an adjustment to equity or an expense. The Company is currently evaluating the potential impact ASU 2021-04 will have on its consolidated financial statements and disclosures.</w:t>
      </w:r>
    </w:p>
    <w:p>
      <w:pPr>
        <w:spacing w:after="0" w:line="295" w:lineRule="exact"/>
        <w:rPr>
          <w:sz w:val="20"/>
          <w:szCs w:val="20"/>
          <w:color w:val="auto"/>
        </w:rPr>
      </w:pPr>
    </w:p>
    <w:p>
      <w:pPr>
        <w:ind w:right="220" w:firstLine="510"/>
        <w:spacing w:after="0" w:line="308" w:lineRule="auto"/>
        <w:rPr>
          <w:sz w:val="20"/>
          <w:szCs w:val="20"/>
          <w:color w:val="auto"/>
        </w:rPr>
      </w:pPr>
      <w:r>
        <w:rPr>
          <w:rFonts w:ascii="Arial" w:cs="Arial" w:eastAsia="Arial" w:hAnsi="Arial"/>
          <w:sz w:val="17"/>
          <w:szCs w:val="17"/>
          <w:color w:val="auto"/>
        </w:rPr>
        <w:t>The Company has evaluated other recently issued accounting pronouncements and has concluded that that the impact of recently issued standards that are not yet effective will not have a material impact on the Company’s financial position or results of operations upon adoption.</w:t>
      </w:r>
    </w:p>
    <w:p>
      <w:pPr>
        <w:spacing w:after="0" w:line="291"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The tables below present information about the Company’s assets that are measured at fair value on a recurring basis and indicate the fair value hierarchy of the valuation techniques the Company utilized to determine such fair value, as described under Note 2</w:t>
      </w:r>
      <w:r>
        <w:rPr>
          <w:rFonts w:ascii="Arial" w:cs="Arial" w:eastAsia="Arial" w:hAnsi="Arial"/>
          <w:sz w:val="18"/>
          <w:szCs w:val="18"/>
          <w:i w:val="1"/>
          <w:iCs w:val="1"/>
          <w:color w:val="auto"/>
        </w:rPr>
        <w:t>, 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Policies, </w:t>
      </w:r>
      <w:r>
        <w:rPr>
          <w:rFonts w:ascii="Arial" w:cs="Arial" w:eastAsia="Arial" w:hAnsi="Arial"/>
          <w:sz w:val="18"/>
          <w:szCs w:val="18"/>
          <w:color w:val="auto"/>
        </w:rPr>
        <w:t>in the audited financial statements included in the Company’s 2020 Annual Report.</w:t>
      </w:r>
    </w:p>
    <w:p>
      <w:pPr>
        <w:spacing w:after="0" w:line="184" w:lineRule="exact"/>
        <w:rPr>
          <w:sz w:val="20"/>
          <w:szCs w:val="20"/>
          <w:color w:val="auto"/>
        </w:rPr>
      </w:pPr>
    </w:p>
    <w:p>
      <w:pPr>
        <w:ind w:right="260" w:firstLine="510"/>
        <w:spacing w:after="0" w:line="296" w:lineRule="auto"/>
        <w:rPr>
          <w:sz w:val="20"/>
          <w:szCs w:val="20"/>
          <w:color w:val="auto"/>
        </w:rPr>
      </w:pPr>
      <w:r>
        <w:rPr>
          <w:rFonts w:ascii="Arial" w:cs="Arial" w:eastAsia="Arial" w:hAnsi="Arial"/>
          <w:sz w:val="16"/>
          <w:szCs w:val="16"/>
          <w:color w:val="auto"/>
        </w:rPr>
        <w:t>The Company’s investment portfolio includes many fixed income securities that do not always trade on a daily basis. As a result, the pricing services used by the Company applied other available information as applicable through processes such as benchmark yields, benchmarking of like securities, sector groupings and matrix pricing to prepare evaluations. In addition, model processes were used to assess interest rate impact and develop prepayment scenarios. These models take into consideration relevant credit information, perceived market movements, sector news and economic events. The inputs into these models may include benchmark yields, reported trades, broker-dealer quotes, issuer spreads and other relevant data.</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9" w:name="page10"/>
    <w:bookmarkEnd w:id="9"/>
    <w:p>
      <w:pPr>
        <w:ind w:right="620" w:firstLine="510"/>
        <w:spacing w:after="0" w:line="277" w:lineRule="auto"/>
        <w:rPr>
          <w:sz w:val="20"/>
          <w:szCs w:val="20"/>
          <w:color w:val="auto"/>
        </w:rPr>
      </w:pPr>
      <w:r>
        <w:rPr>
          <w:rFonts w:ascii="Arial" w:cs="Arial" w:eastAsia="Arial" w:hAnsi="Arial"/>
          <w:sz w:val="18"/>
          <w:szCs w:val="18"/>
          <w:color w:val="auto"/>
        </w:rPr>
        <w:t>At September 30, 2021 and December 31, 2020, the Company has classified assets measured at fair value on a recurring basis as follows (in thousands):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33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Quoted Prices in Active</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2"/>
                <w:szCs w:val="12"/>
                <w:color w:val="auto"/>
              </w:rPr>
            </w:pPr>
          </w:p>
        </w:tc>
        <w:tc>
          <w:tcPr>
            <w:tcW w:w="1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Assets</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760" w:type="dxa"/>
            <w:vAlign w:val="bottom"/>
          </w:tcPr>
          <w:p>
            <w:pPr>
              <w:ind w:left="15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2021</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59,424</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59,424</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Commercial paper (included in cash and cash</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equivalents)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 (included in marketable</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securities)</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78,962</w:t>
            </w:r>
          </w:p>
        </w:tc>
        <w:tc>
          <w:tcPr>
            <w:tcW w:w="2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78,962</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4,413</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4,413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w w:val="93"/>
              </w:rPr>
              <w:t>U.S. government agency securities and treasuries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150,053</w:t>
            </w:r>
          </w:p>
        </w:tc>
        <w:tc>
          <w:tcPr>
            <w:tcW w:w="2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63,178</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ind w:left="160"/>
              <w:spacing w:after="0"/>
              <w:rPr>
                <w:sz w:val="20"/>
                <w:szCs w:val="20"/>
                <w:color w:val="auto"/>
              </w:rPr>
            </w:pPr>
            <w:r>
              <w:rPr>
                <w:rFonts w:ascii="Arial" w:cs="Arial" w:eastAsia="Arial" w:hAnsi="Arial"/>
                <w:sz w:val="14"/>
                <w:szCs w:val="14"/>
                <w:b w:val="1"/>
                <w:bCs w:val="1"/>
                <w:color w:val="auto"/>
                <w:w w:val="95"/>
              </w:rPr>
              <w:t>Fair Value Measurements at Reporting Date Using</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80" w:type="dxa"/>
            <w:vAlign w:val="bottom"/>
            <w:gridSpan w:val="3"/>
          </w:tcPr>
          <w:p>
            <w:pPr>
              <w:jc w:val="center"/>
              <w:ind w:right="220"/>
              <w:spacing w:after="0" w:line="133" w:lineRule="exact"/>
              <w:rPr>
                <w:sz w:val="20"/>
                <w:szCs w:val="20"/>
                <w:color w:val="auto"/>
              </w:rPr>
            </w:pPr>
            <w:r>
              <w:rPr>
                <w:rFonts w:ascii="Arial" w:cs="Arial" w:eastAsia="Arial" w:hAnsi="Arial"/>
                <w:sz w:val="14"/>
                <w:szCs w:val="14"/>
                <w:b w:val="1"/>
                <w:bCs w:val="1"/>
                <w:color w:val="auto"/>
                <w:w w:val="92"/>
              </w:rPr>
              <w:t>Quoted Prices in Active</w:t>
            </w:r>
          </w:p>
        </w:tc>
        <w:tc>
          <w:tcPr>
            <w:tcW w:w="100" w:type="dxa"/>
            <w:vAlign w:val="bottom"/>
          </w:tcPr>
          <w:p>
            <w:pPr>
              <w:spacing w:after="0"/>
              <w:rPr>
                <w:sz w:val="11"/>
                <w:szCs w:val="11"/>
                <w:color w:val="auto"/>
              </w:rPr>
            </w:pPr>
          </w:p>
        </w:tc>
        <w:tc>
          <w:tcPr>
            <w:tcW w:w="13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Significant Other</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vMerge w:val="restart"/>
          </w:tcPr>
          <w:p>
            <w:pPr>
              <w:jc w:val="center"/>
              <w:ind w:right="75"/>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Pr>
          <w:p>
            <w:pPr>
              <w:spacing w:after="0"/>
              <w:rPr>
                <w:sz w:val="12"/>
                <w:szCs w:val="12"/>
                <w:color w:val="auto"/>
              </w:rPr>
            </w:pPr>
          </w:p>
        </w:tc>
        <w:tc>
          <w:tcPr>
            <w:tcW w:w="16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Markets for Identical</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2"/>
              </w:rPr>
              <w:t>Assets</w:t>
            </w:r>
          </w:p>
        </w:tc>
        <w:tc>
          <w:tcPr>
            <w:tcW w:w="14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Observable Inputs</w:t>
            </w:r>
          </w:p>
        </w:tc>
        <w:tc>
          <w:tcPr>
            <w:tcW w:w="10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Unobservable Inputs</w:t>
            </w:r>
          </w:p>
        </w:tc>
        <w:tc>
          <w:tcPr>
            <w:tcW w:w="0" w:type="dxa"/>
            <w:vAlign w:val="bottom"/>
          </w:tcPr>
          <w:p>
            <w:pPr>
              <w:spacing w:after="0"/>
              <w:rPr>
                <w:sz w:val="1"/>
                <w:szCs w:val="1"/>
                <w:color w:val="auto"/>
              </w:rPr>
            </w:pPr>
          </w:p>
        </w:tc>
      </w:tr>
      <w:tr>
        <w:trPr>
          <w:trHeight w:val="171"/>
        </w:trPr>
        <w:tc>
          <w:tcPr>
            <w:tcW w:w="3760" w:type="dxa"/>
            <w:vAlign w:val="bottom"/>
          </w:tcPr>
          <w:p>
            <w:pPr>
              <w:ind w:left="15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jc w:val="center"/>
              <w:ind w:right="75"/>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(Level 1)</w:t>
            </w:r>
          </w:p>
        </w:tc>
        <w:tc>
          <w:tcPr>
            <w:tcW w:w="100" w:type="dxa"/>
            <w:vAlign w:val="bottom"/>
          </w:tcPr>
          <w:p>
            <w:pPr>
              <w:spacing w:after="0"/>
              <w:rPr>
                <w:sz w:val="14"/>
                <w:szCs w:val="14"/>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32,506</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spacing w:after="0"/>
              <w:rPr>
                <w:sz w:val="20"/>
                <w:szCs w:val="20"/>
                <w:color w:val="auto"/>
              </w:rPr>
            </w:pPr>
            <w:r>
              <w:rPr>
                <w:rFonts w:ascii="Arial" w:cs="Arial" w:eastAsia="Arial" w:hAnsi="Arial"/>
                <w:sz w:val="18"/>
                <w:szCs w:val="18"/>
                <w:color w:val="auto"/>
              </w:rPr>
              <w:t>Commercial paper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40,477</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40,477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60" w:type="dxa"/>
            <w:vAlign w:val="bottom"/>
            <w:shd w:val="clear" w:color="auto" w:fill="CFF0FC"/>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2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18,637</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3760" w:type="dxa"/>
            <w:vAlign w:val="bottom"/>
          </w:tcPr>
          <w:p>
            <w:pPr>
              <w:spacing w:after="0"/>
              <w:rPr>
                <w:sz w:val="20"/>
                <w:szCs w:val="20"/>
                <w:color w:val="auto"/>
              </w:rPr>
            </w:pPr>
            <w:r>
              <w:rPr>
                <w:rFonts w:ascii="Arial" w:cs="Arial" w:eastAsia="Arial" w:hAnsi="Arial"/>
                <w:sz w:val="18"/>
                <w:szCs w:val="18"/>
                <w:color w:val="auto"/>
              </w:rPr>
              <w:t>U.S. government agency securities and</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140"/>
              <w:spacing w:after="0"/>
              <w:rPr>
                <w:sz w:val="20"/>
                <w:szCs w:val="20"/>
                <w:color w:val="auto"/>
              </w:rPr>
            </w:pPr>
            <w:r>
              <w:rPr>
                <w:rFonts w:ascii="Arial" w:cs="Arial" w:eastAsia="Arial" w:hAnsi="Arial"/>
                <w:sz w:val="18"/>
                <w:szCs w:val="18"/>
                <w:color w:val="auto"/>
              </w:rPr>
              <w:t>treasuries</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8,823</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100,443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41,329</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59,114</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shd w:val="clear" w:color="auto" w:fill="CFF0FC"/>
          </w:tcPr>
          <w:p>
            <w:pPr>
              <w:ind w:left="92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Cash equivalents, prepaid expenses and other current assets, accounts payable and accrued expenses at September 30, 2021 and December 31, 2020 are carried at amounts that approximate fair value due to their short-term maturities. Finance lease obligations at September 30, 2021 and December 31, 2020 approximate fair value as they bear interest at a rate approximating a market interest rate.</w:t>
      </w:r>
    </w:p>
    <w:p>
      <w:pPr>
        <w:spacing w:after="0" w:line="288" w:lineRule="exact"/>
        <w:rPr>
          <w:sz w:val="20"/>
          <w:szCs w:val="20"/>
          <w:color w:val="auto"/>
        </w:rPr>
      </w:pPr>
    </w:p>
    <w:p>
      <w:pPr>
        <w:ind w:left="500" w:hanging="492"/>
        <w:spacing w:after="0"/>
        <w:tabs>
          <w:tab w:leader="none" w:pos="5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Available-for-Sale Investments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tables summarize the available-for-sale securities held at September 30, 2021 and December 31, 2020 (in thousands):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September 30, 2021</w:t>
            </w:r>
          </w:p>
        </w:tc>
        <w:tc>
          <w:tcPr>
            <w:tcW w:w="140" w:type="dxa"/>
            <w:vAlign w:val="bottom"/>
          </w:tcPr>
          <w:p>
            <w:pPr>
              <w:spacing w:after="0"/>
              <w:rPr>
                <w:sz w:val="14"/>
                <w:szCs w:val="1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0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gains</w:t>
            </w:r>
          </w:p>
        </w:tc>
        <w:tc>
          <w:tcPr>
            <w:tcW w:w="100" w:type="dxa"/>
            <w:vAlign w:val="bottom"/>
          </w:tcPr>
          <w:p>
            <w:pPr>
              <w:spacing w:after="0"/>
              <w:rPr>
                <w:sz w:val="14"/>
                <w:szCs w:val="1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77"/>
              </w:rPr>
              <w:t>losses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82,450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82,462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4,416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4,413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90,620</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90,629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9"/>
        </w:trPr>
        <w:tc>
          <w:tcPr>
            <w:tcW w:w="384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w w:val="94"/>
              </w:rPr>
              <w:t>Amortized cost</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Gross unrealized</w:t>
            </w:r>
          </w:p>
        </w:tc>
        <w:tc>
          <w:tcPr>
            <w:tcW w:w="100" w:type="dxa"/>
            <w:vAlign w:val="bottom"/>
          </w:tcPr>
          <w:p>
            <w:pPr>
              <w:spacing w:after="0"/>
              <w:rPr>
                <w:sz w:val="24"/>
                <w:szCs w:val="24"/>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Gross unrealized</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8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FF0FC"/>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77"/>
              </w:rPr>
              <w:t>losses</w:t>
            </w:r>
          </w:p>
        </w:tc>
        <w:tc>
          <w:tcPr>
            <w:tcW w:w="22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FF0FC"/>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Commercial paper</w:t>
            </w: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40,467</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40,477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gridSpan w:val="2"/>
          </w:tcPr>
          <w:p>
            <w:pPr>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18,634</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U.S. government agency securities</w:t>
            </w:r>
          </w:p>
        </w:tc>
        <w:tc>
          <w:tcPr>
            <w:tcW w:w="1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8,822</w:t>
            </w:r>
          </w:p>
        </w:tc>
        <w:tc>
          <w:tcPr>
            <w:tcW w:w="2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8,823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67,923</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67,937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contractual maturity of all securities held at September 30, 2021 was 12 months or less. There were four and eight investments in an unrealized loss position at September 30, 2021 and December 31, 2020, respectively, none of which had been in an unrealized loss position for more than twelve months. The aggregate fair value of the securities in an unrealized loss position at September 30, 2021 and December 31, 2020 was $11.4 million and $20.1 million, respectively. The Company reviews its investments for other-than-temporary impairment whenever the fair value of an investment is less than amortized cost and evidence indicates that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10" w:name="page11"/>
    <w:bookmarkEnd w:id="10"/>
    <w:p>
      <w:pPr>
        <w:spacing w:after="0" w:line="259" w:lineRule="auto"/>
        <w:rPr>
          <w:sz w:val="20"/>
          <w:szCs w:val="20"/>
          <w:color w:val="auto"/>
        </w:rPr>
      </w:pPr>
      <w:r>
        <w:rPr>
          <w:rFonts w:ascii="Arial" w:cs="Arial" w:eastAsia="Arial" w:hAnsi="Arial"/>
          <w:sz w:val="18"/>
          <w:szCs w:val="18"/>
          <w:color w:val="auto"/>
        </w:rPr>
        <w:t>an investment’s carrying amount is not recoverable within a reasonable period of time. To determine whether an impairment is other-than-temporary, the Company considers whether it has the ability and intent to hold the investment until a market price recovery and considers whether evidence indicating the cost of the investment is recoverable outweighs evidence to the contrary. The Company did not hold any securities with an other-than-temporary impairment at September 30, 2021.</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Gross realized gains and losses on the sales of investments have not been material to the Company’s consolidated statement of operations.</w:t>
      </w:r>
    </w:p>
    <w:p>
      <w:pPr>
        <w:spacing w:after="0" w:line="395"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net consists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2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Laboratory equipment</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8,019</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7,793</w:t>
            </w:r>
          </w:p>
        </w:tc>
        <w:tc>
          <w:tcPr>
            <w:tcW w:w="80" w:type="dxa"/>
            <w:vAlign w:val="bottom"/>
            <w:shd w:val="clear" w:color="auto" w:fill="CFF0FC"/>
          </w:tcPr>
          <w:p>
            <w:pPr>
              <w:spacing w:after="0"/>
              <w:rPr>
                <w:sz w:val="19"/>
                <w:szCs w:val="19"/>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w:t>
            </w:r>
          </w:p>
        </w:tc>
        <w:tc>
          <w:tcPr>
            <w:tcW w:w="80" w:type="dxa"/>
            <w:vAlign w:val="bottom"/>
          </w:tcPr>
          <w:p>
            <w:pPr>
              <w:spacing w:after="0"/>
              <w:rPr>
                <w:sz w:val="19"/>
                <w:szCs w:val="19"/>
                <w:color w:val="auto"/>
              </w:rPr>
            </w:pPr>
          </w:p>
        </w:tc>
      </w:tr>
      <w:tr>
        <w:trPr>
          <w:trHeight w:val="229"/>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FF0FC"/>
          </w:tcPr>
          <w:p>
            <w:pPr>
              <w:spacing w:after="0"/>
              <w:rPr>
                <w:sz w:val="19"/>
                <w:szCs w:val="19"/>
                <w:color w:val="auto"/>
              </w:rPr>
            </w:pPr>
          </w:p>
        </w:tc>
      </w:tr>
      <w:tr>
        <w:trPr>
          <w:trHeight w:val="229"/>
        </w:trPr>
        <w:tc>
          <w:tcPr>
            <w:tcW w:w="52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9,514</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Construction in progress</w:t>
            </w:r>
          </w:p>
        </w:tc>
        <w:tc>
          <w:tcPr>
            <w:tcW w:w="1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528</w:t>
            </w:r>
          </w:p>
        </w:tc>
        <w:tc>
          <w:tcPr>
            <w:tcW w:w="80" w:type="dxa"/>
            <w:vAlign w:val="bottom"/>
            <w:shd w:val="clear" w:color="auto" w:fill="CFF0FC"/>
          </w:tcPr>
          <w:p>
            <w:pPr>
              <w:spacing w:after="0"/>
              <w:rPr>
                <w:sz w:val="19"/>
                <w:szCs w:val="19"/>
                <w:color w:val="auto"/>
              </w:rPr>
            </w:pPr>
          </w:p>
        </w:tc>
      </w:tr>
      <w:tr>
        <w:trPr>
          <w:trHeight w:val="223"/>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19,025</w:t>
            </w:r>
          </w:p>
        </w:tc>
        <w:tc>
          <w:tcPr>
            <w:tcW w:w="80" w:type="dxa"/>
            <w:vAlign w:val="bottom"/>
          </w:tcPr>
          <w:p>
            <w:pPr>
              <w:spacing w:after="0"/>
              <w:rPr>
                <w:sz w:val="19"/>
                <w:szCs w:val="19"/>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w:t>
            </w:r>
          </w:p>
        </w:tc>
        <w:tc>
          <w:tcPr>
            <w:tcW w:w="1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(10,015)</w:t>
            </w: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(8,249)</w:t>
            </w:r>
          </w:p>
        </w:tc>
      </w:tr>
      <w:tr>
        <w:trPr>
          <w:trHeight w:val="223"/>
        </w:trPr>
        <w:tc>
          <w:tcPr>
            <w:tcW w:w="52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9,625</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10,776</w:t>
            </w:r>
          </w:p>
        </w:tc>
        <w:tc>
          <w:tcPr>
            <w:tcW w:w="80" w:type="dxa"/>
            <w:vAlign w:val="bottom"/>
          </w:tcPr>
          <w:p>
            <w:pPr>
              <w:spacing w:after="0"/>
              <w:rPr>
                <w:sz w:val="19"/>
                <w:szCs w:val="19"/>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60"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Accrued expenses consist of the following (in thousands):</w:t>
      </w:r>
    </w:p>
    <w:p>
      <w:pPr>
        <w:spacing w:after="0" w:line="325"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55"/>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Payroll related</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2,640</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w:t>
            </w:r>
          </w:p>
        </w:tc>
        <w:tc>
          <w:tcPr>
            <w:tcW w:w="80" w:type="dxa"/>
            <w:vAlign w:val="bottom"/>
            <w:tcBorders>
              <w:bottom w:val="single" w:sz="8" w:color="CFF0FC"/>
            </w:tcBorders>
          </w:tcPr>
          <w:p>
            <w:pPr>
              <w:spacing w:after="0"/>
              <w:rPr>
                <w:sz w:val="19"/>
                <w:szCs w:val="19"/>
                <w:color w:val="auto"/>
              </w:rPr>
            </w:pPr>
          </w:p>
        </w:tc>
      </w:tr>
      <w:tr>
        <w:trPr>
          <w:trHeight w:val="223"/>
        </w:trPr>
        <w:tc>
          <w:tcPr>
            <w:tcW w:w="5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3,984</w:t>
            </w:r>
          </w:p>
        </w:tc>
        <w:tc>
          <w:tcPr>
            <w:tcW w:w="1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3,773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135" w:lineRule="exact"/>
        <w:rPr>
          <w:sz w:val="20"/>
          <w:szCs w:val="20"/>
          <w:color w:val="auto"/>
        </w:rPr>
      </w:pPr>
    </w:p>
    <w:p>
      <w:pPr>
        <w:jc w:val="both"/>
        <w:ind w:right="80" w:firstLine="510"/>
        <w:spacing w:after="0" w:line="279" w:lineRule="auto"/>
        <w:rPr>
          <w:sz w:val="20"/>
          <w:szCs w:val="20"/>
          <w:color w:val="auto"/>
        </w:rPr>
      </w:pPr>
      <w:r>
        <w:rPr>
          <w:rFonts w:ascii="Arial" w:cs="Arial" w:eastAsia="Arial" w:hAnsi="Arial"/>
          <w:sz w:val="17"/>
          <w:szCs w:val="17"/>
          <w:color w:val="auto"/>
        </w:rPr>
        <w:t>In June 2019, the Company issued to Ginkgo Bioworks, Inc. (Ginkgo) an aggregate of 6,340,771 shares of common stock at a purchase price per share of $9.00, and pre-funded warrants (the Pre-Funded Warrants) to purchase an aggregate of 2,548,117 shares of common stock at an exercise price of $9.00 per share, with $8.99 of such exercise price paid at the closing of the offering. The net proceeds to the Company were approximately $79.9 million. None of the Pre-Funded Warrants have been exercised as of September 30, 2021.</w:t>
      </w:r>
    </w:p>
    <w:p>
      <w:pPr>
        <w:spacing w:after="0" w:line="171" w:lineRule="exact"/>
        <w:rPr>
          <w:sz w:val="20"/>
          <w:szCs w:val="20"/>
          <w:color w:val="auto"/>
        </w:rPr>
      </w:pPr>
    </w:p>
    <w:p>
      <w:pPr>
        <w:ind w:right="80" w:firstLine="510"/>
        <w:spacing w:after="0" w:line="257" w:lineRule="auto"/>
        <w:rPr>
          <w:sz w:val="20"/>
          <w:szCs w:val="20"/>
          <w:color w:val="auto"/>
        </w:rPr>
      </w:pPr>
      <w:r>
        <w:rPr>
          <w:rFonts w:ascii="Arial" w:cs="Arial" w:eastAsia="Arial" w:hAnsi="Arial"/>
          <w:sz w:val="18"/>
          <w:szCs w:val="18"/>
          <w:color w:val="auto"/>
        </w:rPr>
        <w:t>The Company had a previous sales agreement with Cowen and Company, LLC (Cowen) with respect to an at-the-market (ATM) offering program, which was entered into on October 13, 2017. In an ATM offering, exchange-listed companies incrementally sell newly issued shares into the secondary trading market through a designated broker-dealer at prevailing market prices. During the three months ended March 31, 2021, 2,447,211 shares of common stock were sold pursuant to the ATM, resulting in net proceeds of approximately $8.1 million. There were no sales pursuant to the Cowen ATM subsequent to March 31, 2021.</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09" w:right="419" w:bottom="1440" w:gutter="0" w:footer="0" w:header="0"/>
        </w:sectPr>
      </w:pPr>
    </w:p>
    <w:bookmarkStart w:id="11" w:name="page12"/>
    <w:bookmarkEnd w:id="11"/>
    <w:p>
      <w:pPr>
        <w:ind w:firstLine="749"/>
        <w:spacing w:after="0" w:line="301" w:lineRule="auto"/>
        <w:rPr>
          <w:sz w:val="20"/>
          <w:szCs w:val="20"/>
          <w:color w:val="auto"/>
        </w:rPr>
      </w:pPr>
      <w:r>
        <w:rPr>
          <w:rFonts w:ascii="Arial" w:cs="Arial" w:eastAsia="Arial" w:hAnsi="Arial"/>
          <w:sz w:val="16"/>
          <w:szCs w:val="16"/>
          <w:color w:val="auto"/>
        </w:rPr>
        <w:t>In July 2021, the Company entered into a new sales agreement with Jefferies, LLC (Jefferies) with respect to an ATM, under which the Company may offer and sell, from time to time at its sole discretion, shares of its common stock having aggregate sales proceeds of up to $50.0 million. Jefferies is not required to sell any specific amount, but acts as the Company’s sales agent using commercially reasonable efforts consistent with its normal trading and sales practices. During the three months ended September 30, 2021, no shares of common stock were sold pursuant to the sales agreement with Jefferies.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Offerings of Synlogic Common Stock</w:t>
      </w:r>
    </w:p>
    <w:p>
      <w:pPr>
        <w:spacing w:after="0" w:line="225" w:lineRule="exact"/>
        <w:rPr>
          <w:sz w:val="20"/>
          <w:szCs w:val="20"/>
          <w:color w:val="auto"/>
        </w:rPr>
      </w:pPr>
    </w:p>
    <w:p>
      <w:pPr>
        <w:jc w:val="both"/>
        <w:ind w:right="280" w:firstLine="510"/>
        <w:spacing w:after="0" w:line="311" w:lineRule="auto"/>
        <w:rPr>
          <w:sz w:val="20"/>
          <w:szCs w:val="20"/>
          <w:color w:val="auto"/>
        </w:rPr>
      </w:pPr>
      <w:r>
        <w:rPr>
          <w:rFonts w:ascii="Arial" w:cs="Arial" w:eastAsia="Arial" w:hAnsi="Arial"/>
          <w:sz w:val="16"/>
          <w:szCs w:val="16"/>
          <w:color w:val="auto"/>
        </w:rPr>
        <w:t>In April 2021, the Company sold 11,500,000 shares of its common stock at a public offering price of $3.00 per share pursuant to an underwritten public offering. The net proceeds to the Company from the offering, after deducting the underwriting discounts and commissions and offering expenses payable by the Company, were approximately $32.6 million. All shares of common stock sold in the offering were sold by the Company.</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September 2021, the Company sold 17,250,000 shares of its common stock at a public offering price of $3.00 per share pursuant</w:t>
      </w:r>
    </w:p>
    <w:p>
      <w:pPr>
        <w:spacing w:after="0" w:line="23" w:lineRule="exact"/>
        <w:rPr>
          <w:sz w:val="20"/>
          <w:szCs w:val="20"/>
          <w:color w:val="auto"/>
        </w:rPr>
      </w:pPr>
    </w:p>
    <w:p>
      <w:pPr>
        <w:ind w:right="40"/>
        <w:spacing w:after="0" w:line="323" w:lineRule="auto"/>
        <w:rPr>
          <w:sz w:val="20"/>
          <w:szCs w:val="20"/>
          <w:color w:val="auto"/>
        </w:rPr>
      </w:pPr>
      <w:r>
        <w:rPr>
          <w:rFonts w:ascii="Arial" w:cs="Arial" w:eastAsia="Arial" w:hAnsi="Arial"/>
          <w:sz w:val="16"/>
          <w:szCs w:val="16"/>
          <w:color w:val="auto"/>
        </w:rPr>
        <w:t>to an underwritten public offering. The net proceeds to the Company from the offering, after deducting the underwriting discounts and commissions and offering expenses payable by the Company, were approximately $48.4 million. All shares of common stock sold in the offering were sold by the Company.</w:t>
      </w:r>
    </w:p>
    <w:p>
      <w:pPr>
        <w:spacing w:after="0" w:line="138" w:lineRule="exact"/>
        <w:rPr>
          <w:sz w:val="20"/>
          <w:szCs w:val="20"/>
          <w:color w:val="auto"/>
        </w:rPr>
      </w:pPr>
    </w:p>
    <w:p>
      <w:pPr>
        <w:ind w:right="440" w:firstLine="510"/>
        <w:spacing w:after="0" w:line="277" w:lineRule="auto"/>
        <w:rPr>
          <w:sz w:val="20"/>
          <w:szCs w:val="20"/>
          <w:color w:val="auto"/>
        </w:rPr>
      </w:pPr>
      <w:r>
        <w:rPr>
          <w:rFonts w:ascii="Arial" w:cs="Arial" w:eastAsia="Arial" w:hAnsi="Arial"/>
          <w:sz w:val="18"/>
          <w:szCs w:val="18"/>
          <w:color w:val="auto"/>
        </w:rPr>
        <w:t>The Company has reserved for future issuance the following shares of common stock related to the potential exercise of Pre-Funded Warrants, exercise of stock options, and the employee stock purchase plan: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120" w:type="dxa"/>
            <w:vAlign w:val="bottom"/>
            <w:tcBorders>
              <w:bottom w:val="single" w:sz="8" w:color="CFF0FC"/>
            </w:tcBorders>
          </w:tcPr>
          <w:p>
            <w:pPr>
              <w:spacing w:after="0"/>
              <w:rPr>
                <w:sz w:val="14"/>
                <w:szCs w:val="14"/>
                <w:color w:val="auto"/>
              </w:rPr>
            </w:pPr>
          </w:p>
        </w:tc>
        <w:tc>
          <w:tcPr>
            <w:tcW w:w="2860" w:type="dxa"/>
            <w:vAlign w:val="bottom"/>
            <w:tcBorders>
              <w:bottom w:val="single" w:sz="8" w:color="auto"/>
            </w:tcBorders>
          </w:tcPr>
          <w:p>
            <w:pPr>
              <w:jc w:val="right"/>
              <w:ind w:right="814"/>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Common stock issuable under pre-funded warrants</w:t>
            </w:r>
          </w:p>
        </w:tc>
        <w:tc>
          <w:tcPr>
            <w:tcW w:w="28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2,548,117</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Options exercisable to purchase common stock</w:t>
            </w:r>
          </w:p>
        </w:tc>
        <w:tc>
          <w:tcPr>
            <w:tcW w:w="2860" w:type="dxa"/>
            <w:vAlign w:val="bottom"/>
          </w:tcPr>
          <w:p>
            <w:pPr>
              <w:jc w:val="right"/>
              <w:ind w:right="34"/>
              <w:spacing w:after="0"/>
              <w:rPr>
                <w:sz w:val="20"/>
                <w:szCs w:val="20"/>
                <w:color w:val="auto"/>
              </w:rPr>
            </w:pPr>
            <w:r>
              <w:rPr>
                <w:rFonts w:ascii="Arial" w:cs="Arial" w:eastAsia="Arial" w:hAnsi="Arial"/>
                <w:sz w:val="18"/>
                <w:szCs w:val="18"/>
                <w:color w:val="auto"/>
              </w:rPr>
              <w:t>1,866,393</w:t>
            </w:r>
          </w:p>
        </w:tc>
        <w:tc>
          <w:tcPr>
            <w:tcW w:w="0" w:type="dxa"/>
            <w:vAlign w:val="bottom"/>
          </w:tcPr>
          <w:p>
            <w:pPr>
              <w:spacing w:after="0"/>
              <w:rPr>
                <w:sz w:val="1"/>
                <w:szCs w:val="1"/>
                <w:color w:val="auto"/>
              </w:rPr>
            </w:pPr>
          </w:p>
        </w:tc>
      </w:tr>
      <w:tr>
        <w:trPr>
          <w:trHeight w:val="229"/>
        </w:trPr>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12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28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60" w:type="dxa"/>
            <w:vAlign w:val="bottom"/>
          </w:tcPr>
          <w:p>
            <w:pPr>
              <w:spacing w:after="0"/>
              <w:rPr>
                <w:sz w:val="19"/>
                <w:szCs w:val="19"/>
                <w:color w:val="auto"/>
              </w:rPr>
            </w:pPr>
          </w:p>
        </w:tc>
        <w:tc>
          <w:tcPr>
            <w:tcW w:w="6900" w:type="dxa"/>
            <w:vAlign w:val="bottom"/>
            <w:gridSpan w:val="2"/>
          </w:tcPr>
          <w:p>
            <w:pPr>
              <w:ind w:left="780"/>
              <w:spacing w:after="0"/>
              <w:rPr>
                <w:sz w:val="20"/>
                <w:szCs w:val="20"/>
                <w:color w:val="auto"/>
              </w:rPr>
            </w:pPr>
            <w:r>
              <w:rPr>
                <w:rFonts w:ascii="Arial" w:cs="Arial" w:eastAsia="Arial" w:hAnsi="Arial"/>
                <w:sz w:val="18"/>
                <w:szCs w:val="18"/>
                <w:color w:val="auto"/>
              </w:rPr>
              <w:t>Total</w:t>
            </w:r>
          </w:p>
        </w:tc>
        <w:tc>
          <w:tcPr>
            <w:tcW w:w="28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4,414,510</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0"/>
              </w:rPr>
              <w:t>(8)</w:t>
            </w:r>
          </w:p>
        </w:tc>
        <w:tc>
          <w:tcPr>
            <w:tcW w:w="6900" w:type="dxa"/>
            <w:vAlign w:val="bottom"/>
            <w:gridSpan w:val="2"/>
            <w:vMerge w:val="restart"/>
          </w:tcPr>
          <w:p>
            <w:pPr>
              <w:ind w:left="140"/>
              <w:spacing w:after="0" w:line="207" w:lineRule="exact"/>
              <w:rPr>
                <w:sz w:val="20"/>
                <w:szCs w:val="20"/>
                <w:color w:val="auto"/>
              </w:rPr>
            </w:pPr>
            <w:r>
              <w:rPr>
                <w:rFonts w:ascii="Arial" w:cs="Arial" w:eastAsia="Arial" w:hAnsi="Arial"/>
                <w:sz w:val="18"/>
                <w:szCs w:val="18"/>
                <w:b w:val="1"/>
                <w:bCs w:val="1"/>
                <w:color w:val="auto"/>
              </w:rPr>
              <w:t>Equity</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 and Equity Incentive Plans</w:t>
            </w:r>
          </w:p>
        </w:tc>
        <w:tc>
          <w:tcPr>
            <w:tcW w:w="2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7"/>
        </w:trPr>
        <w:tc>
          <w:tcPr>
            <w:tcW w:w="360" w:type="dxa"/>
            <w:vAlign w:val="bottom"/>
            <w:vMerge w:val="continue"/>
          </w:tcPr>
          <w:p>
            <w:pPr>
              <w:spacing w:after="0"/>
              <w:rPr>
                <w:sz w:val="24"/>
                <w:szCs w:val="24"/>
                <w:color w:val="auto"/>
              </w:rPr>
            </w:pPr>
          </w:p>
        </w:tc>
        <w:tc>
          <w:tcPr>
            <w:tcW w:w="6900" w:type="dxa"/>
            <w:vAlign w:val="bottom"/>
            <w:gridSpan w:val="2"/>
            <w:vMerge w:val="continue"/>
          </w:tcPr>
          <w:p>
            <w:pPr>
              <w:spacing w:after="0"/>
              <w:rPr>
                <w:sz w:val="24"/>
                <w:szCs w:val="24"/>
                <w:color w:val="auto"/>
              </w:rPr>
            </w:pPr>
          </w:p>
        </w:tc>
        <w:tc>
          <w:tcPr>
            <w:tcW w:w="2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Plans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currently has three active equity plans.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Pursuant to the evergreen provision of the 2015 Equity Incentive Award Plan (the 2015 Plan), which allows for an annual increase in the number of shares of common stock available for issuance, the Company added 1,909,163 shares to the 2015 Plan on January 1, 2021.</w:t>
      </w:r>
    </w:p>
    <w:p>
      <w:pPr>
        <w:spacing w:after="0" w:line="170"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Pursuant to the evergreen provision of the 2015 Employee Stock Purchase Plan (ESPP), which allows for an annual increase in the number of shares of common stock available for issuance, the Company added 381,832 shares to the ESPP on January 1, 2021. There were 23,592 options exercised to purchase shares of common stock under the ESPP during the three months ended September 30, 2021 and 42,653 options were exercised during the nine months ended September 30, 2021.</w:t>
      </w:r>
    </w:p>
    <w:p>
      <w:pPr>
        <w:spacing w:after="0" w:line="187"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As of September 30, 2021, there were an aggregate of 1,642,944 shares available for future grant under the 2017 Stock Incentive Plan (the 2017 Plan) and the 2015 Plan, and 684,841 shares available for future grant under the ESPP.</w:t>
      </w:r>
    </w:p>
    <w:p>
      <w:pPr>
        <w:spacing w:after="0" w:line="170"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 xml:space="preserve">For a full description of the Company’s equity plans, refer to Note 9, </w:t>
      </w:r>
      <w:r>
        <w:rPr>
          <w:rFonts w:ascii="Arial" w:cs="Arial" w:eastAsia="Arial" w:hAnsi="Arial"/>
          <w:sz w:val="18"/>
          <w:szCs w:val="18"/>
          <w:i w:val="1"/>
          <w:iCs w:val="1"/>
          <w:color w:val="auto"/>
        </w:rPr>
        <w:t>Equity-based Compensation and Equity Incentive Plans</w:t>
      </w:r>
      <w:r>
        <w:rPr>
          <w:rFonts w:ascii="Arial" w:cs="Arial" w:eastAsia="Arial" w:hAnsi="Arial"/>
          <w:sz w:val="18"/>
          <w:szCs w:val="18"/>
          <w:color w:val="auto"/>
        </w:rPr>
        <w:t xml:space="preserve"> in the Company’s 2020 Annual Report.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stock option activity during the nine months ended September 30, 2021.</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52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Stock options outstanding</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5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5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Weighted</w:t>
            </w: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remaining</w:t>
            </w:r>
          </w:p>
        </w:tc>
        <w:tc>
          <w:tcPr>
            <w:tcW w:w="14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Aggregate</w:t>
            </w:r>
          </w:p>
        </w:tc>
      </w:tr>
      <w:tr>
        <w:trPr>
          <w:trHeight w:val="186"/>
        </w:trPr>
        <w:tc>
          <w:tcPr>
            <w:tcW w:w="5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intrinsic</w:t>
            </w:r>
          </w:p>
        </w:tc>
      </w:tr>
      <w:tr>
        <w:trPr>
          <w:trHeight w:val="219"/>
        </w:trPr>
        <w:tc>
          <w:tcPr>
            <w:tcW w:w="5240" w:type="dxa"/>
            <w:vAlign w:val="bottom"/>
          </w:tcPr>
          <w:p>
            <w:pPr>
              <w:spacing w:after="0"/>
              <w:rPr>
                <w:sz w:val="19"/>
                <w:szCs w:val="19"/>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exercise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(a)</w:t>
            </w:r>
          </w:p>
        </w:tc>
      </w:tr>
      <w:tr>
        <w:trPr>
          <w:trHeight w:val="171"/>
        </w:trPr>
        <w:tc>
          <w:tcPr>
            <w:tcW w:w="5240" w:type="dxa"/>
            <w:vAlign w:val="bottom"/>
          </w:tcPr>
          <w:p>
            <w:pPr>
              <w:spacing w:after="0"/>
              <w:rPr>
                <w:sz w:val="14"/>
                <w:szCs w:val="14"/>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price</w:t>
            </w: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years)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(in thousands)</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2020</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3,343,836</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top w:val="single" w:sz="8" w:color="CFF0FC"/>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Granted</w:t>
            </w:r>
          </w:p>
        </w:tc>
        <w:tc>
          <w:tcPr>
            <w:tcW w:w="1000" w:type="dxa"/>
            <w:vAlign w:val="bottom"/>
          </w:tcPr>
          <w:p>
            <w:pPr>
              <w:jc w:val="right"/>
              <w:spacing w:after="0"/>
              <w:rPr>
                <w:sz w:val="20"/>
                <w:szCs w:val="20"/>
                <w:color w:val="auto"/>
              </w:rPr>
            </w:pPr>
            <w:r>
              <w:rPr>
                <w:rFonts w:ascii="Arial" w:cs="Arial" w:eastAsia="Arial" w:hAnsi="Arial"/>
                <w:sz w:val="18"/>
                <w:szCs w:val="18"/>
                <w:color w:val="auto"/>
              </w:rPr>
              <w:t>2,009,796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3.46</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1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(135,684)</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Cancelled/Forfeited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(680,330)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4.41</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September 30, 2021</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4,537,618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Vested or expected to vest at September 30, 2021</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4,537,618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5.23</w:t>
            </w: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Exercisable at September 30, 2021</w:t>
            </w:r>
          </w:p>
        </w:tc>
        <w:tc>
          <w:tcPr>
            <w:tcW w:w="1000" w:type="dxa"/>
            <w:vAlign w:val="bottom"/>
          </w:tcPr>
          <w:p>
            <w:pPr>
              <w:jc w:val="right"/>
              <w:spacing w:after="0"/>
              <w:rPr>
                <w:sz w:val="20"/>
                <w:szCs w:val="20"/>
                <w:color w:val="auto"/>
              </w:rPr>
            </w:pPr>
            <w:r>
              <w:rPr>
                <w:rFonts w:ascii="Arial" w:cs="Arial" w:eastAsia="Arial" w:hAnsi="Arial"/>
                <w:sz w:val="18"/>
                <w:szCs w:val="18"/>
                <w:color w:val="auto"/>
              </w:rPr>
              <w:t>1,866,393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7.70</w:t>
            </w: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554</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jc w:val="both"/>
        <w:ind w:left="500" w:right="12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aggregate intrinsic value is calculated as the difference between the exercise price of the options and the fair market value of the underlying common stock for the options that were in the money at September 30, 2021 and December 31, 2020. 1,399,443 and 970,826 options were in the money at September 30, 2021 and December 31, 2020, respectively.</w:t>
      </w:r>
    </w:p>
    <w:p>
      <w:pPr>
        <w:spacing w:after="0" w:line="184"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As of September 30, 2021, there was $6.0 million of unrecognized share-based compensation related to unvested stock option grants which is expected to be recognized over a weighted average period of 2.7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Common Stock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shows restricted stock activity during the nine months ended September 30, 2021:</w:t>
      </w:r>
    </w:p>
    <w:p>
      <w:pPr>
        <w:spacing w:after="0" w:line="298"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3160" w:type="dxa"/>
            <w:vAlign w:val="bottom"/>
            <w:gridSpan w:val="5"/>
          </w:tcPr>
          <w:p>
            <w:pPr>
              <w:ind w:left="780"/>
              <w:spacing w:after="0"/>
              <w:rPr>
                <w:sz w:val="20"/>
                <w:szCs w:val="20"/>
                <w:color w:val="auto"/>
              </w:rPr>
            </w:pPr>
            <w:r>
              <w:rPr>
                <w:rFonts w:ascii="Arial" w:cs="Arial" w:eastAsia="Arial" w:hAnsi="Arial"/>
                <w:sz w:val="14"/>
                <w:szCs w:val="14"/>
                <w:b w:val="1"/>
                <w:bCs w:val="1"/>
                <w:color w:val="auto"/>
              </w:rPr>
              <w:t>Restricted stock awards</w:t>
            </w:r>
          </w:p>
        </w:tc>
      </w:tr>
      <w:tr>
        <w:trPr>
          <w:trHeight w:val="133"/>
        </w:trPr>
        <w:tc>
          <w:tcPr>
            <w:tcW w:w="6940" w:type="dxa"/>
            <w:vAlign w:val="bottom"/>
          </w:tcPr>
          <w:p>
            <w:pPr>
              <w:spacing w:after="0"/>
              <w:rPr>
                <w:sz w:val="11"/>
                <w:szCs w:val="11"/>
                <w:color w:val="auto"/>
              </w:rPr>
            </w:pPr>
          </w:p>
        </w:tc>
        <w:tc>
          <w:tcPr>
            <w:tcW w:w="13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jc w:val="center"/>
              <w:ind w:right="139"/>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r>
      <w:tr>
        <w:trPr>
          <w:trHeight w:val="148"/>
        </w:trPr>
        <w:tc>
          <w:tcPr>
            <w:tcW w:w="69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r>
      <w:tr>
        <w:trPr>
          <w:trHeight w:val="162"/>
        </w:trPr>
        <w:tc>
          <w:tcPr>
            <w:tcW w:w="69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grant date</w:t>
            </w:r>
          </w:p>
        </w:tc>
      </w:tr>
      <w:tr>
        <w:trPr>
          <w:trHeight w:val="162"/>
        </w:trPr>
        <w:tc>
          <w:tcPr>
            <w:tcW w:w="6940" w:type="dxa"/>
            <w:vAlign w:val="bottom"/>
          </w:tcPr>
          <w:p>
            <w:pPr>
              <w:spacing w:after="0"/>
              <w:rPr>
                <w:sz w:val="14"/>
                <w:szCs w:val="14"/>
                <w:color w:val="auto"/>
              </w:rPr>
            </w:pPr>
          </w:p>
        </w:tc>
        <w:tc>
          <w:tcPr>
            <w:tcW w:w="16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fair value</w:t>
            </w:r>
          </w:p>
        </w:tc>
      </w:tr>
      <w:tr>
        <w:trPr>
          <w:trHeight w:val="171"/>
        </w:trPr>
        <w:tc>
          <w:tcPr>
            <w:tcW w:w="6940" w:type="dxa"/>
            <w:vAlign w:val="bottom"/>
          </w:tcPr>
          <w:p>
            <w:pPr>
              <w:spacing w:after="0"/>
              <w:rPr>
                <w:sz w:val="14"/>
                <w:szCs w:val="14"/>
                <w:color w:val="auto"/>
              </w:rPr>
            </w:pPr>
          </w:p>
        </w:tc>
        <w:tc>
          <w:tcPr>
            <w:tcW w:w="16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(per share)</w:t>
            </w:r>
          </w:p>
        </w:tc>
      </w:tr>
      <w:tr>
        <w:trPr>
          <w:trHeight w:val="223"/>
        </w:trPr>
        <w:tc>
          <w:tcPr>
            <w:tcW w:w="6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December 31, 2020</w:t>
            </w: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478,207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242,454</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w:t>
            </w:r>
          </w:p>
        </w:tc>
        <w:tc>
          <w:tcPr>
            <w:tcW w:w="100" w:type="dxa"/>
            <w:vAlign w:val="bottom"/>
          </w:tcPr>
          <w:p>
            <w:pPr>
              <w:spacing w:after="0"/>
              <w:rPr>
                <w:sz w:val="19"/>
                <w:szCs w:val="19"/>
                <w:color w:val="auto"/>
              </w:rPr>
            </w:pPr>
          </w:p>
        </w:tc>
      </w:tr>
      <w:tr>
        <w:trPr>
          <w:trHeight w:val="230"/>
        </w:trPr>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(343,619)</w:t>
            </w:r>
          </w:p>
        </w:tc>
        <w:tc>
          <w:tcPr>
            <w:tcW w:w="22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FF0FC"/>
          </w:tcPr>
          <w:p>
            <w:pPr>
              <w:spacing w:after="0"/>
              <w:rPr>
                <w:sz w:val="19"/>
                <w:szCs w:val="19"/>
                <w:color w:val="auto"/>
              </w:rPr>
            </w:pP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Forfeited</w:t>
            </w:r>
          </w:p>
        </w:tc>
        <w:tc>
          <w:tcPr>
            <w:tcW w:w="1640" w:type="dxa"/>
            <w:vAlign w:val="bottom"/>
            <w:gridSpan w:val="2"/>
          </w:tcPr>
          <w:p>
            <w:pPr>
              <w:jc w:val="right"/>
              <w:ind w:right="200"/>
              <w:spacing w:after="0"/>
              <w:rPr>
                <w:sz w:val="20"/>
                <w:szCs w:val="20"/>
                <w:color w:val="auto"/>
              </w:rPr>
            </w:pPr>
            <w:r>
              <w:rPr>
                <w:rFonts w:ascii="Arial" w:cs="Arial" w:eastAsia="Arial" w:hAnsi="Arial"/>
                <w:sz w:val="18"/>
                <w:szCs w:val="18"/>
                <w:color w:val="auto"/>
              </w:rPr>
              <w:t>(65,009)</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2.85</w:t>
            </w:r>
          </w:p>
        </w:tc>
        <w:tc>
          <w:tcPr>
            <w:tcW w:w="100" w:type="dxa"/>
            <w:vAlign w:val="bottom"/>
          </w:tcPr>
          <w:p>
            <w:pPr>
              <w:spacing w:after="0"/>
              <w:rPr>
                <w:sz w:val="19"/>
                <w:szCs w:val="19"/>
                <w:color w:val="auto"/>
              </w:rPr>
            </w:pPr>
          </w:p>
        </w:tc>
      </w:tr>
      <w:tr>
        <w:trPr>
          <w:trHeight w:val="223"/>
        </w:trPr>
        <w:tc>
          <w:tcPr>
            <w:tcW w:w="69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at September 30, 2021</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312,033</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As of September 30, 2021, there was approximately $0.8 million of unrecognized share-based compensation related to restricted stock awards granted, which is expected to be recognized over a weighted average period of 3.3 years. The total unrecognized share-based compensation cost will be adjusted for actual forfeitures as they occur.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jc w:val="both"/>
        <w:ind w:right="20" w:firstLine="510"/>
        <w:spacing w:after="0" w:line="286" w:lineRule="auto"/>
        <w:rPr>
          <w:sz w:val="20"/>
          <w:szCs w:val="20"/>
          <w:color w:val="auto"/>
        </w:rPr>
      </w:pPr>
      <w:r>
        <w:rPr>
          <w:rFonts w:ascii="Arial" w:cs="Arial" w:eastAsia="Arial" w:hAnsi="Arial"/>
          <w:sz w:val="17"/>
          <w:szCs w:val="17"/>
          <w:color w:val="auto"/>
        </w:rPr>
        <w:t>The ESPP is considered a compensatory plan with the related compensation cost expensed over the six-month offering periods. The compensation cost for the three and nine months ended September 30, 2021 was $14,000 and $34,000, respectively. The compensation expense related to the ESPP for the three and nine months ended September 30, 2020 was $6,000 and $18,000, respectively.</w:t>
      </w:r>
    </w:p>
    <w:p>
      <w:pPr>
        <w:spacing w:after="0" w:line="16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692" w:right="5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440" w:firstLine="510"/>
        <w:spacing w:after="0" w:line="263" w:lineRule="auto"/>
        <w:rPr>
          <w:sz w:val="20"/>
          <w:szCs w:val="20"/>
          <w:color w:val="auto"/>
        </w:rPr>
      </w:pPr>
      <w:r>
        <w:rPr>
          <w:rFonts w:ascii="Arial" w:cs="Arial" w:eastAsia="Arial" w:hAnsi="Arial"/>
          <w:sz w:val="18"/>
          <w:szCs w:val="18"/>
          <w:color w:val="auto"/>
        </w:rPr>
        <w:t>The Company has recorded total equity-based compensation expense of approximately $0.8 million and $2.6 million during the three and nine months ended September 30, 2021, respectively, and $0.9 million and $3.1 million during the three and nine months ended September 30, 2020, respectively.</w:t>
      </w:r>
    </w:p>
    <w:p>
      <w:pPr>
        <w:spacing w:after="0" w:line="184" w:lineRule="exact"/>
        <w:rPr>
          <w:sz w:val="20"/>
          <w:szCs w:val="20"/>
          <w:color w:val="auto"/>
        </w:rPr>
      </w:pPr>
    </w:p>
    <w:p>
      <w:pPr>
        <w:ind w:right="10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within the Company’s consolidated statements of operations and comprehensive loss for the three and nine months ended September 30, 2021 and 2020 (in thousands):</w:t>
      </w:r>
    </w:p>
    <w:p>
      <w:pPr>
        <w:spacing w:after="0" w:line="30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2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4"/>
                <w:szCs w:val="14"/>
                <w:b w:val="1"/>
                <w:bCs w:val="1"/>
                <w:color w:val="auto"/>
              </w:rPr>
              <w:t>Three Months Ended September 30,</w:t>
            </w:r>
          </w:p>
        </w:tc>
        <w:tc>
          <w:tcPr>
            <w:tcW w:w="38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7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2560" w:type="dxa"/>
            <w:vAlign w:val="bottom"/>
            <w:tcBorders>
              <w:bottom w:val="single" w:sz="8" w:color="CFF0FC"/>
            </w:tcBorders>
          </w:tcPr>
          <w:p>
            <w:pPr>
              <w:spacing w:after="0"/>
              <w:rPr>
                <w:sz w:val="13"/>
                <w:szCs w:val="13"/>
                <w:color w:val="auto"/>
              </w:rPr>
            </w:pPr>
          </w:p>
        </w:tc>
        <w:tc>
          <w:tcPr>
            <w:tcW w:w="6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59"/>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1060" w:type="dxa"/>
            <w:vAlign w:val="bottom"/>
            <w:tcBorders>
              <w:bottom w:val="single" w:sz="8" w:color="auto"/>
            </w:tcBorders>
          </w:tcPr>
          <w:p>
            <w:pPr>
              <w:jc w:val="right"/>
              <w:ind w:right="127"/>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520" w:type="dxa"/>
            <w:vAlign w:val="bottom"/>
            <w:tcBorders>
              <w:bottom w:val="single" w:sz="8" w:color="CFF0FC"/>
            </w:tcBorders>
          </w:tcPr>
          <w:p>
            <w:pPr>
              <w:spacing w:after="0"/>
              <w:rPr>
                <w:sz w:val="13"/>
                <w:szCs w:val="13"/>
                <w:color w:val="auto"/>
              </w:rPr>
            </w:pPr>
          </w:p>
        </w:tc>
        <w:tc>
          <w:tcPr>
            <w:tcW w:w="9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ind w:right="36"/>
              <w:spacing w:after="0" w:line="155" w:lineRule="exact"/>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r>
      <w:tr>
        <w:trPr>
          <w:trHeight w:val="223"/>
        </w:trPr>
        <w:tc>
          <w:tcPr>
            <w:tcW w:w="256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w:t>
            </w: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520" w:type="dxa"/>
            <w:vAlign w:val="bottom"/>
            <w:shd w:val="clear" w:color="auto" w:fill="CFF0FC"/>
          </w:tcPr>
          <w:p>
            <w:pPr>
              <w:spacing w:after="0"/>
              <w:rPr>
                <w:sz w:val="19"/>
                <w:szCs w:val="19"/>
                <w:color w:val="auto"/>
              </w:rPr>
            </w:pPr>
          </w:p>
        </w:tc>
        <w:tc>
          <w:tcPr>
            <w:tcW w:w="940" w:type="dxa"/>
            <w:vAlign w:val="bottom"/>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1,093</w:t>
            </w: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1,349</w:t>
            </w:r>
          </w:p>
        </w:tc>
        <w:tc>
          <w:tcPr>
            <w:tcW w:w="120" w:type="dxa"/>
            <w:vAlign w:val="bottom"/>
            <w:shd w:val="clear" w:color="auto" w:fill="CFF0FC"/>
          </w:tcPr>
          <w:p>
            <w:pPr>
              <w:spacing w:after="0"/>
              <w:rPr>
                <w:sz w:val="19"/>
                <w:szCs w:val="19"/>
                <w:color w:val="auto"/>
              </w:rPr>
            </w:pPr>
          </w:p>
        </w:tc>
      </w:tr>
      <w:tr>
        <w:trPr>
          <w:trHeight w:val="229"/>
        </w:trPr>
        <w:tc>
          <w:tcPr>
            <w:tcW w:w="25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52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1,468</w:t>
            </w:r>
          </w:p>
        </w:tc>
        <w:tc>
          <w:tcPr>
            <w:tcW w:w="24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1,756</w:t>
            </w:r>
          </w:p>
        </w:tc>
        <w:tc>
          <w:tcPr>
            <w:tcW w:w="120" w:type="dxa"/>
            <w:vAlign w:val="bottom"/>
            <w:tcBorders>
              <w:bottom w:val="single" w:sz="8" w:color="CFF0FC"/>
            </w:tcBorders>
          </w:tcPr>
          <w:p>
            <w:pPr>
              <w:spacing w:after="0"/>
              <w:rPr>
                <w:sz w:val="19"/>
                <w:szCs w:val="19"/>
                <w:color w:val="auto"/>
              </w:rPr>
            </w:pPr>
          </w:p>
        </w:tc>
      </w:tr>
      <w:tr>
        <w:trPr>
          <w:trHeight w:val="223"/>
        </w:trPr>
        <w:tc>
          <w:tcPr>
            <w:tcW w:w="256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5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5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w:t>
            </w:r>
          </w:p>
        </w:tc>
        <w:tc>
          <w:tcPr>
            <w:tcW w:w="2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16"/>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3,105</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25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firstLine="510"/>
        <w:spacing w:after="0" w:line="223" w:lineRule="exact"/>
        <w:rPr>
          <w:sz w:val="20"/>
          <w:szCs w:val="20"/>
          <w:color w:val="auto"/>
        </w:rPr>
      </w:pPr>
      <w:r>
        <w:rPr>
          <w:rFonts w:ascii="Arial" w:cs="Arial" w:eastAsia="Arial" w:hAnsi="Arial"/>
          <w:sz w:val="18"/>
          <w:szCs w:val="18"/>
          <w:color w:val="auto"/>
        </w:rPr>
        <w:t>The following table summarizes equity</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by type of award for the three and nine months ended September 30, 2021 and 2020 (in thousands):</w:t>
      </w:r>
    </w:p>
    <w:p>
      <w:pPr>
        <w:spacing w:after="0" w:line="276"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8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20" w:type="dxa"/>
            <w:vAlign w:val="bottom"/>
            <w:gridSpan w:val="6"/>
          </w:tcPr>
          <w:p>
            <w:pPr>
              <w:ind w:left="220"/>
              <w:spacing w:after="0"/>
              <w:rPr>
                <w:sz w:val="20"/>
                <w:szCs w:val="20"/>
                <w:color w:val="auto"/>
              </w:rPr>
            </w:pPr>
            <w:r>
              <w:rPr>
                <w:rFonts w:ascii="Arial" w:cs="Arial" w:eastAsia="Arial" w:hAnsi="Arial"/>
                <w:sz w:val="14"/>
                <w:szCs w:val="14"/>
                <w:b w:val="1"/>
                <w:bCs w:val="1"/>
                <w:color w:val="auto"/>
              </w:rPr>
              <w:t>Nine Months Ended September 30,</w:t>
            </w:r>
          </w:p>
        </w:tc>
      </w:tr>
      <w:tr>
        <w:trPr>
          <w:trHeight w:val="156"/>
        </w:trPr>
        <w:tc>
          <w:tcPr>
            <w:tcW w:w="3100" w:type="dxa"/>
            <w:vAlign w:val="bottom"/>
          </w:tcPr>
          <w:p>
            <w:pPr>
              <w:spacing w:after="0"/>
              <w:rPr>
                <w:sz w:val="13"/>
                <w:szCs w:val="13"/>
                <w:color w:val="auto"/>
              </w:rPr>
            </w:pPr>
          </w:p>
        </w:tc>
        <w:tc>
          <w:tcPr>
            <w:tcW w:w="104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516"/>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3"/>
                <w:szCs w:val="13"/>
                <w:color w:val="auto"/>
              </w:rPr>
            </w:pPr>
          </w:p>
        </w:tc>
      </w:tr>
      <w:tr>
        <w:trPr>
          <w:trHeight w:val="223"/>
        </w:trPr>
        <w:tc>
          <w:tcPr>
            <w:tcW w:w="3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 options</w:t>
            </w: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744</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764</w:t>
            </w:r>
          </w:p>
        </w:tc>
        <w:tc>
          <w:tcPr>
            <w:tcW w:w="4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2,243</w:t>
            </w:r>
          </w:p>
        </w:tc>
        <w:tc>
          <w:tcPr>
            <w:tcW w:w="2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Restricted stock awards</w:t>
            </w:r>
          </w:p>
        </w:tc>
        <w:tc>
          <w:tcPr>
            <w:tcW w:w="10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165</w:t>
            </w: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284</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9"/>
                <w:szCs w:val="19"/>
                <w:color w:val="auto"/>
              </w:rPr>
            </w:pPr>
          </w:p>
        </w:tc>
      </w:tr>
      <w:tr>
        <w:trPr>
          <w:trHeight w:val="229"/>
        </w:trPr>
        <w:tc>
          <w:tcPr>
            <w:tcW w:w="3100" w:type="dxa"/>
            <w:vAlign w:val="bottom"/>
            <w:shd w:val="clear" w:color="auto" w:fill="CFF0FC"/>
          </w:tcPr>
          <w:p>
            <w:pPr>
              <w:spacing w:after="0"/>
              <w:rPr>
                <w:sz w:val="20"/>
                <w:szCs w:val="20"/>
                <w:color w:val="auto"/>
              </w:rPr>
            </w:pPr>
            <w:r>
              <w:rPr>
                <w:rFonts w:ascii="Arial" w:cs="Arial" w:eastAsia="Arial" w:hAnsi="Arial"/>
                <w:sz w:val="18"/>
                <w:szCs w:val="18"/>
                <w:color w:val="auto"/>
              </w:rPr>
              <w:t>Employee stock purchase plan</w:t>
            </w:r>
          </w:p>
        </w:tc>
        <w:tc>
          <w:tcPr>
            <w:tcW w:w="104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60" w:type="dxa"/>
            <w:vAlign w:val="bottom"/>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3"/>
        </w:trPr>
        <w:tc>
          <w:tcPr>
            <w:tcW w:w="3100" w:type="dxa"/>
            <w:vAlign w:val="bottom"/>
          </w:tcPr>
          <w:p>
            <w:pPr>
              <w:spacing w:after="0"/>
              <w:rPr>
                <w:sz w:val="19"/>
                <w:szCs w:val="19"/>
                <w:color w:val="auto"/>
              </w:rPr>
            </w:pPr>
          </w:p>
        </w:tc>
        <w:tc>
          <w:tcPr>
            <w:tcW w:w="1040" w:type="dxa"/>
            <w:vAlign w:val="bottom"/>
            <w:tcBorders>
              <w:bottom w:val="single" w:sz="8" w:color="auto"/>
            </w:tcBorders>
          </w:tcPr>
          <w:p>
            <w:pPr>
              <w:jc w:val="right"/>
              <w:ind w:right="859"/>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w:t>
            </w:r>
          </w:p>
        </w:tc>
        <w:tc>
          <w:tcPr>
            <w:tcW w:w="26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3,105</w:t>
            </w:r>
          </w:p>
        </w:tc>
        <w:tc>
          <w:tcPr>
            <w:tcW w:w="100" w:type="dxa"/>
            <w:vAlign w:val="bottom"/>
          </w:tcPr>
          <w:p>
            <w:pPr>
              <w:spacing w:after="0"/>
              <w:rPr>
                <w:sz w:val="19"/>
                <w:szCs w:val="19"/>
                <w:color w:val="auto"/>
              </w:rPr>
            </w:pPr>
          </w:p>
        </w:tc>
      </w:tr>
      <w:tr>
        <w:trPr>
          <w:trHeight w:val="20"/>
        </w:trPr>
        <w:tc>
          <w:tcPr>
            <w:tcW w:w="3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Collaboration Agreements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Roche Collaboration</w:t>
      </w:r>
    </w:p>
    <w:p>
      <w:pPr>
        <w:spacing w:after="0" w:line="225" w:lineRule="exact"/>
        <w:rPr>
          <w:sz w:val="20"/>
          <w:szCs w:val="20"/>
          <w:color w:val="auto"/>
        </w:rPr>
      </w:pPr>
    </w:p>
    <w:p>
      <w:pPr>
        <w:jc w:val="both"/>
        <w:ind w:right="180" w:firstLine="749"/>
        <w:spacing w:after="0" w:line="279" w:lineRule="auto"/>
        <w:rPr>
          <w:sz w:val="20"/>
          <w:szCs w:val="20"/>
          <w:color w:val="auto"/>
        </w:rPr>
      </w:pPr>
      <w:r>
        <w:rPr>
          <w:rFonts w:ascii="Arial" w:cs="Arial" w:eastAsia="Arial" w:hAnsi="Arial"/>
          <w:sz w:val="17"/>
          <w:szCs w:val="17"/>
          <w:color w:val="auto"/>
        </w:rPr>
        <w:t>In June 2021, the Company entered into a Pilot Collaboration and Option Agreement (the Roche Collaboration and Option Agreement) with F. Hoffmann-La Roche Ltd (Roche Basel) and Hoffmann-La Roche Inc. (Roche US, and together with Roche Basel, Roche). Under the terms of the Roche Collaboration and Option Agreement, the Company and Roche will seek to collaborate to research and pre-clinically develop Synthetic Biotic medicines for addressing an undisclosed novel target for the treatment of inflammatory bowel disease (the Product Candidate).</w:t>
      </w:r>
    </w:p>
    <w:p>
      <w:pPr>
        <w:spacing w:after="0" w:line="171" w:lineRule="exact"/>
        <w:rPr>
          <w:sz w:val="20"/>
          <w:szCs w:val="20"/>
          <w:color w:val="auto"/>
        </w:rPr>
      </w:pPr>
    </w:p>
    <w:p>
      <w:pPr>
        <w:ind w:right="20" w:firstLine="749"/>
        <w:spacing w:after="0" w:line="279" w:lineRule="auto"/>
        <w:rPr>
          <w:sz w:val="20"/>
          <w:szCs w:val="20"/>
          <w:color w:val="auto"/>
        </w:rPr>
      </w:pPr>
      <w:r>
        <w:rPr>
          <w:rFonts w:ascii="Arial" w:cs="Arial" w:eastAsia="Arial" w:hAnsi="Arial"/>
          <w:sz w:val="17"/>
          <w:szCs w:val="17"/>
          <w:color w:val="auto"/>
        </w:rPr>
        <w:t>Pursuant to the Roche Collaboration and Option Agreement, Roche agreed to pay the Company, an upfront, nonrefundable technology access fee of $1.0 million, which the Company received in July 2021. In addition, the Company is eligible to receive up to $5.0 million in milestone payments upon the achievement of certain success criteria. Following the research period, Roche holds an exclusive option right (the Option) to negotiate a definitive Collaboration and License Agreement (CLA) for further development and commercialization of the Product Candidate.</w:t>
      </w:r>
    </w:p>
    <w:p>
      <w:pPr>
        <w:spacing w:after="0" w:line="171" w:lineRule="exact"/>
        <w:rPr>
          <w:sz w:val="20"/>
          <w:szCs w:val="20"/>
          <w:color w:val="auto"/>
        </w:rPr>
      </w:pPr>
    </w:p>
    <w:p>
      <w:pPr>
        <w:ind w:firstLine="749"/>
        <w:spacing w:after="0" w:line="301" w:lineRule="auto"/>
        <w:rPr>
          <w:sz w:val="20"/>
          <w:szCs w:val="20"/>
          <w:color w:val="auto"/>
        </w:rPr>
      </w:pPr>
      <w:r>
        <w:rPr>
          <w:rFonts w:ascii="Arial" w:cs="Arial" w:eastAsia="Arial" w:hAnsi="Arial"/>
          <w:sz w:val="16"/>
          <w:szCs w:val="16"/>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will establish a Joint Research Committee (JRC) to oversee and manage the execution of the underlying study plan for the Roche Collaboration and Option Agreement.</w:t>
      </w:r>
    </w:p>
    <w:p>
      <w:pPr>
        <w:spacing w:after="0" w:line="157" w:lineRule="exact"/>
        <w:rPr>
          <w:sz w:val="20"/>
          <w:szCs w:val="20"/>
          <w:color w:val="auto"/>
        </w:rPr>
      </w:pPr>
    </w:p>
    <w:p>
      <w:pPr>
        <w:ind w:right="300" w:firstLine="749"/>
        <w:spacing w:after="0" w:line="279" w:lineRule="auto"/>
        <w:rPr>
          <w:sz w:val="20"/>
          <w:szCs w:val="20"/>
          <w:color w:val="auto"/>
        </w:rPr>
      </w:pPr>
      <w:r>
        <w:rPr>
          <w:rFonts w:ascii="Arial" w:cs="Arial" w:eastAsia="Arial" w:hAnsi="Arial"/>
          <w:sz w:val="17"/>
          <w:szCs w:val="17"/>
          <w:color w:val="auto"/>
        </w:rPr>
        <w:t>The Roche Collaboration and Option Agreement includes various representations, warranties, covenants, indemnities, and other customary provisions. Roche may terminate the Roche Collaboration and Option Agreement without cause immediately upon written notice where certain success criteria have been met for parts of the study plan, or upon ninety (90) days’ prior written notice to the Company. Either party may terminate the Roche Collaboration and Option Agreement in the event of an uncured material breach of the other party.</w:t>
      </w:r>
    </w:p>
    <w:p>
      <w:pPr>
        <w:spacing w:after="0" w:line="171" w:lineRule="exact"/>
        <w:rPr>
          <w:sz w:val="20"/>
          <w:szCs w:val="20"/>
          <w:color w:val="auto"/>
        </w:rPr>
      </w:pPr>
    </w:p>
    <w:p>
      <w:pPr>
        <w:jc w:val="both"/>
        <w:ind w:right="240" w:firstLine="749"/>
        <w:spacing w:after="0" w:line="263" w:lineRule="auto"/>
        <w:rPr>
          <w:sz w:val="20"/>
          <w:szCs w:val="20"/>
          <w:color w:val="auto"/>
        </w:rPr>
      </w:pPr>
      <w:r>
        <w:rPr>
          <w:rFonts w:ascii="Arial" w:cs="Arial" w:eastAsia="Arial" w:hAnsi="Arial"/>
          <w:sz w:val="18"/>
          <w:szCs w:val="18"/>
          <w:color w:val="auto"/>
        </w:rPr>
        <w:t>The research and development will be performed by the Company for approximately 12 to 18 months according to three phases of research as defined in the research plan. The Company is eligible to receive milestone payments from Roche upon the achievement of success criteria for respective milestones.</w:t>
      </w:r>
    </w:p>
    <w:p>
      <w:pPr>
        <w:spacing w:after="0" w:line="184" w:lineRule="exact"/>
        <w:rPr>
          <w:sz w:val="20"/>
          <w:szCs w:val="20"/>
          <w:color w:val="auto"/>
        </w:rPr>
      </w:pPr>
    </w:p>
    <w:p>
      <w:pPr>
        <w:ind w:right="80" w:firstLine="749"/>
        <w:spacing w:after="0" w:line="277" w:lineRule="auto"/>
        <w:rPr>
          <w:sz w:val="20"/>
          <w:szCs w:val="20"/>
          <w:color w:val="auto"/>
        </w:rPr>
      </w:pPr>
      <w:r>
        <w:rPr>
          <w:rFonts w:ascii="Arial" w:cs="Arial" w:eastAsia="Arial" w:hAnsi="Arial"/>
          <w:sz w:val="18"/>
          <w:szCs w:val="18"/>
          <w:color w:val="auto"/>
        </w:rPr>
        <w:t xml:space="preserve">The Company assessed this arrangement in accordance with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concluded that the contract counterparty, Roche, is a customer. The Company identified the following material promises made by the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14" w:name="page15"/>
    <w:bookmarkEnd w:id="14"/>
    <w:p>
      <w:pPr>
        <w:spacing w:after="0" w:line="291" w:lineRule="auto"/>
        <w:rPr>
          <w:sz w:val="20"/>
          <w:szCs w:val="20"/>
          <w:color w:val="auto"/>
        </w:rPr>
      </w:pPr>
      <w:r>
        <w:rPr>
          <w:rFonts w:ascii="Arial" w:cs="Arial" w:eastAsia="Arial" w:hAnsi="Arial"/>
          <w:sz w:val="16"/>
          <w:szCs w:val="16"/>
          <w:color w:val="auto"/>
        </w:rPr>
        <w:t>Company to Roche at the outset of the arrangement: (1) a non-exclusive royalty-free research and development license; (2) research and development services for pre-clinical activities under the research plan; (3) implicit renewal options created by Roche’s decision not to terminate the contract; (4) the Company’s participation on the JRC; and (5) an exclusive right to negotiate a definitive CLA for further development and commercialization of the Product Candidate. The Company determined that the license and research and development activities were not distinct from one another, as the license has limited value without the performance of research and development activities. The Company’s participation on the JRC was determined to be quantitatively and qualitatively immaterial and therefore is excluded from performance obligations. As such, the Company determined that the promises associated with the license and research and development services should be combined into a single performance obligation.</w:t>
      </w:r>
    </w:p>
    <w:p>
      <w:pPr>
        <w:spacing w:after="0" w:line="166" w:lineRule="exact"/>
        <w:rPr>
          <w:sz w:val="20"/>
          <w:szCs w:val="20"/>
          <w:color w:val="auto"/>
        </w:rPr>
      </w:pPr>
    </w:p>
    <w:p>
      <w:pPr>
        <w:ind w:firstLine="749"/>
        <w:spacing w:after="0" w:line="257" w:lineRule="auto"/>
        <w:rPr>
          <w:sz w:val="20"/>
          <w:szCs w:val="20"/>
          <w:color w:val="auto"/>
        </w:rPr>
      </w:pPr>
      <w:r>
        <w:rPr>
          <w:rFonts w:ascii="Arial" w:cs="Arial" w:eastAsia="Arial" w:hAnsi="Arial"/>
          <w:sz w:val="18"/>
          <w:szCs w:val="18"/>
          <w:color w:val="auto"/>
        </w:rPr>
        <w:t>The Company next evaluated the milestone payments relating to the three phases of research as defined in the research plan and the option to negotiate and enter into the CLA, to determine whether they provide Roche with any material rights. The Company concluded that the option was not issued at a significant and incremental discount, and therefore do not provide material rights. As such, they were excluded as performance obligations at the outset of the arrangement. If Roche elects to exercise the options, the additional consideration will be added to the transaction price and allocated to the resulting performance obligations.</w:t>
      </w:r>
    </w:p>
    <w:p>
      <w:pPr>
        <w:spacing w:after="0" w:line="188" w:lineRule="exact"/>
        <w:rPr>
          <w:sz w:val="20"/>
          <w:szCs w:val="20"/>
          <w:color w:val="auto"/>
        </w:rPr>
      </w:pPr>
    </w:p>
    <w:p>
      <w:pPr>
        <w:jc w:val="both"/>
        <w:ind w:right="20" w:firstLine="749"/>
        <w:spacing w:after="0" w:line="277" w:lineRule="auto"/>
        <w:rPr>
          <w:sz w:val="20"/>
          <w:szCs w:val="20"/>
          <w:color w:val="auto"/>
        </w:rPr>
      </w:pPr>
      <w:r>
        <w:rPr>
          <w:rFonts w:ascii="Arial" w:cs="Arial" w:eastAsia="Arial" w:hAnsi="Arial"/>
          <w:sz w:val="18"/>
          <w:szCs w:val="18"/>
          <w:color w:val="auto"/>
        </w:rPr>
        <w:t>Based on these assessments, the Company identified one performance obligation at the outset of the Roche Collaboration and Option Agreement, which consists of: (1) the non-exclusive license and (2) the research and development activities.</w:t>
      </w:r>
    </w:p>
    <w:p>
      <w:pPr>
        <w:spacing w:after="0" w:line="170" w:lineRule="exact"/>
        <w:rPr>
          <w:sz w:val="20"/>
          <w:szCs w:val="20"/>
          <w:color w:val="auto"/>
        </w:rPr>
      </w:pPr>
    </w:p>
    <w:p>
      <w:pPr>
        <w:jc w:val="both"/>
        <w:ind w:right="20" w:firstLine="749"/>
        <w:spacing w:after="0" w:line="259" w:lineRule="auto"/>
        <w:rPr>
          <w:sz w:val="20"/>
          <w:szCs w:val="20"/>
          <w:color w:val="auto"/>
        </w:rPr>
      </w:pPr>
      <w:r>
        <w:rPr>
          <w:rFonts w:ascii="Arial" w:cs="Arial" w:eastAsia="Arial" w:hAnsi="Arial"/>
          <w:sz w:val="18"/>
          <w:szCs w:val="18"/>
          <w:color w:val="auto"/>
        </w:rPr>
        <w:t>At the outset of the arrangement, the transaction price included only the $1.0 million up-front consideration received and which was allocated to the single performance obligation. The milestone payments that may be received are excluded from the transaction price until each respective milestone has been achieved. The Company will reevaluate the transaction price at the end of each reporting period and as uncertain events are resolved or other changes in circumstances occur, and, if necessary, adjust its estimate of the transaction price.</w:t>
      </w:r>
    </w:p>
    <w:p>
      <w:pPr>
        <w:spacing w:after="0" w:line="187" w:lineRule="exact"/>
        <w:rPr>
          <w:sz w:val="20"/>
          <w:szCs w:val="20"/>
          <w:color w:val="auto"/>
        </w:rPr>
      </w:pPr>
    </w:p>
    <w:p>
      <w:pPr>
        <w:ind w:right="280" w:firstLine="749"/>
        <w:spacing w:after="0" w:line="272" w:lineRule="auto"/>
        <w:rPr>
          <w:sz w:val="20"/>
          <w:szCs w:val="20"/>
          <w:color w:val="auto"/>
        </w:rPr>
      </w:pPr>
      <w:r>
        <w:rPr>
          <w:rFonts w:ascii="Arial" w:cs="Arial" w:eastAsia="Arial" w:hAnsi="Arial"/>
          <w:sz w:val="17"/>
          <w:szCs w:val="17"/>
          <w:color w:val="auto"/>
        </w:rPr>
        <w:t>In June 2021, the Company began work on the research and development services for the first phase of the research plan and the $1.0 million upfront payment is being recognized over the time of the first phase of the research plan. In September 2021, the Company completed the research and development services for the first phase of the research plan and achieved a milestone payment of $1.0 million. The $1.0 million is included in accounts receivable as of September 30, 2021. At this time, the milestone payment was allocated to a new performance obligation consisting of the underlying research and development services to be performed over the second phase of the research plan. Upon the Company’s completion of these activities and subject to Roche’s termination right, the additional milestone payments based on the achievement of specific events outlined in the Roche Collaboration and Option Agreement will become due.</w:t>
      </w:r>
    </w:p>
    <w:p>
      <w:pPr>
        <w:spacing w:after="0" w:line="177" w:lineRule="exact"/>
        <w:rPr>
          <w:sz w:val="20"/>
          <w:szCs w:val="20"/>
          <w:color w:val="auto"/>
        </w:rPr>
      </w:pPr>
    </w:p>
    <w:p>
      <w:pPr>
        <w:ind w:right="160" w:firstLine="749"/>
        <w:spacing w:after="0" w:line="279" w:lineRule="auto"/>
        <w:rPr>
          <w:sz w:val="20"/>
          <w:szCs w:val="20"/>
          <w:color w:val="auto"/>
        </w:rPr>
      </w:pPr>
      <w:r>
        <w:rPr>
          <w:rFonts w:ascii="Arial" w:cs="Arial" w:eastAsia="Arial" w:hAnsi="Arial"/>
          <w:sz w:val="17"/>
          <w:szCs w:val="17"/>
          <w:color w:val="auto"/>
        </w:rPr>
        <w:t>Revenue associated with performance obligations under the Roche Collaboration and Option Agreement are recognized as the research and development services are provided using an input method, according to the full-time equivalents incurred. The transfer of control occurs over time and, in management’s judgment, is the best measure of progress towards satisfying the performance obligation. The amounts received that have not yet been recognized as revenue are recorded in deferred revenue on the Company’s consolidated balance sheet.</w:t>
      </w:r>
    </w:p>
    <w:p>
      <w:pPr>
        <w:spacing w:after="0" w:line="171" w:lineRule="exact"/>
        <w:rPr>
          <w:sz w:val="20"/>
          <w:szCs w:val="20"/>
          <w:color w:val="auto"/>
        </w:rPr>
      </w:pPr>
    </w:p>
    <w:p>
      <w:pPr>
        <w:jc w:val="both"/>
        <w:ind w:right="120" w:firstLine="749"/>
        <w:spacing w:after="0" w:line="263" w:lineRule="auto"/>
        <w:rPr>
          <w:sz w:val="20"/>
          <w:szCs w:val="20"/>
          <w:color w:val="auto"/>
        </w:rPr>
      </w:pPr>
      <w:r>
        <w:rPr>
          <w:rFonts w:ascii="Arial" w:cs="Arial" w:eastAsia="Arial" w:hAnsi="Arial"/>
          <w:sz w:val="18"/>
          <w:szCs w:val="18"/>
          <w:color w:val="auto"/>
        </w:rPr>
        <w:t>The Company recognized $0.9 and $1.2 million for the three and nine months ended September 30, 2021, respectively, as collaboration revenue in the Company’s consolidated statements of operations and comprehensive loss. Deferred revenue from the collaboration amounted to $0.8 million as of September 30, 2021, all of which is included in current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Ginkgo Collaboration</w:t>
      </w:r>
    </w:p>
    <w:p>
      <w:pPr>
        <w:spacing w:after="0" w:line="131"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In 2017, the Company established a technology collaboration with Ginkgo. In June 2019, the Company expanded its collaboration and entered into an agreement with Ginkgo for the research and development of engineered microbial therapeutic products (See Note 7). Under the 2019 expanded agreement, the Company made a prepayment to Ginkgo of $30.0 million for its foundry services that will be provided to the Company over an initial term of five years. The prepayment of foundry services is recorded in Prepaid expenses and other current assets and Prepaid research and development, net of current portion on the September 30, 2021 consolidated balance sheet. At September 30, 2021, the Company had remaining balances of $3.4 million and $8.1 million of current and non-current pre-paid research and development costs related to this transaction, respectively. Upon the expiration of such initial term and, if applicable, an additional period, any portion of the prepayment that has not been used to purchase services from Ginkgo will be retained by Ginkgo.</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Collaboration Agreement</w:t>
      </w:r>
    </w:p>
    <w:p>
      <w:pPr>
        <w:spacing w:after="0" w:line="117" w:lineRule="exact"/>
        <w:rPr>
          <w:sz w:val="20"/>
          <w:szCs w:val="20"/>
          <w:color w:val="auto"/>
        </w:rPr>
      </w:pPr>
    </w:p>
    <w:p>
      <w:pPr>
        <w:jc w:val="both"/>
        <w:ind w:right="180" w:firstLine="510"/>
        <w:spacing w:after="0" w:line="263" w:lineRule="auto"/>
        <w:rPr>
          <w:sz w:val="20"/>
          <w:szCs w:val="20"/>
          <w:color w:val="auto"/>
        </w:rPr>
      </w:pPr>
      <w:r>
        <w:rPr>
          <w:rFonts w:ascii="Arial" w:cs="Arial" w:eastAsia="Arial" w:hAnsi="Arial"/>
          <w:sz w:val="18"/>
          <w:szCs w:val="18"/>
          <w:color w:val="auto"/>
        </w:rPr>
        <w:t>In May 2020, we announced the termination of our collaboration with AbbVie to develop Synthetic Biotic medicines for the treatment of types of IBD, including Crohn’s disease and ulcerative colitis. Upon termination, we regained all rights to develop these and new IBD Synthetic Biotic medicines for all effectors targeting IBD. This allows us to fully leverage our expertise in strain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5" w:name="page16"/>
    <w:bookmarkEnd w:id="15"/>
    <w:p>
      <w:pPr>
        <w:ind w:right="480"/>
        <w:spacing w:after="0" w:line="277" w:lineRule="auto"/>
        <w:rPr>
          <w:sz w:val="20"/>
          <w:szCs w:val="20"/>
          <w:color w:val="auto"/>
        </w:rPr>
      </w:pPr>
      <w:r>
        <w:rPr>
          <w:rFonts w:ascii="Arial" w:cs="Arial" w:eastAsia="Arial" w:hAnsi="Arial"/>
          <w:sz w:val="18"/>
          <w:szCs w:val="18"/>
          <w:color w:val="auto"/>
        </w:rPr>
        <w:t>engineering, quantitative biology, regulatory, and manufacturing to expand our wholly owned GI-based program portfolio to include IBD. We further regained the rights to partner these IBD programs.</w:t>
      </w:r>
    </w:p>
    <w:p>
      <w:pPr>
        <w:spacing w:after="0" w:line="170"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Revenue associated with performance obligations under the AbbVie Agreement was recognized as the research and development services were provided using an input method, according to the full-time equivalents incurred. The research and development activities were expected to be performed over a period of approximately 54 months. The transfer of control occurs over time and, in management’s judgment, was the best measure of progress towards satisfying the performance obligation. The amounts received that had not yet been recognized as revenue were recorded in deferred revenue on the Company’s consolidated balance sheet.</w:t>
      </w:r>
    </w:p>
    <w:p>
      <w:pPr>
        <w:spacing w:after="0" w:line="188"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The Company recognized no revenue for the three months ended September 30, 2021 and for the corresponding period in 2020. The Company recognized no revenue for the nine months ended September 30, 2021 and $0.5 million for the corresponding period in 2020. There is no deferred revenue on the Company’s consolidated balance sheet related to the AbbVie collaboration as of September 30, 2021, as the remainder of the revenue was recognized when the agreement was terminated.</w:t>
      </w:r>
    </w:p>
    <w:p>
      <w:pPr>
        <w:spacing w:after="0" w:line="29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20" w:firstLine="510"/>
        <w:spacing w:after="0" w:line="272" w:lineRule="auto"/>
        <w:rPr>
          <w:sz w:val="20"/>
          <w:szCs w:val="20"/>
          <w:color w:val="auto"/>
        </w:rPr>
      </w:pPr>
      <w:r>
        <w:rPr>
          <w:rFonts w:ascii="Arial" w:cs="Arial" w:eastAsia="Arial" w:hAnsi="Arial"/>
          <w:sz w:val="17"/>
          <w:szCs w:val="17"/>
          <w:color w:val="auto"/>
        </w:rPr>
        <w:t>Basic net loss per share is computed using the weighted-average number of shares of common stock outstanding during the period. Diluted net loss per share is computed using the sum of the weighted-average number of shares of common stock outstanding during the period and if dilutive, the weighted-average number of potential shares of common stock, including unvested restricted common stock and outstanding stock options. In June 2019, the Company sold 6,340,771 shares of common stock and Pre-Funded Warrants to purchase an aggregate of 2,548,117 shares of common stock at an exercise price of $9.00 per share, with $8.99 of such exercise price paid at the closing of the offering (see Note 10</w:t>
      </w:r>
      <w:r>
        <w:rPr>
          <w:rFonts w:ascii="Arial" w:cs="Arial" w:eastAsia="Arial" w:hAnsi="Arial"/>
          <w:sz w:val="17"/>
          <w:szCs w:val="17"/>
          <w:i w:val="1"/>
          <w:iCs w:val="1"/>
          <w:color w:val="auto"/>
        </w:rPr>
        <w:t>, Ginkgo Collaboration,</w:t>
      </w:r>
      <w:r>
        <w:rPr>
          <w:rFonts w:ascii="Arial" w:cs="Arial" w:eastAsia="Arial" w:hAnsi="Arial"/>
          <w:sz w:val="17"/>
          <w:szCs w:val="17"/>
          <w:color w:val="auto"/>
        </w:rPr>
        <w:t xml:space="preserve"> in the audited financial statements included in the Company’s 2020 Annual Report). The shares of common stock into which the warrants may be exercised are considered outstanding for the purposes of computing net loss per share.</w:t>
      </w:r>
    </w:p>
    <w:p>
      <w:pPr>
        <w:spacing w:after="0" w:line="177" w:lineRule="exact"/>
        <w:rPr>
          <w:sz w:val="20"/>
          <w:szCs w:val="20"/>
          <w:color w:val="auto"/>
        </w:rPr>
      </w:pPr>
    </w:p>
    <w:p>
      <w:pPr>
        <w:ind w:right="160" w:firstLine="510"/>
        <w:spacing w:after="0" w:line="308" w:lineRule="auto"/>
        <w:rPr>
          <w:sz w:val="20"/>
          <w:szCs w:val="20"/>
          <w:color w:val="auto"/>
        </w:rPr>
      </w:pPr>
      <w:r>
        <w:rPr>
          <w:rFonts w:ascii="Arial" w:cs="Arial" w:eastAsia="Arial" w:hAnsi="Arial"/>
          <w:sz w:val="17"/>
          <w:szCs w:val="17"/>
          <w:color w:val="auto"/>
        </w:rPr>
        <w:t>The Company’s potentially dilutive shares, which include outstanding stock options and unvested restricted common stock/units, are considered to be common share equivalents and are only included in the calculation of diluted net loss per share when their effect is dilutive.</w:t>
      </w:r>
    </w:p>
    <w:p>
      <w:pPr>
        <w:spacing w:after="0" w:line="146" w:lineRule="exact"/>
        <w:rPr>
          <w:sz w:val="20"/>
          <w:szCs w:val="20"/>
          <w:color w:val="auto"/>
        </w:rPr>
      </w:pPr>
    </w:p>
    <w:p>
      <w:pPr>
        <w:ind w:right="400" w:firstLine="510"/>
        <w:spacing w:after="0" w:line="342" w:lineRule="auto"/>
        <w:rPr>
          <w:sz w:val="20"/>
          <w:szCs w:val="20"/>
          <w:color w:val="auto"/>
        </w:rPr>
      </w:pPr>
      <w:r>
        <w:rPr>
          <w:rFonts w:ascii="Arial" w:cs="Arial" w:eastAsia="Arial" w:hAnsi="Arial"/>
          <w:sz w:val="16"/>
          <w:szCs w:val="16"/>
          <w:color w:val="auto"/>
        </w:rPr>
        <w:t>The following potential common shares, presented based on amounts outstanding at each period end, were excluded from the calculation of the diluted net loss per share attributable to common stockholders for the period indicated because including them would have had an anti-dilutive effect.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As of September 30,</w:t>
            </w:r>
          </w:p>
        </w:tc>
        <w:tc>
          <w:tcPr>
            <w:tcW w:w="1120" w:type="dxa"/>
            <w:vAlign w:val="bottom"/>
          </w:tcPr>
          <w:p>
            <w:pPr>
              <w:spacing w:after="0"/>
              <w:rPr>
                <w:sz w:val="14"/>
                <w:szCs w:val="14"/>
                <w:color w:val="auto"/>
              </w:rPr>
            </w:pPr>
          </w:p>
        </w:tc>
      </w:tr>
      <w:tr>
        <w:trPr>
          <w:trHeight w:val="155"/>
        </w:trPr>
        <w:tc>
          <w:tcPr>
            <w:tcW w:w="1140" w:type="dxa"/>
            <w:vAlign w:val="bottom"/>
          </w:tcPr>
          <w:p>
            <w:pPr>
              <w:spacing w:after="0"/>
              <w:rPr>
                <w:sz w:val="13"/>
                <w:szCs w:val="13"/>
                <w:color w:val="auto"/>
              </w:rPr>
            </w:pPr>
          </w:p>
        </w:tc>
        <w:tc>
          <w:tcPr>
            <w:tcW w:w="3900" w:type="dxa"/>
            <w:vAlign w:val="bottom"/>
            <w:tcBorders>
              <w:bottom w:val="single" w:sz="8" w:color="CFF0FC"/>
            </w:tcBorders>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1320" w:type="dxa"/>
            <w:vAlign w:val="bottom"/>
            <w:tcBorders>
              <w:bottom w:val="single" w:sz="8" w:color="auto"/>
            </w:tcBorders>
          </w:tcPr>
          <w:p>
            <w:pPr>
              <w:jc w:val="right"/>
              <w:ind w:right="49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FF0FC"/>
            </w:tcBorders>
          </w:tcPr>
          <w:p>
            <w:pPr>
              <w:spacing w:after="0"/>
              <w:rPr>
                <w:sz w:val="13"/>
                <w:szCs w:val="13"/>
                <w:color w:val="auto"/>
              </w:rPr>
            </w:pPr>
          </w:p>
        </w:tc>
        <w:tc>
          <w:tcPr>
            <w:tcW w:w="1340" w:type="dxa"/>
            <w:vAlign w:val="bottom"/>
            <w:tcBorders>
              <w:bottom w:val="single" w:sz="8" w:color="auto"/>
            </w:tcBorders>
          </w:tcPr>
          <w:p>
            <w:pPr>
              <w:jc w:val="right"/>
              <w:ind w:right="495"/>
              <w:spacing w:after="0" w:line="155" w:lineRule="exact"/>
              <w:rPr>
                <w:sz w:val="20"/>
                <w:szCs w:val="20"/>
                <w:color w:val="auto"/>
              </w:rPr>
            </w:pPr>
            <w:r>
              <w:rPr>
                <w:rFonts w:ascii="Arial" w:cs="Arial" w:eastAsia="Arial" w:hAnsi="Arial"/>
                <w:sz w:val="14"/>
                <w:szCs w:val="14"/>
                <w:b w:val="1"/>
                <w:bCs w:val="1"/>
                <w:color w:val="auto"/>
              </w:rPr>
              <w:t>2020</w:t>
            </w:r>
          </w:p>
        </w:tc>
        <w:tc>
          <w:tcPr>
            <w:tcW w:w="1120" w:type="dxa"/>
            <w:vAlign w:val="bottom"/>
          </w:tcPr>
          <w:p>
            <w:pPr>
              <w:spacing w:after="0"/>
              <w:rPr>
                <w:sz w:val="13"/>
                <w:szCs w:val="13"/>
                <w:color w:val="auto"/>
              </w:rPr>
            </w:pPr>
          </w:p>
        </w:tc>
      </w:tr>
      <w:tr>
        <w:trPr>
          <w:trHeight w:val="223"/>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Unvested restricted common stock awards</w:t>
            </w:r>
          </w:p>
        </w:tc>
        <w:tc>
          <w:tcPr>
            <w:tcW w:w="228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19"/>
              <w:spacing w:after="0"/>
              <w:rPr>
                <w:sz w:val="20"/>
                <w:szCs w:val="20"/>
                <w:color w:val="auto"/>
              </w:rPr>
            </w:pPr>
            <w:r>
              <w:rPr>
                <w:rFonts w:ascii="Arial" w:cs="Arial" w:eastAsia="Arial" w:hAnsi="Arial"/>
                <w:sz w:val="18"/>
                <w:szCs w:val="18"/>
                <w:color w:val="auto"/>
              </w:rPr>
              <w:t>312,033</w:t>
            </w: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624,852</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Outstanding options to purchase common stock</w:t>
            </w:r>
          </w:p>
        </w:tc>
        <w:tc>
          <w:tcPr>
            <w:tcW w:w="3600" w:type="dxa"/>
            <w:vAlign w:val="bottom"/>
            <w:gridSpan w:val="2"/>
          </w:tcPr>
          <w:p>
            <w:pPr>
              <w:jc w:val="right"/>
              <w:ind w:right="19"/>
              <w:spacing w:after="0"/>
              <w:rPr>
                <w:sz w:val="20"/>
                <w:szCs w:val="20"/>
                <w:color w:val="auto"/>
              </w:rPr>
            </w:pPr>
            <w:r>
              <w:rPr>
                <w:rFonts w:ascii="Arial" w:cs="Arial" w:eastAsia="Arial" w:hAnsi="Arial"/>
                <w:sz w:val="18"/>
                <w:szCs w:val="18"/>
                <w:color w:val="auto"/>
              </w:rPr>
              <w:t>4,537,618</w:t>
            </w:r>
          </w:p>
        </w:tc>
        <w:tc>
          <w:tcPr>
            <w:tcW w:w="140" w:type="dxa"/>
            <w:vAlign w:val="bottom"/>
          </w:tcPr>
          <w:p>
            <w:pPr>
              <w:spacing w:after="0"/>
              <w:rPr>
                <w:sz w:val="19"/>
                <w:szCs w:val="19"/>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3,399,954</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8"/>
                <w:szCs w:val="18"/>
                <w:color w:val="auto"/>
              </w:rPr>
              <w:t>Potential shares issuable under the ESPP</w:t>
            </w:r>
          </w:p>
        </w:tc>
        <w:tc>
          <w:tcPr>
            <w:tcW w:w="228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837"/>
        </w:trPr>
        <w:tc>
          <w:tcPr>
            <w:tcW w:w="114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280" w:type="dxa"/>
            <w:vAlign w:val="bottom"/>
          </w:tcPr>
          <w:p>
            <w:pPr>
              <w:jc w:val="right"/>
              <w:ind w:right="1510"/>
              <w:spacing w:after="0"/>
              <w:rPr>
                <w:sz w:val="20"/>
                <w:szCs w:val="20"/>
                <w:color w:val="auto"/>
              </w:rPr>
            </w:pPr>
            <w:r>
              <w:rPr>
                <w:rFonts w:ascii="Arial" w:cs="Arial" w:eastAsia="Arial" w:hAnsi="Arial"/>
                <w:sz w:val="18"/>
                <w:szCs w:val="18"/>
                <w:color w:val="auto"/>
              </w:rPr>
              <w:t>13</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90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16" w:name="page17"/>
    <w:bookmarkEnd w:id="16"/>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In the ordinary course of business, the Company may be subject to legal proceedings, claims and litigation as the Company operates in an industry susceptible to patent legal claims. The Company accounts for estimated losses with respect to legal proceedings and claims when such losses are probable and estimable. Legal costs associated with these matters are expensed when incurred. The Company is not currently a party to any material legal proceedings.</w:t>
      </w:r>
    </w:p>
    <w:p>
      <w:pPr>
        <w:spacing w:after="0" w:line="187"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The Company’s commitments described in the Company’s consolidated financial statements as of and for the year ended December 31, 2020 and the notes thereto included in the Company’s Annual Report on Form 10-K filed with the SEC on March 25, 2021, have had no material changes during the nine months ended September 30, 2021.</w:t>
      </w:r>
    </w:p>
    <w:p>
      <w:pPr>
        <w:spacing w:after="0" w:line="288"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Related-Party Transactions</w:t>
      </w:r>
    </w:p>
    <w:p>
      <w:pPr>
        <w:spacing w:after="0" w:line="121" w:lineRule="exact"/>
        <w:rPr>
          <w:sz w:val="20"/>
          <w:szCs w:val="20"/>
          <w:color w:val="auto"/>
        </w:rPr>
      </w:pPr>
    </w:p>
    <w:p>
      <w:pPr>
        <w:ind w:right="100" w:firstLine="510"/>
        <w:spacing w:after="0" w:line="286" w:lineRule="auto"/>
        <w:rPr>
          <w:sz w:val="20"/>
          <w:szCs w:val="20"/>
          <w:color w:val="auto"/>
        </w:rPr>
      </w:pPr>
      <w:r>
        <w:rPr>
          <w:rFonts w:ascii="Arial" w:cs="Arial" w:eastAsia="Arial" w:hAnsi="Arial"/>
          <w:sz w:val="17"/>
          <w:szCs w:val="17"/>
          <w:color w:val="auto"/>
        </w:rPr>
        <w:t xml:space="preserve">In June 2019, the Company expanded its collaboration and entered into an agreement with Ginkgo for the research and development of engineered microbial therapeutic products. As of September 30, 2021, Ginkgo owns 6,340,771 shares of the Company’s outstanding common stock. See Note 10, </w:t>
      </w:r>
      <w:r>
        <w:rPr>
          <w:rFonts w:ascii="Arial" w:cs="Arial" w:eastAsia="Arial" w:hAnsi="Arial"/>
          <w:sz w:val="17"/>
          <w:szCs w:val="17"/>
          <w:i w:val="1"/>
          <w:iCs w:val="1"/>
          <w:color w:val="auto"/>
        </w:rPr>
        <w:t xml:space="preserve">Ginkgo Collaboration, </w:t>
      </w:r>
      <w:r>
        <w:rPr>
          <w:rFonts w:ascii="Arial" w:cs="Arial" w:eastAsia="Arial" w:hAnsi="Arial"/>
          <w:sz w:val="17"/>
          <w:szCs w:val="17"/>
          <w:color w:val="auto"/>
        </w:rPr>
        <w:t>in the audited financial statements included in the Company’s 2020 Annual Report.</w:t>
      </w:r>
    </w:p>
    <w:p>
      <w:pPr>
        <w:spacing w:after="0" w:line="165"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Under the agreement the Company made a prepayment to Ginkgo of $30.0 million for its foundry services that will be provided to the Company over an initial term of five years. At September 30, 2021, the Company had remaining balances of $3.4 million and $8.1 million of current and non-current pre-paid research and development costs related to this transaction, respectively. The Company used $0.5 million and $2.1 million of the pre-paid research and development expenses for the three and nine months ended September 30, 2021, respectively.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i w:val="1"/>
          <w:iCs w:val="1"/>
          <w:color w:val="auto"/>
        </w:rPr>
        <w:t>The interim financial statements and this Management’s Discussion and Analysis of Financial Condition and Results of Operations should be read together with our audited financial statements and accompanying notes for the year ended December 31, 2020 and 2019 included in our Annual Report on Form 10-K filed with the SEC on March 25, 2021 (the 2020 Annual Report). In addition to historical information, this discussion and analysis contains forward-looking statements within the meaning of Section 27A of the Securities Act of 1933, as amended (the Securities Act), and Section 21E of the Securities Exchange Act of 1934, as amended (the Exchange Act). Please see “Risk Factors” beginning on page [26] of this Quarterly Report on Form 10-Q for a discussion of certain risk factors applicable to our business, financial condition, and results of operations. Operating results are not necessarily indicative of results that may occur for the full fiscal year or any other future period. The term “Private Synlogic” refers to Synlogic Operating Company, Inc. (formerly known as Synlogic, Inc.) prior to the consummation of the Merger. Unless otherwise indicated, references to the terms the "combined company”, “Synlogic”, the "Company”, “we”, “our” and “us” refer to Private Synlogic prior to the consummation of the Merger and Synlogic, Inc. (formerly known as Mirna Therapeutics, Inc.) and its subsidiaries upon the consummation of the Merger described herein. The term "Mirna" refers to the Mirna Therapeutics, Inc. and its subsidiaries prior to the Merger.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w:t>
      </w:r>
    </w:p>
    <w:p>
      <w:pPr>
        <w:spacing w:after="0" w:line="135"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Synlogic is a clinical-stage biopharmaceutical company focused on the discovery and development of Synthetic Biotic™ medicines. Synthetic Biotic medicines are generated from Synlogic’s proprietary drug discovery and development platform, leveraging a reproducible, modular approach to synthetic biology to develop beneficial microbes which perform or deliver critical therapeutic functions. Synthetic Biotic medicines are designed to metabolize a toxic substance, compensate for missing or damaged metabolic pathways, or deliver combinations of therapeutic factors. Synlogic’s goal is to discover, develop, and ultimately commercialize Synthetic Biotic medicines. Synlogic’s proprietary pipeline includes Synthetic Biotic medicines for the treatment of metabolic disorders including Phenylketonuria (PKU) and Enteric Hyperoxaluria. We are also building a portfolio of assets in non-core areas such as immunology and oncology where we may partner with third parties.</w:t>
      </w:r>
    </w:p>
    <w:p>
      <w:pPr>
        <w:spacing w:after="0" w:line="231" w:lineRule="exact"/>
        <w:rPr>
          <w:sz w:val="20"/>
          <w:szCs w:val="20"/>
          <w:color w:val="auto"/>
        </w:rPr>
      </w:pPr>
    </w:p>
    <w:p>
      <w:pPr>
        <w:ind w:right="340" w:firstLine="510"/>
        <w:spacing w:after="0" w:line="263" w:lineRule="auto"/>
        <w:rPr>
          <w:sz w:val="20"/>
          <w:szCs w:val="20"/>
          <w:color w:val="auto"/>
        </w:rPr>
      </w:pPr>
      <w:r>
        <w:rPr>
          <w:rFonts w:ascii="Arial" w:cs="Arial" w:eastAsia="Arial" w:hAnsi="Arial"/>
          <w:sz w:val="18"/>
          <w:szCs w:val="18"/>
          <w:color w:val="auto"/>
        </w:rPr>
        <w:t>Our lead program is in development as a potential treatment for PKU, a rare metabolic disease in which the amino acid phenylalanine (Phe) accumulates in the body. Elevated levels of Phe are toxic to the brain and can lead to severe neurocognitive complications. Patients have few approved therapies today.</w:t>
      </w:r>
    </w:p>
    <w:p>
      <w:pPr>
        <w:spacing w:after="0" w:line="292"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We have conducted human clinical studies evaluating both SYNB1618 and SYNB1934, investigational Synthetic Biotic medicines for the treatment of PKU. In the interim analysis of an ongoing Phase 2 clinical trial, SYNB1618 demonstrated a statistically significant reduction in Phe levels in adult patients with classical PKU. In prior clinical trials of SYNB1618, the strain demonstrated both consumption of Phe and production of strain specific biomarkers of activity in both healthy volunteers and patients. The Phase 2 clinical trial of SYNB1618 is ongoing. We are also enrolling an arm of the Phase 2 clinical trial with an evolved, next generation strain known as SYNB1934, which is approximately twice as active as SYNB1618 in animal models and healthy volunteers.</w:t>
      </w:r>
    </w:p>
    <w:p>
      <w:pPr>
        <w:spacing w:after="0" w:line="28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Our other clinical stage metabolic program is SYNB8802 which is an investigational Synthetic Biotic medicine for the treatment of Enteric Hyperoxaluria. The absorption of oxalate in patients with Enteric Hyperoxaluria leads to dangerously high levels of urinary oxalate and potentially severe renal complications. Patients have no approved therapies today.</w:t>
      </w:r>
    </w:p>
    <w:p>
      <w:pPr>
        <w:spacing w:after="0" w:line="278" w:lineRule="exact"/>
        <w:rPr>
          <w:sz w:val="20"/>
          <w:szCs w:val="20"/>
          <w:color w:val="auto"/>
        </w:rPr>
      </w:pPr>
    </w:p>
    <w:p>
      <w:pPr>
        <w:ind w:right="140" w:firstLine="510"/>
        <w:spacing w:after="0" w:line="342" w:lineRule="auto"/>
        <w:rPr>
          <w:sz w:val="20"/>
          <w:szCs w:val="20"/>
          <w:color w:val="auto"/>
        </w:rPr>
      </w:pPr>
      <w:r>
        <w:rPr>
          <w:rFonts w:ascii="Arial" w:cs="Arial" w:eastAsia="Arial" w:hAnsi="Arial"/>
          <w:sz w:val="16"/>
          <w:szCs w:val="16"/>
          <w:color w:val="auto"/>
        </w:rPr>
        <w:t>In a Phase 1 clinical trial of SYNB8802, we demonstrated consumption of oxalate in healthy volunteers placed on a high oxalate, low calcium diet to induce temporary Dietary Hyperoxaluria. We are currently executing a clinical trial of SYNB8802 in patients with Enteric Hyperoxaluria.</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Capabilities</w:t>
      </w:r>
    </w:p>
    <w:p>
      <w:pPr>
        <w:spacing w:after="0" w:line="2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believe we have the core competencies in synthetic biology and manufacturing, as well as translational medicine, regulatory sciences and clinical development to successfully discover and develop our Synthetic Biotic medicines. In June 2019, we announced an expanded collaboration with Ginkgo Bioworks, Inc. (Ginkgo) to complement our in-house expertise in strain design and development. Ginkgo uses software and automation to program and optimize microbial strains at a large scale. Ginkgo’s technology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8" w:name="page19"/>
    <w:bookmarkEnd w:id="18"/>
    <w:p>
      <w:pPr>
        <w:ind w:right="700"/>
        <w:spacing w:after="0" w:line="277" w:lineRule="auto"/>
        <w:rPr>
          <w:sz w:val="20"/>
          <w:szCs w:val="20"/>
          <w:color w:val="auto"/>
        </w:rPr>
      </w:pPr>
      <w:r>
        <w:rPr>
          <w:rFonts w:ascii="Arial" w:cs="Arial" w:eastAsia="Arial" w:hAnsi="Arial"/>
          <w:sz w:val="18"/>
          <w:szCs w:val="18"/>
          <w:color w:val="auto"/>
        </w:rPr>
        <w:t>provides us with a synthetic biology-based cell programming platform for testing thousands of microbial strains to accelerate progression of early preclinical leads to drug candidates optimized for clinical development.</w:t>
      </w:r>
    </w:p>
    <w:p>
      <w:pPr>
        <w:spacing w:after="0" w:line="170"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While we believe our Synthetic Biotic platform has potential to address a broad range of diseases, our initial pipeline focus is on metabolic diseases. We will consider leveraging partnerships to advance programs for other diseases including oncology and inflammatory disorders. Our most advanced programs target metabolic diseases that could potentially be treated by oral delivery of Synthetic Biotic medicines. These include conditions caused by a genetic mutation characterized by a dysfunctional metabolic pathway including PKU, as well as acquired metabolic diseases caused by organ dysfunction, such as Enteric Hyperoxaluria. When delivered orally, Synthetic Biotic medicines are designed to function in the gut to consume a disease-causing toxic metabolite with the intended consequence of reducing its systemic, plasma, or urinary levels. We believe that success in our metabolic disease programs will enable us to demonstrate the potential of our Synthetic Biotic medicines while bringing meaningful change to the lives of patients suffering from these debilitating conditions.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Metabolic Programs</w:t>
      </w:r>
    </w:p>
    <w:p>
      <w:pPr>
        <w:spacing w:after="0" w:line="117"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Phenylketonuria</w:t>
      </w:r>
    </w:p>
    <w:p>
      <w:pPr>
        <w:spacing w:after="0" w:line="121" w:lineRule="exact"/>
        <w:rPr>
          <w:sz w:val="20"/>
          <w:szCs w:val="20"/>
          <w:color w:val="auto"/>
        </w:rPr>
      </w:pPr>
    </w:p>
    <w:p>
      <w:pPr>
        <w:ind w:firstLine="578"/>
        <w:spacing w:after="0" w:line="275" w:lineRule="auto"/>
        <w:rPr>
          <w:sz w:val="20"/>
          <w:szCs w:val="20"/>
          <w:color w:val="auto"/>
        </w:rPr>
      </w:pPr>
      <w:r>
        <w:rPr>
          <w:rFonts w:ascii="Arial" w:cs="Arial" w:eastAsia="Arial" w:hAnsi="Arial"/>
          <w:sz w:val="17"/>
          <w:szCs w:val="17"/>
          <w:color w:val="auto"/>
        </w:rPr>
        <w:t>Our most advanced clinical program is focused on PKU, a rare metabolic disease in which an amino acid known as Phe accumulates in the body, and includes two clinical stage product candidates, SYNB1618 and SYNB1934. Elevated levels of Phe are toxic to the brain and can lead to neurological and cognitive deficits. SYNB1618 and SYNB1934 are designed to function in the gut of patients to reduce excess Phe, with the goal of lowering Phe levels in the blood, by converting Phe into trans-cinnamic acid (TCA) and other harmless metabolites. SYNB1618 has received both Fast Track designation and orphan drug designation for PKU from the U.S. Food and Drug Administration (FDA).</w:t>
      </w:r>
    </w:p>
    <w:p>
      <w:pPr>
        <w:spacing w:after="0" w:line="176" w:lineRule="exact"/>
        <w:rPr>
          <w:sz w:val="20"/>
          <w:szCs w:val="20"/>
          <w:color w:val="auto"/>
        </w:rPr>
      </w:pPr>
    </w:p>
    <w:p>
      <w:pPr>
        <w:ind w:right="40" w:firstLine="578"/>
        <w:spacing w:after="0" w:line="296" w:lineRule="auto"/>
        <w:rPr>
          <w:sz w:val="20"/>
          <w:szCs w:val="20"/>
          <w:color w:val="auto"/>
        </w:rPr>
      </w:pPr>
      <w:r>
        <w:rPr>
          <w:rFonts w:ascii="Arial" w:cs="Arial" w:eastAsia="Arial" w:hAnsi="Arial"/>
          <w:sz w:val="16"/>
          <w:szCs w:val="16"/>
          <w:color w:val="auto"/>
        </w:rPr>
        <w:t>We completed a Phase 1/2a clinical trial of an early liquid formulation of SYNB1618 and announced top-line data from healthy volunteers evaluated in this study in September 2018. In July 2019, we announced data that demonstrated that SYNB1618 was safe and well-tolerated and achieved proof-of-mechanism of strain activity in both healthy volunteers and patients with PKU. Following the study using the liquid formulation, we developed a solid oral lyophilized formulation of SYNB1618. We have evaluated this oral formulation in a bridging study in healthy volunteers. The study of this more patient- and commercialization-appropriate presentation of SYNB1618 demonstrated activity and improved tolerability over the early liquid formulation.</w:t>
      </w:r>
    </w:p>
    <w:p>
      <w:pPr>
        <w:spacing w:after="0" w:line="161" w:lineRule="exact"/>
        <w:rPr>
          <w:sz w:val="20"/>
          <w:szCs w:val="20"/>
          <w:color w:val="auto"/>
        </w:rPr>
      </w:pPr>
    </w:p>
    <w:p>
      <w:pPr>
        <w:ind w:right="120" w:firstLine="578"/>
        <w:spacing w:after="0" w:line="259" w:lineRule="auto"/>
        <w:rPr>
          <w:sz w:val="20"/>
          <w:szCs w:val="20"/>
          <w:color w:val="auto"/>
        </w:rPr>
      </w:pPr>
      <w:r>
        <w:rPr>
          <w:rFonts w:ascii="Arial" w:cs="Arial" w:eastAsia="Arial" w:hAnsi="Arial"/>
          <w:sz w:val="18"/>
          <w:szCs w:val="18"/>
          <w:color w:val="auto"/>
        </w:rPr>
        <w:t>We initiated a Phase 2 clinical trial with SYNB1618 in the third quarter of 2020, referred to as the SynPheny-1 Study. The SynPheny-1 Study is designed to evaluate safety and tolerability of a solid oral formulation of SYNB1618 as well as its potential to lower blood Phe levels in adult PKU patients. In September 2021, an interim analysis of the ongoing SynPheny-1 study found that SYNB1618 demonstrated statistically significant reductions in blood Phe levels.</w:t>
      </w:r>
    </w:p>
    <w:p>
      <w:pPr>
        <w:spacing w:after="0" w:line="187" w:lineRule="exact"/>
        <w:rPr>
          <w:sz w:val="20"/>
          <w:szCs w:val="20"/>
          <w:color w:val="auto"/>
        </w:rPr>
      </w:pPr>
    </w:p>
    <w:p>
      <w:pPr>
        <w:ind w:right="240" w:firstLine="578"/>
        <w:spacing w:after="0" w:line="279" w:lineRule="auto"/>
        <w:rPr>
          <w:sz w:val="20"/>
          <w:szCs w:val="20"/>
          <w:color w:val="auto"/>
        </w:rPr>
      </w:pPr>
      <w:r>
        <w:rPr>
          <w:rFonts w:ascii="Arial" w:cs="Arial" w:eastAsia="Arial" w:hAnsi="Arial"/>
          <w:sz w:val="17"/>
          <w:szCs w:val="17"/>
          <w:color w:val="auto"/>
        </w:rPr>
        <w:t xml:space="preserve">SYNB1618 is a member of a family of SYNB strains that consume Phe. We have an additional Phe consuming strain for PKU in development, known as SYNB1934. SYNB1934 was evolved from SYNB1618 to potentially provide increased Phe lowering activity for patients living with PKU. In July 2021, we initiated clinical studies of a solid oral formulation of SYNB1934 following preclinical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and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studies demonstrating an approximately two-fold improvement in the ability of SYNB1934 to break down Phe compared to SYNB1618.</w:t>
      </w:r>
    </w:p>
    <w:p>
      <w:pPr>
        <w:spacing w:after="0" w:line="171" w:lineRule="exact"/>
        <w:rPr>
          <w:sz w:val="20"/>
          <w:szCs w:val="20"/>
          <w:color w:val="auto"/>
        </w:rPr>
      </w:pPr>
    </w:p>
    <w:p>
      <w:pPr>
        <w:ind w:right="60" w:firstLine="578"/>
        <w:spacing w:after="0" w:line="311" w:lineRule="auto"/>
        <w:rPr>
          <w:sz w:val="20"/>
          <w:szCs w:val="20"/>
          <w:color w:val="auto"/>
        </w:rPr>
      </w:pPr>
      <w:r>
        <w:rPr>
          <w:rFonts w:ascii="Arial" w:cs="Arial" w:eastAsia="Arial" w:hAnsi="Arial"/>
          <w:sz w:val="16"/>
          <w:szCs w:val="16"/>
          <w:color w:val="auto"/>
        </w:rPr>
        <w:t>In September 2021, we announced results from the head-to-head portion of the Phase 1 study. SYNB1934 showed an approximately two-fold higher activity level than SYNB1618 in a head-to-head comparison based on biomarkers of Phe consumption. Additionally, based on this interim analysis, SYNB1934 demonstrated a safety and tolerability profile similar to other Synthetic Biotic medicines, including SYNB1618, at equivalent doses.</w:t>
      </w:r>
    </w:p>
    <w:p>
      <w:pPr>
        <w:spacing w:after="0" w:line="149" w:lineRule="exact"/>
        <w:rPr>
          <w:sz w:val="20"/>
          <w:szCs w:val="20"/>
          <w:color w:val="auto"/>
        </w:rPr>
      </w:pPr>
    </w:p>
    <w:p>
      <w:pPr>
        <w:ind w:right="60" w:firstLine="578"/>
        <w:spacing w:after="0" w:line="263" w:lineRule="auto"/>
        <w:rPr>
          <w:sz w:val="20"/>
          <w:szCs w:val="20"/>
          <w:color w:val="auto"/>
        </w:rPr>
      </w:pPr>
      <w:r>
        <w:rPr>
          <w:rFonts w:ascii="Arial" w:cs="Arial" w:eastAsia="Arial" w:hAnsi="Arial"/>
          <w:sz w:val="18"/>
          <w:szCs w:val="18"/>
          <w:color w:val="auto"/>
        </w:rPr>
        <w:t>SYNB1934 clinical results were consistent with preclinical data and previously presented prospective biomarker-driven modeling. We believe that the increased activity of SYNB1934, relative to SYNB1618, could provide the opportunity to optimize the clinical profile based on individual patient needs. Accordingly, we added an arm evaluating SYNB1934 to the ongoing SynPheny-1 Phase 2 study.</w:t>
      </w:r>
    </w:p>
    <w:p>
      <w:pPr>
        <w:spacing w:after="0" w:line="184" w:lineRule="exact"/>
        <w:rPr>
          <w:sz w:val="20"/>
          <w:szCs w:val="20"/>
          <w:color w:val="auto"/>
        </w:rPr>
      </w:pPr>
    </w:p>
    <w:p>
      <w:pPr>
        <w:ind w:right="40" w:firstLine="578"/>
        <w:spacing w:after="0" w:line="308" w:lineRule="auto"/>
        <w:rPr>
          <w:sz w:val="20"/>
          <w:szCs w:val="20"/>
          <w:color w:val="auto"/>
        </w:rPr>
      </w:pPr>
      <w:r>
        <w:rPr>
          <w:rFonts w:ascii="Arial" w:cs="Arial" w:eastAsia="Arial" w:hAnsi="Arial"/>
          <w:sz w:val="17"/>
          <w:szCs w:val="17"/>
          <w:color w:val="auto"/>
        </w:rPr>
        <w:t>The SynPheny-1 Phase 2 study is continuing to the final analysis with both a SYNB1618 and a SYNB1934 arm. Upon completion of the study, we intend to initiate a pivotal Phase 3 study of the preferred strain, which will be selected based on the clinical data from both programs.</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19" w:name="page20"/>
    <w:bookmarkEnd w:id="19"/>
    <w:p>
      <w:pPr>
        <w:ind w:left="580"/>
        <w:spacing w:after="0"/>
        <w:rPr>
          <w:sz w:val="20"/>
          <w:szCs w:val="20"/>
          <w:color w:val="auto"/>
        </w:rPr>
      </w:pPr>
      <w:r>
        <w:rPr>
          <w:rFonts w:ascii="Arial" w:cs="Arial" w:eastAsia="Arial" w:hAnsi="Arial"/>
          <w:sz w:val="18"/>
          <w:szCs w:val="18"/>
          <w:b w:val="1"/>
          <w:bCs w:val="1"/>
          <w:color w:val="auto"/>
        </w:rPr>
        <w:t>Enteric Hyperoxaluria</w:t>
      </w:r>
    </w:p>
    <w:p>
      <w:pPr>
        <w:spacing w:after="0" w:line="121" w:lineRule="exact"/>
        <w:rPr>
          <w:sz w:val="20"/>
          <w:szCs w:val="20"/>
          <w:color w:val="auto"/>
        </w:rPr>
      </w:pPr>
    </w:p>
    <w:p>
      <w:pPr>
        <w:ind w:right="40" w:firstLine="578"/>
        <w:spacing w:after="0" w:line="257" w:lineRule="auto"/>
        <w:rPr>
          <w:sz w:val="20"/>
          <w:szCs w:val="20"/>
          <w:color w:val="auto"/>
        </w:rPr>
      </w:pPr>
      <w:r>
        <w:rPr>
          <w:rFonts w:ascii="Arial" w:cs="Arial" w:eastAsia="Arial" w:hAnsi="Arial"/>
          <w:sz w:val="18"/>
          <w:szCs w:val="18"/>
          <w:color w:val="auto"/>
        </w:rPr>
        <w:t>Enteric Hyperoxaluria is an acquired metabolic disorder, caused by increased absorption of dietary oxalate. The disorder may cause dangerously high levels of urinary oxalate and progressive kidney damage, kidney stone formation, and nephrocalcinosis. Oxalate is present in many healthy foods such as leafy greens, nuts, and chocolate, making it difficult to control with dietary interventions. Enteric Hyperoxaluria often occurs as a result of a primary insult to the bowel, such as inflammatory bowel disease, short bowel syndrome, or surgical procedures such as Roux-en-Y bariatric weight-loss surgery. There are no approved treatments.</w:t>
      </w:r>
    </w:p>
    <w:p>
      <w:pPr>
        <w:spacing w:after="0" w:line="80" w:lineRule="exact"/>
        <w:rPr>
          <w:sz w:val="20"/>
          <w:szCs w:val="20"/>
          <w:color w:val="auto"/>
        </w:rPr>
      </w:pPr>
    </w:p>
    <w:p>
      <w:pPr>
        <w:ind w:right="80" w:firstLine="578"/>
        <w:spacing w:after="0" w:line="257" w:lineRule="auto"/>
        <w:rPr>
          <w:sz w:val="20"/>
          <w:szCs w:val="20"/>
          <w:color w:val="auto"/>
        </w:rPr>
      </w:pPr>
      <w:r>
        <w:rPr>
          <w:rFonts w:ascii="Arial" w:cs="Arial" w:eastAsia="Arial" w:hAnsi="Arial"/>
          <w:sz w:val="18"/>
          <w:szCs w:val="18"/>
          <w:color w:val="auto"/>
        </w:rPr>
        <w:t>In May 2020, we announced the nomination of a clinical candidate for Enteric Hyperoxaluria, SYNB8802. We initiated a Phase 1 clinical trial of SYNB8802 in the fourth quarter of 2020. This study will assess the safety, tolerability and kinetics of SYNB8802 as well as the effect SYNB8802 has on changes in plasma and urine biomarkers of strain activity, and the potential to reduce urinary oxalate. The study has two parts: Part A is a multiple ascending dose study in healthy volunteers in whom we will induce temporary hyperoxaluria via diet; and Part B is a placebo controlled, cross-over design study in patients with Enteric Hyperoxaluria following Roux-n-Y gastric bypass surgery.</w:t>
      </w:r>
    </w:p>
    <w:p>
      <w:pPr>
        <w:spacing w:after="0" w:line="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announced results of Part A of the Phase 1 study in March 2021. SYNB8802 achieved proof of mechanism and was advanced to Part B of the study. SYNB8802 was generally well tolerated in healthy volunteers. There were no serious or systemic adverse events. Dose responsive changes in urinary oxalate levels were observed with a significant reduction in urinary oxalate relative to placebo across three dose levels, one of which was selected as the Part B dose. Full results of the study will be presented at a future medical meeting.</w:t>
      </w:r>
    </w:p>
    <w:p>
      <w:pPr>
        <w:spacing w:after="0" w:line="33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Other Metabolic Programs</w:t>
      </w:r>
    </w:p>
    <w:p>
      <w:pPr>
        <w:spacing w:after="0" w:line="121" w:lineRule="exact"/>
        <w:rPr>
          <w:sz w:val="20"/>
          <w:szCs w:val="20"/>
          <w:color w:val="auto"/>
        </w:rPr>
      </w:pPr>
    </w:p>
    <w:p>
      <w:pPr>
        <w:ind w:right="300" w:firstLine="510"/>
        <w:spacing w:after="0" w:line="277" w:lineRule="auto"/>
        <w:rPr>
          <w:sz w:val="20"/>
          <w:szCs w:val="20"/>
          <w:color w:val="auto"/>
        </w:rPr>
      </w:pPr>
      <w:r>
        <w:rPr>
          <w:rFonts w:ascii="Arial" w:cs="Arial" w:eastAsia="Arial" w:hAnsi="Arial"/>
          <w:sz w:val="18"/>
          <w:szCs w:val="18"/>
          <w:color w:val="auto"/>
        </w:rPr>
        <w:t>We are leveraging the capabilities built in the development of our PKU and Enteric Hyperoxaluria programs to design and pre-clinically develop Synthetic Biotic medicines for other inherited and acquired metabolic disorders with high levels of unmet medical need.</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Immuno-modulation Programs</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Oncology</w:t>
      </w:r>
    </w:p>
    <w:p>
      <w:pPr>
        <w:spacing w:after="0" w:line="121"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 xml:space="preserve">We have also developed a portfolio of Synthetic Biotic medicines designed to modify the tumor microenvironment and result in tumor reduction, intended for use in combination with other cancer therapies such as checkpoint inhibitors. Our first immuno-oncology (IO) candidate is SYNB1891, an intratumorally administered Synthetic Biotic medicine. SYNB1891 is designed to activate the immune response in tumors via the </w:t>
      </w:r>
      <w:r>
        <w:rPr>
          <w:rFonts w:ascii="Arial" w:cs="Arial" w:eastAsia="Arial" w:hAnsi="Arial"/>
          <w:sz w:val="17"/>
          <w:szCs w:val="17"/>
          <w:i w:val="1"/>
          <w:iCs w:val="1"/>
          <w:color w:val="auto"/>
        </w:rPr>
        <w:t>E.coli</w:t>
      </w:r>
      <w:r>
        <w:rPr>
          <w:rFonts w:ascii="Arial" w:cs="Arial" w:eastAsia="Arial" w:hAnsi="Arial"/>
          <w:sz w:val="17"/>
          <w:szCs w:val="17"/>
          <w:color w:val="auto"/>
        </w:rPr>
        <w:t xml:space="preserve"> Nissle chassis and production of cyclic di-AMP, an activator of the Stimulator of Interferon Genes (STING) pathway. In January 2020, we treated the first subject in a Phase 1 clinical trial of SYNB1891 in patients with advanced solid tumors and lymphoma. The clinical trial is designed to identify a maximum tolerated dose (MTD) of SYNB1891 delivered as a monotherapy and a recommended Phase 2 dose in combination therapy with the checkpoint inhibitor atezolizumab (Tecentriq), provided through a supply agreement with Roche. We released interim data from the ongoing monotherapy arm of this trial in December 2020, which demonstrated target engagement and production of biomarkers consistent with STING activation. In December 2020, we initiated the combination arm of the Phase 1 clinical trial.</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Auto-Immune Disorders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We are also designing and developing Synthetic Biotic medicines to treat auto-immune and inflammatory disorders. To achieve this goal, we plan to collaborate with leading drug development organizations.</w:t>
      </w:r>
    </w:p>
    <w:p>
      <w:pPr>
        <w:spacing w:after="0" w:line="278" w:lineRule="exact"/>
        <w:rPr>
          <w:sz w:val="20"/>
          <w:szCs w:val="20"/>
          <w:color w:val="auto"/>
        </w:rPr>
      </w:pPr>
    </w:p>
    <w:p>
      <w:pPr>
        <w:ind w:right="200" w:firstLine="510"/>
        <w:spacing w:after="0" w:line="279" w:lineRule="auto"/>
        <w:rPr>
          <w:sz w:val="20"/>
          <w:szCs w:val="20"/>
          <w:color w:val="auto"/>
        </w:rPr>
      </w:pPr>
      <w:r>
        <w:rPr>
          <w:rFonts w:ascii="Arial" w:cs="Arial" w:eastAsia="Arial" w:hAnsi="Arial"/>
          <w:sz w:val="17"/>
          <w:szCs w:val="17"/>
          <w:color w:val="auto"/>
        </w:rPr>
        <w:t>Inflammatory bowel disease (IBD) is an attractive target for our technology as Synthetic Biotic medicines can be designed to locally deliver to the gut therapeutic effectors or combinations of effectors to potentially address the unmet medical need in patients suffering from IBD. In May 2020, we announced the termination of our collaboration with AbbVie S.à.r.l. (AbbVie) to develop Synthetic Biotic medicines for the treatment of IBD. Upon termination, we regained all rights to develop these and new IBD Synthetic Biotic medicines for all effectors targeting IBD.</w:t>
      </w:r>
    </w:p>
    <w:p>
      <w:pPr>
        <w:spacing w:after="0" w:line="171"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In June 2021, we entered into entered into a Pilot Collaboration and Option Agreement (the Roche Collaboration and Option Agreement) with F. Hoffmann-La Roche Ltd (Roche Basel) and Hoffmann-La Roche Inc. (Roche US, and together with Roche Basel, Roche). Under the terms of the Roche Collaboration and Option Agreement, we and Roche will seek to collaborate to research and pre-clinically develop a Synthetic Biotic medicine for addressing an undisclosed novel target for the treatment of IBD (the Product Candidate).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ind w:right="120" w:firstLine="510"/>
        <w:spacing w:after="0" w:line="257" w:lineRule="auto"/>
        <w:rPr>
          <w:sz w:val="20"/>
          <w:szCs w:val="20"/>
          <w:color w:val="auto"/>
        </w:rPr>
      </w:pPr>
      <w:r>
        <w:rPr>
          <w:rFonts w:ascii="Arial" w:cs="Arial" w:eastAsia="Arial" w:hAnsi="Arial"/>
          <w:sz w:val="18"/>
          <w:szCs w:val="18"/>
          <w:color w:val="auto"/>
        </w:rPr>
        <w:t>Pursuant to the Roche Collaboration and Option Agreement, Roche agreed to pay us, an upfront, nonrefundable technology access fee of $1.0 million, which we received in July 2021. In addition, we are eligible to receive up to $5.0 million in milestone payments upon the achievement of certain success criteria. In September 2021, we completed the research and development services for the first phase of the research plan and achieved a milestone payment of $1.0 million. Following the research period, Roche holds an exclusive option right (the Option) to negotiate a definitive Collaboration and License Agreement for further development of the Product Candidate.</w:t>
      </w:r>
    </w:p>
    <w:p>
      <w:pPr>
        <w:spacing w:after="0" w:line="188"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Pursuant to the Roche Collaboration and Option Agreement, during the term of such agreement, each party has granted to the other party a non-exclusive, non-transferrable, non-sublicensable, royalty-free right and license to certain intellectual property and know-how controlled by such party, solely as necessary for the party to perform its obligations under the Roche Collaboration and Option Agreement. The parties will establish a Joint Research Committee to oversee and manage the execution of the underlying study plan for the Roche Collaboration and Option Agreement.</w:t>
      </w:r>
    </w:p>
    <w:p>
      <w:pPr>
        <w:spacing w:after="0" w:line="17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We continue to design and develop additional Synthetic Biotic medicines in IBD, utilizing our expertise in strain engineering, quantitative biology, regulatory, and manufacturing. We retain all rights to these programs and may enter into additional strategic partnerships in the future to maximize the clinical and commercial value of our programs and our Synthetic Biotic platform.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currently operate in one reportable business segment—the discovery and development of Synthetic Biotic medicines. To date, we have dedicated substantially all of our activities to the research and development of our product candidates. As of September 30, 2021, we have received approximately $426.0 million in proceeds as we financed our operations primarily through the sale of preferred stock, common stock, preferred units, warrants, payments received under the Roche Collaboration and Option agreement, the AbbVie collaboration agreement, interest earned on investments, and cash received in the Merger.</w:t>
      </w:r>
    </w:p>
    <w:p>
      <w:pPr>
        <w:spacing w:after="0" w:line="188" w:lineRule="exact"/>
        <w:rPr>
          <w:sz w:val="20"/>
          <w:szCs w:val="20"/>
          <w:color w:val="auto"/>
        </w:rPr>
      </w:pPr>
    </w:p>
    <w:p>
      <w:pPr>
        <w:ind w:right="120" w:firstLine="510"/>
        <w:spacing w:after="0" w:line="275" w:lineRule="auto"/>
        <w:rPr>
          <w:sz w:val="20"/>
          <w:szCs w:val="20"/>
          <w:color w:val="auto"/>
        </w:rPr>
      </w:pPr>
      <w:r>
        <w:rPr>
          <w:rFonts w:ascii="Arial" w:cs="Arial" w:eastAsia="Arial" w:hAnsi="Arial"/>
          <w:sz w:val="17"/>
          <w:szCs w:val="17"/>
          <w:color w:val="auto"/>
        </w:rPr>
        <w:t>We have not generated any revenue to date from product sales and have incurred significant operating losses since our inception. We have incurred net losses of approximately $16.0 million and $45.5 million for the three and nine months ended September 30, 2021, respectively and $13.2 million and $44.6 million for the three and nine months ended September 30, 2020, respectively. As of September 30, 2021, we had an accumulated deficit of approximately $275.8 million, and we expect to incur losses for the foreseeable future as we develop our product candidates. We expect our expenses and capital requirements will increase substantially in connection with our ongoing activities, as we:</w:t>
      </w:r>
    </w:p>
    <w:p>
      <w:pPr>
        <w:spacing w:after="0" w:line="68" w:lineRule="exact"/>
        <w:rPr>
          <w:sz w:val="20"/>
          <w:szCs w:val="20"/>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complete preclinical studies, initiate and complete clinical trials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 to manufacture product candidates or manufacture product candidates internally;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 research and development related activities to expand our product pipeline;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staff, including clinical, scientific, commercial, and management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expand our existing infrastructure and secure space in a facility to support continued growth in our research and development efforts; and</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add operational and finance personnel to support product development efforts and to support operating as a public company.</w:t>
      </w:r>
    </w:p>
    <w:p>
      <w:pPr>
        <w:spacing w:after="0" w:line="225" w:lineRule="exact"/>
        <w:rPr>
          <w:sz w:val="20"/>
          <w:szCs w:val="20"/>
          <w:color w:val="auto"/>
        </w:rPr>
      </w:pPr>
    </w:p>
    <w:p>
      <w:pPr>
        <w:ind w:right="80" w:firstLine="510"/>
        <w:spacing w:after="0" w:line="289" w:lineRule="auto"/>
        <w:rPr>
          <w:sz w:val="20"/>
          <w:szCs w:val="20"/>
          <w:color w:val="auto"/>
        </w:rPr>
      </w:pPr>
      <w:r>
        <w:rPr>
          <w:rFonts w:ascii="Arial" w:cs="Arial" w:eastAsia="Arial" w:hAnsi="Arial"/>
          <w:sz w:val="16"/>
          <w:szCs w:val="16"/>
          <w:color w:val="auto"/>
        </w:rPr>
        <w:t>We do not expect to generate product revenue unless and until we successfully complete clinical development and obtain regulatory approvals for our product candidates, either alone or in collaboration with third parties. Additionally, we expect to utilize third-party contract research organizations (CROs) and contract manufacturing organizations (CMOs) to carry out our clinical development and manufacturing activities, and we do not yet have a commercial organization. If we obtain regulatory approval for any of our product candidates, we expect to incur significant expenses related to developing our internal commercialization capability to support product sales, marketing and distribution. Accordingly, we anticipate that we will seek to fund our operations through public or private equity or debt financings, collaborations or licenses, finance lease transactions or other available financing transactions. However, we may be unable to raise additional funds through these or other means when needed. Because of the numerous risks and uncertainties associated with product development, we are unable to predict the timing or amount of increased expenses or when or if it will be able to achieve or maintain profitability. Even if we are able to generate product revenue, we may not become profitable.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Impact of the COVID-19 pandemic on our business</w:t>
      </w:r>
    </w:p>
    <w:p>
      <w:pPr>
        <w:spacing w:after="0" w:line="117" w:lineRule="exact"/>
        <w:rPr>
          <w:sz w:val="20"/>
          <w:szCs w:val="20"/>
          <w:color w:val="auto"/>
        </w:rPr>
      </w:pPr>
    </w:p>
    <w:p>
      <w:pPr>
        <w:ind w:right="120" w:firstLine="510"/>
        <w:spacing w:after="0" w:line="290" w:lineRule="auto"/>
        <w:rPr>
          <w:sz w:val="20"/>
          <w:szCs w:val="20"/>
          <w:color w:val="auto"/>
        </w:rPr>
      </w:pPr>
      <w:r>
        <w:rPr>
          <w:rFonts w:ascii="Arial" w:cs="Arial" w:eastAsia="Arial" w:hAnsi="Arial"/>
          <w:sz w:val="16"/>
          <w:szCs w:val="16"/>
          <w:color w:val="auto"/>
        </w:rPr>
        <w:t>In December 2019, an outbreak of a novel strain of coronavirus was identified in Wuhan, China. This virus continues to spread globally, has been declared a pandemic by the World Health Organization and has spread to over 100 countries, including the United States. The impact of this pandemic has been and will likely continue to be extensive and has resulted in and will likely continue to result in significant disruptions to businesses and capital markets around the world.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Our ability to enroll our clinical trials will be dependent on many factors, including the progression of the pandemic and its impact on patients and the investigators at our clinical trial sites. We are actively working with sites and investigators to mitigate these risks. We continue to carefully monitor the situation with respect to each of our clinical trials and follow guidance from local and federal health authorities.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 xml:space="preserve">Revenue for the three months ended September 30, 2021 was generated from our collaboration agreement with Roche. In June 2021, we announced that we entered into the Roche Collaboration and Option Agreement for the discovery of novel Synthetic Biotic medicines for the treatment of IBD. The collaboration agreement contains multiple deliverables, which include an exclusive option for Roche to negotiate a definitive collaboration and license agreement for further development of the Product Candidate and acquire research and development milestones. See Note 9, </w:t>
      </w:r>
      <w:r>
        <w:rPr>
          <w:rFonts w:ascii="Arial" w:cs="Arial" w:eastAsia="Arial" w:hAnsi="Arial"/>
          <w:sz w:val="18"/>
          <w:szCs w:val="18"/>
          <w:i w:val="1"/>
          <w:iCs w:val="1"/>
          <w:color w:val="auto"/>
        </w:rPr>
        <w:t>Collaboration 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Roche Collaboration </w:t>
      </w:r>
      <w:r>
        <w:rPr>
          <w:rFonts w:ascii="Arial" w:cs="Arial" w:eastAsia="Arial" w:hAnsi="Arial"/>
          <w:sz w:val="18"/>
          <w:szCs w:val="18"/>
          <w:color w:val="auto"/>
        </w:rPr>
        <w:t>in the notes to the unaudited consolidated financial statements appearing elsewhere in this Quarterly Report on Form 10-Q for a full</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of the arrangement.</w:t>
      </w:r>
    </w:p>
    <w:p>
      <w:pPr>
        <w:spacing w:after="0" w:line="300"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 xml:space="preserve">Revenue generated in 2020 and previous years was from our collaboration agreement with AbbVie. In May 2020, we announced the termination of our collaboration with AbbVie. Upon termination of the collaboration with AbbVie, we regained all rights to develop the IBD Synthetic Biotic medicines previously developed with AbbVie as well as new IBD Synthetic Biotic medicines for all effectors targeting IBD. Due to the termination of this Agreement, we do not expect further revenue from AbbVie. See Note 9, </w:t>
      </w:r>
      <w:r>
        <w:rPr>
          <w:rFonts w:ascii="Arial" w:cs="Arial" w:eastAsia="Arial" w:hAnsi="Arial"/>
          <w:sz w:val="16"/>
          <w:szCs w:val="16"/>
          <w:i w:val="1"/>
          <w:iCs w:val="1"/>
          <w:color w:val="auto"/>
        </w:rPr>
        <w:t>Collaboration Agreements: AbbVie Collaboration</w:t>
      </w:r>
      <w:r>
        <w:rPr>
          <w:rFonts w:ascii="Arial" w:cs="Arial" w:eastAsia="Arial" w:hAnsi="Arial"/>
          <w:sz w:val="16"/>
          <w:szCs w:val="16"/>
          <w:color w:val="auto"/>
        </w:rPr>
        <w:t xml:space="preserve"> in the notes to the unaudited consolidated financial statements appearing elsewhere in this Quarterly Report on Form 10-Q for a full discussion of the arrangement.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Research and development expense consists of expenses incurred in connection with the discovery and development of our product candidates, including the conduct of preclinical and clinical studies and product development, which are expensed as they are incurred. These expenses consist primarily of:</w:t>
      </w:r>
    </w:p>
    <w:p>
      <w:pPr>
        <w:spacing w:after="0" w:line="76" w:lineRule="exact"/>
        <w:rPr>
          <w:sz w:val="20"/>
          <w:szCs w:val="20"/>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compensation, benefits and other employee related expenses;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supplies to support our internal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research and development related facility and depreciation costs;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leased manufacturing space;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third-party contract costs relating to research, process and formulation development, preclinical and clinical studies and regulatory operations.</w:t>
      </w:r>
    </w:p>
    <w:p>
      <w:pPr>
        <w:spacing w:after="0" w:line="248" w:lineRule="exact"/>
        <w:rPr>
          <w:sz w:val="20"/>
          <w:szCs w:val="20"/>
          <w:color w:val="auto"/>
        </w:rPr>
      </w:pPr>
    </w:p>
    <w:p>
      <w:pPr>
        <w:ind w:right="20" w:firstLine="510"/>
        <w:spacing w:after="0" w:line="279" w:lineRule="auto"/>
        <w:rPr>
          <w:sz w:val="20"/>
          <w:szCs w:val="20"/>
          <w:color w:val="auto"/>
        </w:rPr>
      </w:pPr>
      <w:r>
        <w:rPr>
          <w:rFonts w:ascii="Arial" w:cs="Arial" w:eastAsia="Arial" w:hAnsi="Arial"/>
          <w:sz w:val="17"/>
          <w:szCs w:val="17"/>
          <w:color w:val="auto"/>
        </w:rPr>
        <w:t>The lengthy process of securing regulatory approvals for new drugs requires the expenditure of substantial resources. Any delay or failure to obtain regulatory approvals would materially adversely affect our product candidate development efforts and our business overall. Given the inherent uncertainties of pharmaceutical product development, we cannot estimate with any degree of certainty the likelihood, timing or cost of obtaining regulatory approval and marketing our product candidates and thus, when, if ever, our product candidates will generate revenues and cash flows.</w:t>
      </w:r>
    </w:p>
    <w:p>
      <w:pPr>
        <w:spacing w:after="0" w:line="171" w:lineRule="exact"/>
        <w:rPr>
          <w:sz w:val="20"/>
          <w:szCs w:val="20"/>
          <w:color w:val="auto"/>
        </w:rPr>
      </w:pPr>
    </w:p>
    <w:p>
      <w:pPr>
        <w:ind w:right="560" w:firstLine="510"/>
        <w:spacing w:after="0" w:line="342" w:lineRule="auto"/>
        <w:rPr>
          <w:sz w:val="20"/>
          <w:szCs w:val="20"/>
          <w:color w:val="auto"/>
        </w:rPr>
      </w:pPr>
      <w:r>
        <w:rPr>
          <w:rFonts w:ascii="Arial" w:cs="Arial" w:eastAsia="Arial" w:hAnsi="Arial"/>
          <w:sz w:val="16"/>
          <w:szCs w:val="16"/>
          <w:color w:val="auto"/>
        </w:rPr>
        <w:t xml:space="preserve">The successful development of our product candidates is highly uncertain and subject to a number of risks. Refer to the risk factors under the heading </w:t>
      </w:r>
      <w:r>
        <w:rPr>
          <w:rFonts w:ascii="Arial" w:cs="Arial" w:eastAsia="Arial" w:hAnsi="Arial"/>
          <w:sz w:val="16"/>
          <w:szCs w:val="16"/>
          <w:i w:val="1"/>
          <w:iCs w:val="1"/>
          <w:color w:val="auto"/>
        </w:rPr>
        <w:t>Risks Related to the Development of Our Product Candidates</w:t>
      </w:r>
      <w:r>
        <w:rPr>
          <w:rFonts w:ascii="Arial" w:cs="Arial" w:eastAsia="Arial" w:hAnsi="Arial"/>
          <w:sz w:val="16"/>
          <w:szCs w:val="16"/>
          <w:color w:val="auto"/>
        </w:rPr>
        <w:t xml:space="preserve"> in Part II, Item 1A, found elsewhere in this Quarterly Report on Form 10-Q.</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2" w:name="page23"/>
    <w:bookmarkEnd w:id="22"/>
    <w:p>
      <w:pPr>
        <w:ind w:right="40" w:firstLine="510"/>
        <w:spacing w:after="0" w:line="255" w:lineRule="auto"/>
        <w:rPr>
          <w:sz w:val="20"/>
          <w:szCs w:val="20"/>
          <w:color w:val="auto"/>
        </w:rPr>
      </w:pPr>
      <w:r>
        <w:rPr>
          <w:rFonts w:ascii="Arial" w:cs="Arial" w:eastAsia="Arial" w:hAnsi="Arial"/>
          <w:sz w:val="18"/>
          <w:szCs w:val="18"/>
          <w:color w:val="auto"/>
        </w:rPr>
        <w:t>We invest carefully in our pipeline, and the commitment of funding for each subsequent stage of our development programs is dependent upon the receipt of clear, supportive data. We anticipate that we will make determinations as to which additional programs to pursue and how much funding to direct to each program on an ongoing basis in response to the scientific and clinical data of each product candidate, as well as the competitive landscape and ongoing assessments of such product candidate’s commercial potential. We expect our research and development costs will be substantial for the foreseeable future. We expect costs associated with our drug development candidates to increase as the programs progress through clinical trials and new programs progress toward IND and into development.</w:t>
      </w:r>
    </w:p>
    <w:p>
      <w:pPr>
        <w:spacing w:after="0" w:line="19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We track direct research and development expenses, consisting principally of external costs, such as costs associated with contract research organizations and manufacturing of preclinical and clinical drug product and other outsourced research and development expenses to specific product programs. Costs related to specific product candidates are tracked upon the selection of a product candidate. We do not allocate employee and consulting-related costs, costs associated with our platform and facility expenses, including depreciation or other indirect costs, to specific product candidate programs because these costs are deployed across multiple product candidate programs under research and development and, as such, are separately classified. The table below summarizes our research and development expenses by categories of costs for the periods presented (in thousands):</w:t>
      </w:r>
    </w:p>
    <w:p>
      <w:pPr>
        <w:spacing w:after="0" w:line="237"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Three Months Ended</w:t>
            </w: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6"/>
          </w:tcPr>
          <w:p>
            <w:pPr>
              <w:ind w:left="2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3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4"/>
                <w:szCs w:val="14"/>
                <w:b w:val="1"/>
                <w:bCs w:val="1"/>
                <w:color w:val="auto"/>
              </w:rPr>
              <w:t>September 30,</w:t>
            </w:r>
          </w:p>
        </w:tc>
        <w:tc>
          <w:tcPr>
            <w:tcW w:w="5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27"/>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500" w:type="dxa"/>
            <w:vAlign w:val="bottom"/>
          </w:tcPr>
          <w:p>
            <w:pPr>
              <w:spacing w:after="0"/>
              <w:rPr>
                <w:sz w:val="13"/>
                <w:szCs w:val="13"/>
                <w:color w:val="auto"/>
              </w:rPr>
            </w:pPr>
          </w:p>
        </w:tc>
        <w:tc>
          <w:tcPr>
            <w:tcW w:w="10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435"/>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ind w:right="43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4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SYNB1618</w:t>
            </w:r>
          </w:p>
        </w:tc>
        <w:tc>
          <w:tcPr>
            <w:tcW w:w="48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w:t>
            </w: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1,614</w:t>
            </w:r>
          </w:p>
        </w:tc>
        <w:tc>
          <w:tcPr>
            <w:tcW w:w="24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2,995</w:t>
            </w:r>
          </w:p>
        </w:tc>
        <w:tc>
          <w:tcPr>
            <w:tcW w:w="2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7,316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6"/>
                <w:szCs w:val="16"/>
                <w:color w:val="auto"/>
              </w:rPr>
              <w:t>SYNB1934</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1,776</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SYNB8802</w:t>
            </w:r>
          </w:p>
        </w:tc>
        <w:tc>
          <w:tcPr>
            <w:tcW w:w="48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2,258</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436</w:t>
            </w: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4,672</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spacing w:after="0"/>
              <w:rPr>
                <w:sz w:val="20"/>
                <w:szCs w:val="20"/>
                <w:color w:val="auto"/>
              </w:rPr>
            </w:pPr>
            <w:r>
              <w:rPr>
                <w:rFonts w:ascii="Arial" w:cs="Arial" w:eastAsia="Arial" w:hAnsi="Arial"/>
                <w:sz w:val="16"/>
                <w:szCs w:val="16"/>
                <w:color w:val="auto"/>
              </w:rPr>
              <w:t>SYNB1891</w:t>
            </w: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521</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526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1,876</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External pre-development candidate expenses</w:t>
            </w:r>
          </w:p>
        </w:tc>
        <w:tc>
          <w:tcPr>
            <w:tcW w:w="4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1,127</w:t>
            </w: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2,204</w:t>
            </w:r>
          </w:p>
        </w:tc>
        <w:tc>
          <w:tcPr>
            <w:tcW w:w="2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3,294</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8,974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40" w:type="dxa"/>
            <w:vAlign w:val="bottom"/>
            <w:shd w:val="clear" w:color="auto" w:fill="CFF0FC"/>
          </w:tcPr>
          <w:p>
            <w:pPr>
              <w:spacing w:after="0"/>
              <w:rPr>
                <w:sz w:val="20"/>
                <w:szCs w:val="20"/>
                <w:color w:val="auto"/>
              </w:rPr>
            </w:pPr>
            <w:r>
              <w:rPr>
                <w:rFonts w:ascii="Arial" w:cs="Arial" w:eastAsia="Arial" w:hAnsi="Arial"/>
                <w:sz w:val="16"/>
                <w:szCs w:val="16"/>
                <w:color w:val="auto"/>
              </w:rPr>
              <w:t>and unallocated expenses</w:t>
            </w:r>
          </w:p>
        </w:tc>
        <w:tc>
          <w:tcPr>
            <w:tcW w:w="4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0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5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continue"/>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920" w:type="dxa"/>
            <w:vAlign w:val="bottom"/>
            <w:vMerge w:val="continue"/>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6"/>
                <w:szCs w:val="16"/>
                <w:color w:val="auto"/>
              </w:rPr>
              <w:t>Internal research and development expenses</w:t>
            </w:r>
          </w:p>
        </w:tc>
        <w:tc>
          <w:tcPr>
            <w:tcW w:w="48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6,690</w:t>
            </w:r>
          </w:p>
        </w:tc>
        <w:tc>
          <w:tcPr>
            <w:tcW w:w="24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5,701</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17,864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Borders>
              <w:bottom w:val="single" w:sz="8" w:color="auto"/>
            </w:tcBorders>
          </w:tcPr>
          <w:p>
            <w:pPr>
              <w:jc w:val="right"/>
              <w:ind w:right="63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13,355</w:t>
            </w:r>
          </w:p>
        </w:tc>
        <w:tc>
          <w:tcPr>
            <w:tcW w:w="240" w:type="dxa"/>
            <w:vAlign w:val="bottom"/>
          </w:tcPr>
          <w:p>
            <w:pPr>
              <w:spacing w:after="0"/>
              <w:rPr>
                <w:sz w:val="19"/>
                <w:szCs w:val="19"/>
                <w:color w:val="auto"/>
              </w:rPr>
            </w:pPr>
          </w:p>
        </w:tc>
        <w:tc>
          <w:tcPr>
            <w:tcW w:w="82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10,481</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35,254</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General and administrative expense consists primarily of compensation, benefits and other employee-related expenses for personnel in our administrative, finance, legal, information technology, investor relations, business development and human resource functions. Other general and administrative costs include the legal costs of pursuing patent protection of our intellectual property, facility and information technology infrastructure costs and professional fees for accounting and legal services. We anticipate that our general and administrative expenses will increase in the future as we support our continued research and development activities. We also anticipate continued expenses associated with being a public company, including costs for audit, legal, regulatory and tax-related services, costs for director and officer liability insurance, and costs associated with complying with corporate governance, internal controls and similar requirements applicable to public companies. We charge all general and administrative expenses to operations as incurred.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Interest and investment income consists of income earned on investments. Interest expense consists of expense related to our finance leases. Other expense consists primarily of gains and losses on foreign currency invoices.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00" w:firstLine="510"/>
        <w:spacing w:after="0" w:line="259" w:lineRule="auto"/>
        <w:rPr>
          <w:sz w:val="20"/>
          <w:szCs w:val="20"/>
          <w:color w:val="auto"/>
        </w:rPr>
      </w:pPr>
      <w:r>
        <w:rPr>
          <w:rFonts w:ascii="Arial" w:cs="Arial" w:eastAsia="Arial" w:hAnsi="Arial"/>
          <w:sz w:val="18"/>
          <w:szCs w:val="18"/>
          <w:color w:val="auto"/>
        </w:rPr>
        <w:t>Our discussion and analysis of our financial condition and results of operations is based upon our consolidated financial statements prepared in accordance with generally accepted accounting principles in the U.S. (GAAP). The preparation of these financial statements requires us to make certain estimates and assumptions that affect the reported amounts of assets and liabilities, the reported amounts of revenues and expenses during the reported periods and related disclosures.</w:t>
      </w:r>
    </w:p>
    <w:p>
      <w:pPr>
        <w:spacing w:after="0" w:line="187" w:lineRule="exact"/>
        <w:rPr>
          <w:sz w:val="20"/>
          <w:szCs w:val="20"/>
          <w:color w:val="auto"/>
        </w:rPr>
      </w:pPr>
    </w:p>
    <w:p>
      <w:pPr>
        <w:jc w:val="both"/>
        <w:ind w:right="20" w:firstLine="510"/>
        <w:spacing w:after="0" w:line="263" w:lineRule="auto"/>
        <w:rPr>
          <w:sz w:val="20"/>
          <w:szCs w:val="20"/>
          <w:color w:val="auto"/>
        </w:rPr>
      </w:pPr>
      <w:r>
        <w:rPr>
          <w:rFonts w:ascii="Arial" w:cs="Arial" w:eastAsia="Arial" w:hAnsi="Arial"/>
          <w:sz w:val="18"/>
          <w:szCs w:val="18"/>
          <w:color w:val="auto"/>
        </w:rPr>
        <w:t>Our critical accounting policies are described in our 2020 Annual Report. During the nine months ended September 30, 2021, there were no material changes to our critical accounting policies. We believe that these identified policies are critical to fully understanding and evaluating our financial condition and results of operations.</w:t>
      </w:r>
    </w:p>
    <w:p>
      <w:pPr>
        <w:spacing w:after="0" w:line="184"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Our estimates and assumptions, including those related to revenue recognition and research and development expenses are monitored and analyzed by us for changes in facts and circumstances, and material changes in these estimates could occur in the future. The estimates and assumptions involved in our revenue recognition policy, particularly (a) assessing the number 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23" w:name="page24"/>
    <w:bookmarkEnd w:id="23"/>
    <w:p>
      <w:pPr>
        <w:ind w:right="100"/>
        <w:spacing w:after="0" w:line="257" w:lineRule="auto"/>
        <w:rPr>
          <w:sz w:val="20"/>
          <w:szCs w:val="20"/>
          <w:color w:val="auto"/>
        </w:rPr>
      </w:pPr>
      <w:r>
        <w:rPr>
          <w:rFonts w:ascii="Arial" w:cs="Arial" w:eastAsia="Arial" w:hAnsi="Arial"/>
          <w:sz w:val="18"/>
          <w:szCs w:val="18"/>
          <w:color w:val="auto"/>
        </w:rPr>
        <w:t>performance obligations; (b) determination of transaction price; (c) determining the pattern over which performance obligations are satisfied, including estimates to complete performance obligations, and those estimates and assumptions involved in our contract research accrual process, particularly estimates of work completed to date; involve a greater degree of judgment, and therefore we consider revenue recognition and research and development expenses to be our critical accounting policies. We evaluate our estimates and assumptions on an ongoing basis. Actual results may differ from our estimates under different assumptions or conditions.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The following discussion summarizes the key factors our management believes are necessary for an understanding of our consolidated financial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September 30, 2021 Compared to Three Months Ended September 30, 2020</w:t>
      </w:r>
    </w:p>
    <w:p>
      <w:pPr>
        <w:spacing w:after="0" w:line="302"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For the Three Months Ended</w:t>
            </w:r>
          </w:p>
        </w:tc>
        <w:tc>
          <w:tcPr>
            <w:tcW w:w="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9"/>
              </w:rPr>
              <w:t>Change</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00" w:type="dxa"/>
            <w:vAlign w:val="bottom"/>
            <w:vMerge w:val="restart"/>
          </w:tcPr>
          <w:p>
            <w:pPr>
              <w:jc w:val="right"/>
              <w:ind w:right="532"/>
              <w:spacing w:after="0"/>
              <w:rPr>
                <w:sz w:val="20"/>
                <w:szCs w:val="20"/>
                <w:color w:val="auto"/>
              </w:rPr>
            </w:pPr>
            <w:r>
              <w:rPr>
                <w:rFonts w:ascii="Arial" w:cs="Arial" w:eastAsia="Arial" w:hAnsi="Arial"/>
                <w:sz w:val="14"/>
                <w:szCs w:val="14"/>
                <w:b w:val="1"/>
                <w:bCs w:val="1"/>
                <w:color w:val="auto"/>
                <w:w w:val="76"/>
              </w:rPr>
              <w:t>$</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916</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13,355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10,481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29"/>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3,616</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2,956</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16,971</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13,437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3,534</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(13,437)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7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Other expense</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8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46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(16,016)</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right="40" w:firstLine="510"/>
        <w:spacing w:after="0" w:line="308" w:lineRule="auto"/>
        <w:rPr>
          <w:sz w:val="20"/>
          <w:szCs w:val="20"/>
          <w:color w:val="auto"/>
        </w:rPr>
      </w:pPr>
      <w:r>
        <w:rPr>
          <w:rFonts w:ascii="Arial" w:cs="Arial" w:eastAsia="Arial" w:hAnsi="Arial"/>
          <w:sz w:val="17"/>
          <w:szCs w:val="17"/>
          <w:color w:val="auto"/>
        </w:rPr>
        <w:t>Revenue was $0.9 million for the three months ended September 30, 2021. Revenue for the three months ended September 30, 2021 was related to services performed under the Roche collaboration. There was no revenue for the three months ended September 30, 2020.</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Research and development expense was $13.4 million for the three months ended September 30, 2021 compared to $10.5 million in the corresponding period in 2020. The increase in research and development expense was primarily due to an increase of $4.1 million of clinical development costs, comprised of $2.0 million for SYNB8802, $1.7 million for SYNB1934, and $0.4 million for SYNB1618. There was an increase of $0.9 million of compensation, benefits and other employee-related expenses, and an increase of $0.3 million for professional services. These increases were offset by decreases of $2.4 million of nonclinical development costs, primarily related to SYNB1618.</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117"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General and administrative expense was $3.6 million for the three months ended September 30, 2021 compared to $3.0 million for the corresponding period in 2020. The increase was primarily due to increases in professional services, corporate expenses, compensation, benefits and other employee-related expenses.</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584" w:right="45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20" w:firstLine="510"/>
        <w:spacing w:after="0" w:line="308" w:lineRule="auto"/>
        <w:rPr>
          <w:sz w:val="20"/>
          <w:szCs w:val="20"/>
          <w:color w:val="auto"/>
        </w:rPr>
      </w:pPr>
      <w:r>
        <w:rPr>
          <w:rFonts w:ascii="Arial" w:cs="Arial" w:eastAsia="Arial" w:hAnsi="Arial"/>
          <w:sz w:val="17"/>
          <w:szCs w:val="17"/>
          <w:color w:val="auto"/>
        </w:rPr>
        <w:t>Other income (expense) was $0.1 million for the three months ended September 30, 2021, compared to $0.2 million for the corresponding period in 2020. The decrease in other income (expense) of $0.1 million was related to lower interest income generated by our investment account.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30, 2021 Compared to Nine Months Ended September 30, 2020</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For the Nine Months Ended</w:t>
            </w: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33"/>
        </w:trPr>
        <w:tc>
          <w:tcPr>
            <w:tcW w:w="38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right"/>
              <w:ind w:right="114"/>
              <w:spacing w:after="0" w:line="133" w:lineRule="exact"/>
              <w:rPr>
                <w:sz w:val="20"/>
                <w:szCs w:val="20"/>
                <w:color w:val="auto"/>
              </w:rPr>
            </w:pPr>
            <w:r>
              <w:rPr>
                <w:rFonts w:ascii="Arial" w:cs="Arial" w:eastAsia="Arial" w:hAnsi="Arial"/>
                <w:sz w:val="14"/>
                <w:szCs w:val="14"/>
                <w:b w:val="1"/>
                <w:bCs w:val="1"/>
                <w:color w:val="auto"/>
                <w:w w:val="89"/>
              </w:rPr>
              <w:t>September 30,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8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8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1,162</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6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Research and development</w:t>
            </w: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35,254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14"/>
              <w:spacing w:after="0"/>
              <w:rPr>
                <w:sz w:val="20"/>
                <w:szCs w:val="20"/>
                <w:color w:val="auto"/>
              </w:rPr>
            </w:pPr>
            <w:r>
              <w:rPr>
                <w:rFonts w:ascii="Arial" w:cs="Arial" w:eastAsia="Arial" w:hAnsi="Arial"/>
                <w:sz w:val="18"/>
                <w:szCs w:val="18"/>
                <w:color w:val="auto"/>
              </w:rPr>
              <w:t>36,067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General and administrative</w:t>
            </w:r>
          </w:p>
        </w:tc>
        <w:tc>
          <w:tcPr>
            <w:tcW w:w="13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11,528</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10,250</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1,278</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operating expenses</w:t>
            </w:r>
          </w:p>
        </w:tc>
        <w:tc>
          <w:tcPr>
            <w:tcW w:w="13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46,782</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46,317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(45,620)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(45,772)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40"/>
              <w:spacing w:after="0"/>
              <w:rPr>
                <w:sz w:val="20"/>
                <w:szCs w:val="20"/>
                <w:color w:val="auto"/>
              </w:rPr>
            </w:pPr>
            <w:r>
              <w:rPr>
                <w:rFonts w:ascii="Arial" w:cs="Arial" w:eastAsia="Arial" w:hAnsi="Arial"/>
                <w:sz w:val="18"/>
                <w:szCs w:val="18"/>
                <w:color w:val="auto"/>
              </w:rPr>
              <w:t>Interest and investment income</w:t>
            </w: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1,196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29"/>
        </w:trPr>
        <w:tc>
          <w:tcPr>
            <w:tcW w:w="38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38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Other expense</w:t>
            </w:r>
          </w:p>
        </w:tc>
        <w:tc>
          <w:tcPr>
            <w:tcW w:w="138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 net</w:t>
            </w:r>
          </w:p>
        </w:tc>
        <w:tc>
          <w:tcPr>
            <w:tcW w:w="138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14"/>
              <w:spacing w:after="0"/>
              <w:rPr>
                <w:sz w:val="20"/>
                <w:szCs w:val="20"/>
                <w:color w:val="auto"/>
              </w:rPr>
            </w:pPr>
            <w:r>
              <w:rPr>
                <w:rFonts w:ascii="Arial" w:cs="Arial" w:eastAsia="Arial" w:hAnsi="Arial"/>
                <w:sz w:val="18"/>
                <w:szCs w:val="18"/>
                <w:color w:val="auto"/>
              </w:rPr>
              <w:t>1,187</w:t>
            </w: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loss</w:t>
            </w:r>
          </w:p>
        </w:tc>
        <w:tc>
          <w:tcPr>
            <w:tcW w:w="138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(45,472)</w:t>
            </w:r>
          </w:p>
        </w:tc>
        <w:tc>
          <w:tcPr>
            <w:tcW w:w="1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(44,585)</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40"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Revenue was $1.2 million for the nine months ended September 30, 2021 as compared to $0.5 million for the nine months ended September 30, 2020. Revenue for the nine months ended September 30, 2021 was related to services performed under the Roche collaboration. Revenue for the nine months ended September 30, 2020 was related to services performed under the AbbVie collaboration. In May 2020, we announced the termination of our collaboration with AbbVie.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17" w:lineRule="exact"/>
        <w:rPr>
          <w:sz w:val="20"/>
          <w:szCs w:val="20"/>
          <w:color w:val="auto"/>
        </w:rPr>
      </w:pPr>
    </w:p>
    <w:p>
      <w:pPr>
        <w:ind w:firstLine="749"/>
        <w:spacing w:after="0" w:line="255" w:lineRule="auto"/>
        <w:rPr>
          <w:sz w:val="20"/>
          <w:szCs w:val="20"/>
          <w:color w:val="auto"/>
        </w:rPr>
      </w:pPr>
      <w:r>
        <w:rPr>
          <w:rFonts w:ascii="Arial" w:cs="Arial" w:eastAsia="Arial" w:hAnsi="Arial"/>
          <w:sz w:val="18"/>
          <w:szCs w:val="18"/>
          <w:color w:val="auto"/>
        </w:rPr>
        <w:t>Research and development expense was $35.3 million for the nine months ended September 30, 2021 compared to $36.1 million in the corresponding period in 2020. The decrease in research and development expense was primarily due to decreases of $10.7 million of nonclinical development costs, primarily related to SYNB1618. These decreases were offset by an increase of $7.2 million of clinical development costs, comprised of $4.4 million for SYNB8802, $2.2 million for SYNB1934, $0.4 million for SYNB1891, and $0.2 million for SYNB1618. There was an increase of $2.2 million of compensation, benefits and other employee-related expenses, an increase of $0.4 million for professional services, and an increase of $0.1 million of research and development support costs.</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50" w:lineRule="exact"/>
        <w:rPr>
          <w:sz w:val="20"/>
          <w:szCs w:val="20"/>
          <w:color w:val="auto"/>
        </w:rPr>
      </w:pPr>
    </w:p>
    <w:p>
      <w:pPr>
        <w:ind w:right="640" w:firstLine="749"/>
        <w:spacing w:after="0" w:line="308" w:lineRule="auto"/>
        <w:rPr>
          <w:sz w:val="20"/>
          <w:szCs w:val="20"/>
          <w:color w:val="auto"/>
        </w:rPr>
      </w:pPr>
      <w:r>
        <w:rPr>
          <w:rFonts w:ascii="Arial" w:cs="Arial" w:eastAsia="Arial" w:hAnsi="Arial"/>
          <w:sz w:val="17"/>
          <w:szCs w:val="17"/>
          <w:color w:val="auto"/>
        </w:rPr>
        <w:t>General and administrative expense was $11.5 million for the nine months ended September 30, 2021 compared to $10.3 million for the corresponding period in 2020. The increase was primarily due to increases in professional services and corporate expenses.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121" w:lineRule="exact"/>
        <w:rPr>
          <w:sz w:val="20"/>
          <w:szCs w:val="20"/>
          <w:color w:val="auto"/>
        </w:rPr>
      </w:pPr>
    </w:p>
    <w:p>
      <w:pPr>
        <w:ind w:right="80" w:firstLine="510"/>
        <w:spacing w:after="0" w:line="308" w:lineRule="auto"/>
        <w:rPr>
          <w:sz w:val="20"/>
          <w:szCs w:val="20"/>
          <w:color w:val="auto"/>
        </w:rPr>
      </w:pPr>
      <w:r>
        <w:rPr>
          <w:rFonts w:ascii="Arial" w:cs="Arial" w:eastAsia="Arial" w:hAnsi="Arial"/>
          <w:sz w:val="17"/>
          <w:szCs w:val="17"/>
          <w:color w:val="auto"/>
        </w:rPr>
        <w:t>Other income (expense) was $0.2 million for the nine months ended September 30, 2021, compared to $1.2 million for the corresponding period in 2020. The decrease in other income (expense) of $1.0 million was related to lower interest income generated by our investment account.</w:t>
      </w:r>
    </w:p>
    <w:p>
      <w:pPr>
        <w:spacing w:after="0" w:line="3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00" w:firstLine="510"/>
        <w:spacing w:after="0" w:line="269" w:lineRule="auto"/>
        <w:rPr>
          <w:sz w:val="20"/>
          <w:szCs w:val="20"/>
          <w:color w:val="auto"/>
        </w:rPr>
      </w:pPr>
      <w:r>
        <w:rPr>
          <w:rFonts w:ascii="Arial" w:cs="Arial" w:eastAsia="Arial" w:hAnsi="Arial"/>
          <w:sz w:val="17"/>
          <w:szCs w:val="17"/>
          <w:color w:val="auto"/>
        </w:rPr>
        <w:t>We have incurred losses since our inception on March 14, 2014 and, as of September 30, 2021 we had an accumulated deficit of approximately $275.8 million. We have financed our operations to date primarily through the sale of preferred stock, common stock, preferred units and warrants, payments received under collaboration agreements, including the technology collaboration with Ginkgo, the Roche Collaboration and Option agreement, and the previous collaboration agreement with AbbVie, interest earned on investments, and cash received in the Merger. At September 30, 2021, we had approximately $150.1 million in cash, cash equivalents, and short-term marketable securities. Our cash and cash equivalents include amounts held in money market funds and corporate debt securities, stated at cost plus unrealized gain and loss, which approximates fair market value. Our available-for-sale securities include amounts held in corporate debt securities, commercial paper and U.S. government agency securities and treasuries. We invest cash in excess of immediate requirements in accordance with our investment policy, which limits the amounts we may invest in any one type of investment and requires all investments held by us to maintain minimum ratings from Nationally Recognized Statistical Rating Organizations so as to primarily achieve liquidity and capital preservation.</w:t>
      </w:r>
    </w:p>
    <w:p>
      <w:pPr>
        <w:spacing w:after="0" w:line="185"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During the nine months ended September 30, 2021, our cash, cash equivalents and marketable securities balance increased approximately $49.6 million. This increase was primarily due to the sale of our common stock in underwritten public offerings in April and September 2021 and proceeds from the sale of our common stock in the ATM offering program. These increases were offset by the cash used to operate our business, including payments related to, among other things, research and development and general and administrative expenses as we continue to invest in our primary drug candidates and support the development of our proprietary platform.</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major sources and uses of cash, cash equivalents and restricted cash for each of the periods below (in thousands):</w:t>
      </w:r>
    </w:p>
    <w:p>
      <w:pPr>
        <w:spacing w:after="0" w:line="321"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314"/>
              <w:spacing w:after="0"/>
              <w:rPr>
                <w:sz w:val="20"/>
                <w:szCs w:val="20"/>
                <w:color w:val="auto"/>
              </w:rPr>
            </w:pPr>
            <w:r>
              <w:rPr>
                <w:rFonts w:ascii="Arial" w:cs="Arial" w:eastAsia="Arial" w:hAnsi="Arial"/>
                <w:sz w:val="14"/>
                <w:szCs w:val="14"/>
                <w:b w:val="1"/>
                <w:bCs w:val="1"/>
                <w:color w:val="auto"/>
                <w:w w:val="97"/>
              </w:rPr>
              <w:t>Nine Months Ended September 30,</w:t>
            </w:r>
          </w:p>
        </w:tc>
      </w:tr>
      <w:tr>
        <w:trPr>
          <w:trHeight w:val="156"/>
        </w:trPr>
        <w:tc>
          <w:tcPr>
            <w:tcW w:w="5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498"/>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4"/>
              <w:spacing w:after="0" w:line="155" w:lineRule="exact"/>
              <w:rPr>
                <w:sz w:val="20"/>
                <w:szCs w:val="20"/>
                <w:color w:val="auto"/>
              </w:rPr>
            </w:pPr>
            <w:r>
              <w:rPr>
                <w:rFonts w:ascii="Arial" w:cs="Arial" w:eastAsia="Arial" w:hAnsi="Arial"/>
                <w:sz w:val="14"/>
                <w:szCs w:val="14"/>
                <w:b w:val="1"/>
                <w:bCs w:val="1"/>
                <w:color w:val="auto"/>
              </w:rPr>
              <w:t>2020</w:t>
            </w:r>
          </w:p>
        </w:tc>
      </w:tr>
      <w:tr>
        <w:trPr>
          <w:trHeight w:val="156"/>
        </w:trPr>
        <w:tc>
          <w:tcPr>
            <w:tcW w:w="5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3"/>
                <w:szCs w:val="13"/>
                <w:color w:val="auto"/>
              </w:rPr>
            </w:pPr>
          </w:p>
        </w:tc>
      </w:tr>
      <w:tr>
        <w:trPr>
          <w:trHeight w:val="229"/>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Net cash, cash equivalents and restricted cash (used in) provided by</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r>
      <w:tr>
        <w:trPr>
          <w:trHeight w:val="229"/>
        </w:trPr>
        <w:tc>
          <w:tcPr>
            <w:tcW w:w="55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8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(39,138)</w:t>
            </w:r>
          </w:p>
        </w:tc>
        <w:tc>
          <w:tcPr>
            <w:tcW w:w="54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(29,665)</w:t>
            </w:r>
          </w:p>
        </w:tc>
      </w:tr>
      <w:tr>
        <w:trPr>
          <w:trHeight w:val="230"/>
        </w:trPr>
        <w:tc>
          <w:tcPr>
            <w:tcW w:w="55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Investing activities</w:t>
            </w:r>
          </w:p>
        </w:tc>
        <w:tc>
          <w:tcPr>
            <w:tcW w:w="6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(19,946)</w:t>
            </w:r>
          </w:p>
        </w:tc>
        <w:tc>
          <w:tcPr>
            <w:tcW w:w="1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25,373</w:t>
            </w:r>
          </w:p>
        </w:tc>
      </w:tr>
      <w:tr>
        <w:trPr>
          <w:trHeight w:val="229"/>
        </w:trPr>
        <w:tc>
          <w:tcPr>
            <w:tcW w:w="5500" w:type="dxa"/>
            <w:vAlign w:val="bottom"/>
            <w:tcBorders>
              <w:bottom w:val="single" w:sz="8" w:color="CFF0FC"/>
            </w:tcBorders>
          </w:tcPr>
          <w:p>
            <w:pPr>
              <w:ind w:left="120"/>
              <w:spacing w:after="0"/>
              <w:rPr>
                <w:sz w:val="20"/>
                <w:szCs w:val="20"/>
                <w:color w:val="auto"/>
              </w:rPr>
            </w:pPr>
            <w:r>
              <w:rPr>
                <w:rFonts w:ascii="Arial" w:cs="Arial" w:eastAsia="Arial" w:hAnsi="Arial"/>
                <w:sz w:val="18"/>
                <w:szCs w:val="18"/>
                <w:color w:val="auto"/>
              </w:rPr>
              <w:t>Financing activities</w:t>
            </w:r>
          </w:p>
        </w:tc>
        <w:tc>
          <w:tcPr>
            <w:tcW w:w="6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89,502</w:t>
            </w:r>
          </w:p>
        </w:tc>
        <w:tc>
          <w:tcPr>
            <w:tcW w:w="14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4,923</w:t>
            </w:r>
          </w:p>
        </w:tc>
      </w:tr>
      <w:tr>
        <w:trPr>
          <w:trHeight w:val="223"/>
        </w:trPr>
        <w:tc>
          <w:tcPr>
            <w:tcW w:w="5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6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FF0FC"/>
          </w:tcPr>
          <w:p>
            <w:pPr>
              <w:jc w:val="right"/>
              <w:ind w:right="18"/>
              <w:spacing w:after="0"/>
              <w:rPr>
                <w:sz w:val="20"/>
                <w:szCs w:val="20"/>
                <w:color w:val="auto"/>
              </w:rPr>
            </w:pPr>
            <w:r>
              <w:rPr>
                <w:rFonts w:ascii="Arial" w:cs="Arial" w:eastAsia="Arial" w:hAnsi="Arial"/>
                <w:sz w:val="18"/>
                <w:szCs w:val="18"/>
                <w:color w:val="auto"/>
              </w:rPr>
              <w:t>30,418</w:t>
            </w: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631</w:t>
            </w:r>
          </w:p>
        </w:tc>
      </w:tr>
      <w:tr>
        <w:trPr>
          <w:trHeight w:val="20"/>
        </w:trPr>
        <w:tc>
          <w:tcPr>
            <w:tcW w:w="55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17"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Net cash, cash equivalents and restricted cash used in operating activities was approximately $39.1 million for the nine months ended September 30, 2021. The primary use of cash was our net loss of $45.5 million, changes in our assets and liabilities of $0.2 million, partially offset by $6.2 million of non-cash items primarily including depreciation, equity-based compensation, and the right of use asset. The changes in our assets and liabilities includes the addition of accounts receivable due to the $1.0 million to be received from Roche for the milestone that was achieved in September 2021, decreases in prepaid research and development expenses, as a result of the work being completed on the Ginkgo collaboration, decreases in prepaid expenses and other current assets, decreases in the operating lease liability, increases in accounts payable and accrued expenses, and increased deferred revenue.</w:t>
      </w:r>
    </w:p>
    <w:p>
      <w:pPr>
        <w:spacing w:after="0" w:line="272" w:lineRule="exact"/>
        <w:rPr>
          <w:sz w:val="20"/>
          <w:szCs w:val="20"/>
          <w:color w:val="auto"/>
        </w:rPr>
      </w:pPr>
    </w:p>
    <w:p>
      <w:pPr>
        <w:ind w:right="140" w:firstLine="749"/>
        <w:spacing w:after="0" w:line="296" w:lineRule="auto"/>
        <w:rPr>
          <w:sz w:val="20"/>
          <w:szCs w:val="20"/>
          <w:color w:val="auto"/>
        </w:rPr>
      </w:pPr>
      <w:r>
        <w:rPr>
          <w:rFonts w:ascii="Arial" w:cs="Arial" w:eastAsia="Arial" w:hAnsi="Arial"/>
          <w:sz w:val="16"/>
          <w:szCs w:val="16"/>
          <w:color w:val="auto"/>
        </w:rPr>
        <w:t>Net cash, cash equivalents and restricted cash used in operating activities was approximately $29.7 million for the nine months ended September 30, 2020. The primary use of cash was our net loss of $44.6 million, which was partially offset by $6.3 million of non-cash items primarily including depreciation and equity-based compensation. There was an increase in working capital of $8.6 million, primarily related to decreases in prepaid research and development expenses, as a result of our June 2019 services agreement with Ginkgo, decreases in prepaid expenses and other current assets, offset by decreases in accounts payable, accrued expenses, operating lease liability and right of use asset and deferred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17"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Net cash used in investing activities for the nine months ended September 30, 2021 was $19.9 million and resulted primarily from the purchases of marketable securities of $98.0 million and property and equipment of $0.5 million. This was offset by proceeds from maturity of marketable securities of $77.3 million and proceeds from redemption of marketable securities of $1.3 million.</w:t>
      </w:r>
    </w:p>
    <w:p>
      <w:pPr>
        <w:spacing w:after="0" w:line="292"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Net cash provided by investing activities for the nine months ended September 30, 2020 was $25.4 million and resulted primarily from the proceeds from maturity of marketable securities of $61.7 million and proceeds from redemption of marketable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26" w:name="page27"/>
    <w:bookmarkEnd w:id="26"/>
    <w:p>
      <w:pPr>
        <w:spacing w:after="0"/>
        <w:rPr>
          <w:sz w:val="20"/>
          <w:szCs w:val="20"/>
          <w:color w:val="auto"/>
        </w:rPr>
      </w:pPr>
      <w:r>
        <w:rPr>
          <w:rFonts w:ascii="Arial" w:cs="Arial" w:eastAsia="Arial" w:hAnsi="Arial"/>
          <w:sz w:val="17"/>
          <w:szCs w:val="17"/>
          <w:color w:val="auto"/>
        </w:rPr>
        <w:t>securities of $16.7 million. This was offset by the purchases of marketable securities of $52.7 million and property and equipment of $0.4 million.</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17" w:lineRule="exact"/>
        <w:rPr>
          <w:sz w:val="20"/>
          <w:szCs w:val="20"/>
          <w:color w:val="auto"/>
        </w:rPr>
      </w:pPr>
    </w:p>
    <w:p>
      <w:pPr>
        <w:jc w:val="both"/>
        <w:ind w:right="40" w:firstLine="510"/>
        <w:spacing w:after="0" w:line="259" w:lineRule="auto"/>
        <w:rPr>
          <w:sz w:val="20"/>
          <w:szCs w:val="20"/>
          <w:color w:val="auto"/>
        </w:rPr>
      </w:pPr>
      <w:r>
        <w:rPr>
          <w:rFonts w:ascii="Arial" w:cs="Arial" w:eastAsia="Arial" w:hAnsi="Arial"/>
          <w:sz w:val="18"/>
          <w:szCs w:val="18"/>
          <w:color w:val="auto"/>
        </w:rPr>
        <w:t>Net cash provided by financing activities for the nine months ended September 30, 2021 totaled $89.5 million, primarily related to net proceeds of $81.2 million from the sale of our common stock in underwritten public offerings in April and September 2021, $8.1 million from the sale of our common stock in the ATM offering program and proceeds of $0.4 million from exercise of stock options and ESPP contributions, offset by payments of withholding taxes for employees relating to restricted stock awards.</w:t>
      </w:r>
    </w:p>
    <w:p>
      <w:pPr>
        <w:spacing w:after="0" w:line="295"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Net cash provided by financing activities for the nine months ended September 30, 2020 totaled $4.9 million, primarily related to net proceeds of $5.1 million from the sale of our common stock in the ATM offering program, offset by payments on our finance leases.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21" w:lineRule="exact"/>
        <w:rPr>
          <w:sz w:val="20"/>
          <w:szCs w:val="20"/>
          <w:color w:val="auto"/>
        </w:rPr>
      </w:pPr>
    </w:p>
    <w:p>
      <w:pPr>
        <w:ind w:right="220" w:firstLine="510"/>
        <w:spacing w:after="0" w:line="263" w:lineRule="auto"/>
        <w:rPr>
          <w:sz w:val="20"/>
          <w:szCs w:val="20"/>
          <w:color w:val="auto"/>
        </w:rPr>
      </w:pPr>
      <w:r>
        <w:rPr>
          <w:rFonts w:ascii="Arial" w:cs="Arial" w:eastAsia="Arial" w:hAnsi="Arial"/>
          <w:sz w:val="18"/>
          <w:szCs w:val="18"/>
          <w:color w:val="auto"/>
        </w:rPr>
        <w:t>To date, we have not commercialized any products and have not achieved profitability. We anticipate that we will continue to incur substantial net losses for the next several years as we further develop our product candidates, invest in our proprietary platform technology and operate as a publicly traded company.</w:t>
      </w:r>
    </w:p>
    <w:p>
      <w:pPr>
        <w:spacing w:after="0" w:line="184"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We are currently generating revenue from our Roche collaboration and have historically generated revenue from our AbbVie collaboration (which was terminated in May 2020), but have not generated any product revenue since our inception and do not expect to generate any product revenue unless we receive regulatory approval for our product candidates. We believe that our cash, cash equivalents, and short-term marketable securities as of September 30, 2021, will be sufficient to meet our anticipated cash requirements for at least the next 12 months from the date of this filing. Our forecast of the period of time through which our financial resources will be adequate to support our operations is a forward-looking statement that involves risks and uncertainties, and actual results could vary materially and negatively as a result of a number of factors, including the factors discussed in the section entitled “Risk Factors” in this Quarterly Report on Form 10-Q. We have based our estimates on assumptions that may prove to be wrong, and we could utilize our available capital resources sooner than we currently expect.</w:t>
      </w:r>
    </w:p>
    <w:p>
      <w:pPr>
        <w:spacing w:after="0" w:line="178" w:lineRule="exact"/>
        <w:rPr>
          <w:sz w:val="20"/>
          <w:szCs w:val="20"/>
          <w:color w:val="auto"/>
        </w:rPr>
      </w:pPr>
    </w:p>
    <w:p>
      <w:pPr>
        <w:ind w:right="420" w:firstLine="510"/>
        <w:spacing w:after="0" w:line="286" w:lineRule="auto"/>
        <w:rPr>
          <w:sz w:val="20"/>
          <w:szCs w:val="20"/>
          <w:color w:val="auto"/>
        </w:rPr>
      </w:pPr>
      <w:r>
        <w:rPr>
          <w:rFonts w:ascii="Arial" w:cs="Arial" w:eastAsia="Arial" w:hAnsi="Arial"/>
          <w:sz w:val="17"/>
          <w:szCs w:val="17"/>
          <w:color w:val="auto"/>
        </w:rPr>
        <w:t>Due to the numerous risks and uncertainties associated with the development of our product candidates, we are unable to estimate precisely the amounts of capital outlays and operating expenditures necessary to complete the development of, and to obtain regulatory approval for, our product candidates. Our funding requirements will depend on many factors, including, but not limited to, the following:</w:t>
      </w:r>
    </w:p>
    <w:p>
      <w:pPr>
        <w:spacing w:after="0" w:line="57" w:lineRule="exact"/>
        <w:rPr>
          <w:sz w:val="20"/>
          <w:szCs w:val="20"/>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success of our research and development efforts;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initiation, progress, timing, costs and results of clinical trials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time and costs involved in obtaining regulatory approvals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progress, timing and costs involved in developing manufacturing processes and agreements with third-party manufacturers;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rate of progress and cost of our commercialization activities;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expenses we incur in marketing and selling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revenue generated by sales of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emergence of competing or complementary technological developments;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and timing of any additional collaborative, licensing or other arrangements that we may establish;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acquisition of businesses, products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to implement additional infrastructure and internal systems;</w:t>
      </w:r>
    </w:p>
    <w:p>
      <w:pPr>
        <w:spacing w:after="0" w:line="117"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need to add personnel and financial and management information systems to support our product development and potential future commercialization efforts, and to enable us to operate as a public company; and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7" w:name="page28"/>
    <w:bookmarkEnd w:id="27"/>
    <w:p>
      <w:pPr>
        <w:ind w:left="1000" w:hanging="493"/>
        <w:spacing w:after="0"/>
        <w:tabs>
          <w:tab w:leader="none" w:pos="10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extent to which our business is adversely impacted by the effects of the coronavirus outbreak or by other health epidemics or pandemics.</w:t>
      </w:r>
    </w:p>
    <w:p>
      <w:pPr>
        <w:spacing w:after="0" w:line="248" w:lineRule="exact"/>
        <w:rPr>
          <w:sz w:val="20"/>
          <w:szCs w:val="20"/>
          <w:color w:val="auto"/>
        </w:rPr>
      </w:pPr>
    </w:p>
    <w:p>
      <w:pPr>
        <w:ind w:right="20" w:firstLine="510"/>
        <w:spacing w:after="0" w:line="268" w:lineRule="auto"/>
        <w:rPr>
          <w:sz w:val="20"/>
          <w:szCs w:val="20"/>
          <w:color w:val="auto"/>
        </w:rPr>
      </w:pPr>
      <w:r>
        <w:rPr>
          <w:rFonts w:ascii="Arial" w:cs="Arial" w:eastAsia="Arial" w:hAnsi="Arial"/>
          <w:sz w:val="17"/>
          <w:szCs w:val="17"/>
          <w:color w:val="auto"/>
        </w:rPr>
        <w:t>As an early-stage company, we are subject to a number of risks common to other life science companies, including, but not limited to, the ability to raise additional capital, development by our competitors of new technological innovations, risk of failure in preclinical studies, the safety and efficacy of our product candidates in clinical trials, the regulatory approval process, the ability to efficiently manufacture our products, market acceptance of our products once approved, lack of marketing and sales history, dependence on key personnel and protection of proprietary technology. Our therapeutic programs are currently pre-commercial, spanning discovery through early development and will require significant additional research and development efforts, including extensive preclinical and clinical testing and regulatory approval prior to commercialization of any product candidates. These efforts require significant amounts of additional capital, adequate personnel infrastructure and extensive compliance-reporting capabilities. There can be no assurance that our research and development will be successfully completed, that adequate protection for our intellectual property will be obtained, that any products developed will obtain necessary regulatory approval or that any approved products will be commercially viable. Even if our product development efforts are successful, it is uncertain when, if ever, we will generate revenue from product sales. We may never achieve profitability, and unless and until we do, we will continue to need to raise additional capital or obtain financing from other sources, such as strategic collaborations or partnerships. If we cannot expand our operations or otherwise capitalize on our business opportunities because we lack sufficient capital, our business, financial condition and results of operations could be materially adversely affected.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 and Obligations</w:t>
      </w:r>
    </w:p>
    <w:p>
      <w:pPr>
        <w:spacing w:after="0" w:line="121" w:lineRule="exact"/>
        <w:rPr>
          <w:sz w:val="20"/>
          <w:szCs w:val="20"/>
          <w:color w:val="auto"/>
        </w:rPr>
      </w:pPr>
    </w:p>
    <w:p>
      <w:pPr>
        <w:ind w:right="260" w:firstLine="510"/>
        <w:spacing w:after="0" w:line="308" w:lineRule="auto"/>
        <w:rPr>
          <w:sz w:val="20"/>
          <w:szCs w:val="20"/>
          <w:color w:val="auto"/>
        </w:rPr>
      </w:pPr>
      <w:r>
        <w:rPr>
          <w:rFonts w:ascii="Arial" w:cs="Arial" w:eastAsia="Arial" w:hAnsi="Arial"/>
          <w:sz w:val="17"/>
          <w:szCs w:val="17"/>
          <w:color w:val="auto"/>
        </w:rPr>
        <w:t>There have been no material changes to our contractual obligations and commitments set forth under the heading “Management’s Discussion and Analysis of Financial Condition and Results of Operations- Contractual Obligations and Commitments” in our 2020 Annual Report.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For a description of transactions with related parties which may fall outside of the reporting period of this section, please see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xml:space="preserve"> in our proxy statement filed with the SEC on April 27,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We do not have any relationships with unconsolidated entities or financial partnerships, such as entities often referred to as structured finance or special purpose entities, that would have been established for the purpose of facilitating off-balance sheet arrangements (as that term is defined in Item 303(a)(4)(ii) of Regulation S-K) or other contractually narrow or limited purposes. As such, we are not exposed to any financing, liquidity, market or credit risk that could arise if we had engaged in those types of relationships. We enter into guarantees in the ordinary course of business related to the guarantee of our performance and the performance of our subsidiaries.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 xml:space="preserve">For detailed information regarding recently issued accounting pronouncements and the expected impact on our consolidated financial statements, see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 the notes to the unaudited consolidated financial statements appearing elsewhere in this Quarterly Report on Form 10-Q.</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this information required under this item.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disclosure controls</w:t>
      </w:r>
    </w:p>
    <w:p>
      <w:pPr>
        <w:spacing w:after="0" w:line="121"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Our disclosure controls and procedures (as defined in Rules 13a-15(e) and 15d-15(e) under the Securities Exchange Act of 1934, as amended (the Exchange Act)) are controls and other procedures that are designed to ensure that information required to be disclosed in our reports filed under the Exchange Act, such as this report, is recorded, processed, summarized and reported within the time periods specified in the SEC’s rules and forms. Disclosure controls and procedures are also designed to ensure that such information is accumulated and communicated to our management, including our principal executive officer and principal financial officer, as appropriate to allow timely decisions regarding required disclosure. Our management evaluates these controls and procedures on an ongoing basis.</w:t>
      </w:r>
    </w:p>
    <w:p>
      <w:pPr>
        <w:spacing w:after="0" w:line="19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These limitations include the possibility of human error, the circumvention or overriding of the controls and procedures and reasonable resource constraints. In addition, because we have designed our system of controls based on certain assumptions, which we believe are reasonable, about the likelihood of future events, our system of controls may not achieve its desired purpose under all possible future conditions. Accordingly, our disclosure controls and procedures provide reasonable assurance, but not absolute assurance, of achieving their objectives.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Our principal executive officer and principal financial officer, after evaluating the effectiveness of our disclosure controls and procedures (as defined in Exchange Act Rules 13a-15(e) and 15d-15(e)) as of the end of the period covered by this Form 10-K,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w:t>
      </w:r>
    </w:p>
    <w:p>
      <w:pPr>
        <w:spacing w:after="0" w:line="121"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There have not been any changes in our internal controls over financial reporting (as defined in Rules 13a-15(f) and 15d-15(f) under the Exchange Act) identified in connection with the evaluation of such internal control that occurred during our fiscal quarter ended September 30, 2021 that have materially affected, or are reasonably likely to materially affect, our internal controls over financial reporting.</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1A. Risk Factors.</w:t>
      </w:r>
    </w:p>
    <w:p>
      <w:pPr>
        <w:spacing w:after="0" w:line="121"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Our business, prospects, financial condition or operating results could be materially adversely affected by the risks identified below, as well as other risks not currently known to us or that we currently consider immaterial. Furthermore, these factors represent risks and uncertainties that could cause actual results to differ materially from those implied by forward-looking statements. Accordingly, in evaluating our business, we encourage you to consider the following discussion of risk factors, in its entirety, in addition to other information contained in this Quarterly Report on Form 10-Q and our other public filings with the SEC. The following risk factors may be amended, supplemented or superseded from time to time by other reports we file with the SEC in the future.</w:t>
      </w:r>
    </w:p>
    <w:p>
      <w:pPr>
        <w:spacing w:after="0" w:line="178" w:lineRule="exact"/>
        <w:rPr>
          <w:sz w:val="20"/>
          <w:szCs w:val="20"/>
          <w:color w:val="auto"/>
        </w:rPr>
      </w:pPr>
    </w:p>
    <w:p>
      <w:pPr>
        <w:ind w:right="160" w:firstLine="510"/>
        <w:spacing w:after="0" w:line="277" w:lineRule="auto"/>
        <w:rPr>
          <w:sz w:val="20"/>
          <w:szCs w:val="20"/>
          <w:color w:val="auto"/>
        </w:rPr>
      </w:pPr>
      <w:r>
        <w:rPr>
          <w:rFonts w:ascii="Arial" w:cs="Arial" w:eastAsia="Arial" w:hAnsi="Arial"/>
          <w:sz w:val="18"/>
          <w:szCs w:val="18"/>
          <w:color w:val="auto"/>
        </w:rPr>
        <w:t>In the following discussion of risk factors, References to “we”, “us”, “our” and similar terms refer to the combined business of Synlogic, Inc. after the Merger on August 28, 2017.</w:t>
      </w: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of Risk Factors</w:t>
      </w:r>
    </w:p>
    <w:p>
      <w:pPr>
        <w:spacing w:after="0" w:line="121"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Our business is subject to numerous risks and uncertainties, including those highlighted in this section below, that represent challenges that we face in connection with the successful implementation of our strategy. The occurrence of one or more of the events or circumstances described in more detail in the risk factors below, alone or in combination with other events or circumstances, may have an adverse effect on our business, cash flows, financial condition and results of operations. Such risks include, but are not limited to:</w:t>
      </w:r>
    </w:p>
    <w:p>
      <w:pPr>
        <w:spacing w:after="0" w:line="79" w:lineRule="exact"/>
        <w:rPr>
          <w:sz w:val="20"/>
          <w:szCs w:val="20"/>
          <w:color w:val="auto"/>
        </w:rPr>
      </w:pPr>
    </w:p>
    <w:p>
      <w:pPr>
        <w:ind w:left="1000" w:right="3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will require substantial additional funding, which may not be available on acceptable terms, or at all.</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stock price is volatile and our stockholders may not be able to resell shares of our common stock at or above the price they paid.</w:t>
      </w:r>
    </w:p>
    <w:p>
      <w:pPr>
        <w:spacing w:after="0" w:line="128" w:lineRule="exact"/>
        <w:rPr>
          <w:rFonts w:ascii="Arial" w:cs="Arial" w:eastAsia="Arial" w:hAnsi="Arial"/>
          <w:sz w:val="17"/>
          <w:szCs w:val="17"/>
          <w:color w:val="auto"/>
        </w:rPr>
      </w:pPr>
    </w:p>
    <w:p>
      <w:pPr>
        <w:ind w:left="1000" w:right="42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short operating history may make it difficult for stockholders to evaluate the success of our business to date and to assess our future viability.</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Clinical trials are costly, time consuming and inherently risky, and we may fail to demonstrate safety and efficacy to the satisfaction of applicable regulatory authorities.</w:t>
      </w:r>
    </w:p>
    <w:p>
      <w:pPr>
        <w:spacing w:after="0" w:line="62" w:lineRule="exact"/>
        <w:rPr>
          <w:rFonts w:ascii="Arial" w:cs="Arial" w:eastAsia="Arial" w:hAnsi="Arial"/>
          <w:sz w:val="18"/>
          <w:szCs w:val="18"/>
          <w:color w:val="auto"/>
        </w:rPr>
      </w:pPr>
    </w:p>
    <w:p>
      <w:pPr>
        <w:ind w:left="1000" w:right="30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approach we are taking to discover and develop novel therapeutics using synthetic biology to create novel medicines is unproven and may never lead to marketable products.</w:t>
      </w:r>
    </w:p>
    <w:p>
      <w:pPr>
        <w:spacing w:after="0" w:line="62" w:lineRule="exact"/>
        <w:rPr>
          <w:rFonts w:ascii="Arial" w:cs="Arial" w:eastAsia="Arial" w:hAnsi="Arial"/>
          <w:sz w:val="18"/>
          <w:szCs w:val="18"/>
          <w:color w:val="auto"/>
        </w:rPr>
      </w:pPr>
    </w:p>
    <w:p>
      <w:pPr>
        <w:ind w:left="1000" w:hanging="493"/>
        <w:spacing w:after="0" w:line="342"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5" w:lineRule="exact"/>
        <w:rPr>
          <w:rFonts w:ascii="Arial" w:cs="Arial" w:eastAsia="Arial" w:hAnsi="Arial"/>
          <w:sz w:val="16"/>
          <w:szCs w:val="16"/>
          <w:color w:val="auto"/>
        </w:rPr>
      </w:pPr>
    </w:p>
    <w:p>
      <w:pPr>
        <w:ind w:left="1000" w:right="4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rFonts w:ascii="Arial" w:cs="Arial" w:eastAsia="Arial" w:hAnsi="Arial"/>
          <w:sz w:val="18"/>
          <w:szCs w:val="18"/>
          <w:color w:val="auto"/>
        </w:rPr>
      </w:pPr>
    </w:p>
    <w:p>
      <w:pPr>
        <w:ind w:left="1000" w:hanging="493"/>
        <w:spacing w:after="0" w:line="296" w:lineRule="auto"/>
        <w:tabs>
          <w:tab w:leader="none" w:pos="10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0" w:name="page31"/>
    <w:bookmarkEnd w:id="30"/>
    <w:p>
      <w:pPr>
        <w:ind w:left="500" w:right="30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pandemic, epidemic, or outbreak of an infectious disease, such as COVID-19 may materially and adversely affect our business and our financial results.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Even if we obtain regulatory approval for a product candidate, we will remain subject to ongoing regulatory requirements.</w:t>
      </w:r>
    </w:p>
    <w:p>
      <w:pPr>
        <w:spacing w:after="0" w:line="117" w:lineRule="exact"/>
        <w:rPr>
          <w:rFonts w:ascii="Arial" w:cs="Arial" w:eastAsia="Arial" w:hAnsi="Arial"/>
          <w:sz w:val="18"/>
          <w:szCs w:val="18"/>
          <w:color w:val="auto"/>
        </w:rPr>
      </w:pPr>
    </w:p>
    <w:p>
      <w:pPr>
        <w:ind w:left="500" w:right="440" w:hanging="493"/>
        <w:spacing w:after="0" w:line="342"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5" w:lineRule="exact"/>
        <w:rPr>
          <w:rFonts w:ascii="Arial" w:cs="Arial" w:eastAsia="Arial" w:hAnsi="Arial"/>
          <w:sz w:val="16"/>
          <w:szCs w:val="16"/>
          <w:color w:val="auto"/>
        </w:rPr>
      </w:pPr>
    </w:p>
    <w:p>
      <w:pPr>
        <w:ind w:left="500" w:right="120" w:hanging="493"/>
        <w:spacing w:after="0" w:line="259"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8" w:lineRule="exact"/>
        <w:rPr>
          <w:rFonts w:ascii="Arial" w:cs="Arial" w:eastAsia="Arial" w:hAnsi="Arial"/>
          <w:sz w:val="18"/>
          <w:szCs w:val="18"/>
          <w:color w:val="auto"/>
        </w:rPr>
      </w:pPr>
    </w:p>
    <w:p>
      <w:pPr>
        <w:ind w:left="500" w:right="10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rFonts w:ascii="Arial" w:cs="Arial" w:eastAsia="Arial" w:hAnsi="Arial"/>
          <w:sz w:val="18"/>
          <w:szCs w:val="18"/>
          <w:color w:val="auto"/>
        </w:rPr>
      </w:pPr>
    </w:p>
    <w:p>
      <w:pPr>
        <w:ind w:left="500" w:right="18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rFonts w:ascii="Arial" w:cs="Arial" w:eastAsia="Arial" w:hAnsi="Arial"/>
          <w:sz w:val="18"/>
          <w:szCs w:val="18"/>
          <w:color w:val="auto"/>
        </w:rPr>
      </w:pPr>
    </w:p>
    <w:p>
      <w:pPr>
        <w:ind w:left="500" w:hanging="493"/>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Ethical, legal and social concerns about synthetic biology and genetic engineering could limit or prevent the use of our technologies and limit our revenues. We may not be successful in obtaining or maintaining necessary rights to Synthetic Biotic medicines, product candidates and processes for our development pipeline through acquisitions and in-licenses.</w:t>
      </w:r>
    </w:p>
    <w:p>
      <w:pPr>
        <w:spacing w:after="0" w:line="75"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have sufficient patent term protections for our product candidates to effectively protect our business.</w:t>
      </w:r>
    </w:p>
    <w:p>
      <w:pPr>
        <w:spacing w:after="0" w:line="130" w:lineRule="exact"/>
        <w:rPr>
          <w:rFonts w:ascii="Arial" w:cs="Arial" w:eastAsia="Arial" w:hAnsi="Arial"/>
          <w:sz w:val="18"/>
          <w:szCs w:val="18"/>
          <w:color w:val="auto"/>
        </w:rPr>
      </w:pPr>
    </w:p>
    <w:p>
      <w:pPr>
        <w:ind w:left="500" w:right="22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we are unable to maintain effective proprietary rights for our product candidates or any future product candidates, we may not be able to compete effectively in our proposed markets.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development and commercialization efforts.</w:t>
      </w:r>
    </w:p>
    <w:p>
      <w:pPr>
        <w:spacing w:after="0" w:line="130" w:lineRule="exact"/>
        <w:rPr>
          <w:rFonts w:ascii="Arial" w:cs="Arial" w:eastAsia="Arial" w:hAnsi="Arial"/>
          <w:sz w:val="18"/>
          <w:szCs w:val="18"/>
          <w:color w:val="auto"/>
        </w:rPr>
      </w:pPr>
    </w:p>
    <w:p>
      <w:pPr>
        <w:ind w:left="500" w:right="12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involved in lawsuits to protect or enforce our patents or the patents of our licensors, which could be expensive, time consuming, and unsuccessful.</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subject to claims challenging the inventorship of our patents and other intellectual property.</w:t>
      </w:r>
    </w:p>
    <w:p>
      <w:pPr>
        <w:spacing w:after="0" w:line="130" w:lineRule="exact"/>
        <w:rPr>
          <w:rFonts w:ascii="Arial" w:cs="Arial" w:eastAsia="Arial" w:hAnsi="Arial"/>
          <w:sz w:val="18"/>
          <w:szCs w:val="18"/>
          <w:color w:val="auto"/>
        </w:rPr>
      </w:pPr>
    </w:p>
    <w:p>
      <w:pPr>
        <w:ind w:left="500" w:hanging="493"/>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protect our intellectual property rights throughout the world.</w:t>
      </w:r>
    </w:p>
    <w:p>
      <w:pPr>
        <w:spacing w:after="0" w:line="130" w:lineRule="exact"/>
        <w:rPr>
          <w:rFonts w:ascii="Arial" w:cs="Arial" w:eastAsia="Arial" w:hAnsi="Arial"/>
          <w:sz w:val="18"/>
          <w:szCs w:val="18"/>
          <w:color w:val="auto"/>
        </w:rPr>
      </w:pPr>
    </w:p>
    <w:p>
      <w:pPr>
        <w:ind w:left="500" w:right="40" w:hanging="493"/>
        <w:spacing w:after="0" w:line="263"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5"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rely on third-party supply and manufacturing partners for drug supplies for our late-stage clinical activities, and may do the same for any commercial supplies of our product candidates.</w:t>
      </w:r>
    </w:p>
    <w:p>
      <w:pPr>
        <w:spacing w:after="0" w:line="62" w:lineRule="exact"/>
        <w:rPr>
          <w:rFonts w:ascii="Arial" w:cs="Arial" w:eastAsia="Arial" w:hAnsi="Arial"/>
          <w:sz w:val="18"/>
          <w:szCs w:val="18"/>
          <w:color w:val="auto"/>
        </w:rPr>
      </w:pPr>
    </w:p>
    <w:p>
      <w:pPr>
        <w:ind w:left="500" w:right="400" w:hanging="493"/>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rFonts w:ascii="Arial" w:cs="Arial" w:eastAsia="Arial" w:hAnsi="Arial"/>
          <w:sz w:val="18"/>
          <w:szCs w:val="18"/>
          <w:color w:val="auto"/>
        </w:rPr>
      </w:pPr>
    </w:p>
    <w:p>
      <w:pPr>
        <w:ind w:left="500" w:right="100" w:hanging="493"/>
        <w:spacing w:after="0" w:line="311" w:lineRule="auto"/>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0" w:lineRule="exact"/>
        <w:rPr>
          <w:rFonts w:ascii="Arial" w:cs="Arial" w:eastAsia="Arial" w:hAnsi="Arial"/>
          <w:sz w:val="16"/>
          <w:szCs w:val="16"/>
          <w:color w:val="auto"/>
        </w:rPr>
      </w:pPr>
    </w:p>
    <w:p>
      <w:pPr>
        <w:ind w:left="500" w:hanging="493"/>
        <w:spacing w:after="0"/>
        <w:tabs>
          <w:tab w:leader="none" w:pos="5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face substantial competition and our competitors may discover, develop or commercialize products faster or more successfully than us.</w:t>
      </w:r>
    </w:p>
    <w:p>
      <w:pPr>
        <w:spacing w:after="0" w:line="153" w:lineRule="exact"/>
        <w:rPr>
          <w:rFonts w:ascii="Arial" w:cs="Arial" w:eastAsia="Arial" w:hAnsi="Arial"/>
          <w:sz w:val="16"/>
          <w:szCs w:val="16"/>
          <w:color w:val="auto"/>
        </w:rPr>
      </w:pPr>
    </w:p>
    <w:p>
      <w:pPr>
        <w:ind w:left="500" w:right="300" w:hanging="493"/>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rFonts w:ascii="Arial" w:cs="Arial" w:eastAsia="Arial" w:hAnsi="Arial"/>
          <w:sz w:val="17"/>
          <w:szCs w:val="17"/>
          <w:color w:val="auto"/>
        </w:rPr>
      </w:pPr>
    </w:p>
    <w:p>
      <w:pPr>
        <w:ind w:left="500" w:right="20" w:hanging="493"/>
        <w:spacing w:after="0" w:line="308" w:lineRule="auto"/>
        <w:tabs>
          <w:tab w:leader="none" w:pos="5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employment agreements with our executive officers may require us to pay severance benefits to any of those persons who are terminated in connection with a change of control, which could harm our business, financial condition or results of operations.</w:t>
      </w:r>
    </w:p>
    <w:p>
      <w:pPr>
        <w:spacing w:after="0" w:line="14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820" w:top="476" w:right="379" w:bottom="1440" w:gutter="0" w:footer="0" w:header="0"/>
        </w:sectPr>
      </w:pPr>
    </w:p>
    <w:bookmarkStart w:id="31" w:name="page32"/>
    <w:bookmarkEnd w:id="31"/>
    <w:p>
      <w:pPr>
        <w:ind w:left="1000" w:right="2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principal stockholders and management own a significant percentage of our stock and are able to exert significant control over matters subject to stockholder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Future sales of our common stock or securities convertible or exchangeable for our common stock may depress our stock price.</w:t>
      </w:r>
    </w:p>
    <w:p>
      <w:pPr>
        <w:spacing w:after="0" w:line="130"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do not anticipate paying any cash dividends on our common stock in the foreseeable future; therefore, capital appreciation, if any, of our common stock will be your sole source of gain for the foreseeable future.</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Capital Requirements and Operating Results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 clinical-stage biopharmaceutical company with a history of losses, and we expect to continue to incur losses for the foreseeable future, and we may never achieve or maintain profitability.</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We are a clinical-stage biopharmaceutical company focused on the development of Synthetic Biotic medicines and we have incurred significant operating losses since our inception. Our net loss was approximately $16.0 million and $45.5 million for the three and nine months ended September 30, 2021, respectively and $13.2 million and 44.6 million for the three and nine months ended September 30, 2020, respectively. As of September 30, 2021, we had an accumulated deficit of approximately $275.8 million. To date, we have not generated any product revenue. Substantially all of our losses have resulted from expenses incurred in connection with our research and development programs and from general and administrative costs associated with our operations. We have no products on the market and expect that it will be many years, if ever, before we have a product candidate approved for commercialization.</w:t>
      </w:r>
    </w:p>
    <w:p>
      <w:pPr>
        <w:spacing w:after="0" w:line="195"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We have not generated, and do not expect to generate, any product revenue for the foreseeable future, and we expect to continue to incur significant operating losses for the foreseeable future due to the cost of research and development, preclinical studies and clinical trials, the regulatory review process for product candidates, and the development of manufacturing and marketing capabilities for any product candidates approved for commercial sale. The amount of our potential future losses is uncertain. To achieve profitability, we must successfully develop product candidates, obtain regulatory approvals to market and commercialize product candidates, manufacture any approved product candidates on commercially reasonable terms, establish a sales and marketing organization or suitable third-party alternatives for any approved product candidates and raise sufficient funds to finance our business activities. We may never succeed in these activities and, even if we do, may never generate revenues that are significant or large enough to achieve profitability. Even if we do achieve profitability, we may not be able to sustain or increase profitability on a quarterly or annual basis. Our failure to become and remain profitable would decrease our value and could impair our ability to raise capital, maintain our research and development efforts, expand our business or continue our operations. A decline in our value could also cause our stockholders to lose all or part of their investment.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will require substantial additional funding, which may not be available on acceptable terms, or at all.</w:t>
      </w:r>
    </w:p>
    <w:p>
      <w:pPr>
        <w:spacing w:after="0" w:line="11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have used substantial funds to discover and develop our programs and proprietary drug development platform and will require substantial additional funds to conduct further research and development, including preclinical studies and clinical trials of our product candidates, seek regulatory approvals for our product candidates and manufacture and market any products that are approved for commercial sale. Our future capital requirements and the period for which we expect our existing resources to support our operations may vary significantly from what we expect. Our monthly spending levels vary based on new and ongoing research and development and corporate activities. Because we cannot be certain of the length of time or activities associated with successful development and commercialization of our product candidates, we are unable to estimate the actual funds we will require to develop and commercialize them.</w:t>
      </w:r>
    </w:p>
    <w:p>
      <w:pPr>
        <w:spacing w:after="0" w:line="195" w:lineRule="exact"/>
        <w:rPr>
          <w:sz w:val="20"/>
          <w:szCs w:val="20"/>
          <w:color w:val="auto"/>
        </w:rPr>
      </w:pPr>
    </w:p>
    <w:p>
      <w:pPr>
        <w:ind w:right="80" w:firstLine="510"/>
        <w:spacing w:after="0" w:line="290" w:lineRule="auto"/>
        <w:rPr>
          <w:sz w:val="20"/>
          <w:szCs w:val="20"/>
          <w:color w:val="auto"/>
        </w:rPr>
      </w:pPr>
      <w:r>
        <w:rPr>
          <w:rFonts w:ascii="Arial" w:cs="Arial" w:eastAsia="Arial" w:hAnsi="Arial"/>
          <w:sz w:val="16"/>
          <w:szCs w:val="16"/>
          <w:color w:val="auto"/>
        </w:rPr>
        <w:t>We do not expect to realize any appreciable revenue from product sales or royalties in the foreseeable future, if at all. Our revenue sources will remain very limited unless and until our product candidates complete clinical development and are approved for commercialization and successfully marketed. To date, we have primarily financed our operations through sales of our securities, our third-party collaborations and the Merger. We intend to seek additional funding in the future through collaborations, equity or debt financings, credit or loan facilities or a combination of one or more of these financing sources. Our ability to raise additional funds will depend on financial, economic and other factors, many of which are beyond our control. Additional funds may not be available to us on acceptable terms or at all. If we raise additional funds by issuing equity or convertible debt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2" w:name="page33"/>
    <w:bookmarkEnd w:id="32"/>
    <w:p>
      <w:pPr>
        <w:ind w:right="680"/>
        <w:spacing w:after="0" w:line="308" w:lineRule="auto"/>
        <w:rPr>
          <w:sz w:val="20"/>
          <w:szCs w:val="20"/>
          <w:color w:val="auto"/>
        </w:rPr>
      </w:pPr>
      <w:r>
        <w:rPr>
          <w:rFonts w:ascii="Arial" w:cs="Arial" w:eastAsia="Arial" w:hAnsi="Arial"/>
          <w:sz w:val="17"/>
          <w:szCs w:val="17"/>
          <w:color w:val="auto"/>
        </w:rPr>
        <w:t>Debt financing, if available, may involve restrictive covenants limiting our flexibility in conducting future business activities, and, in the event of insolvency, debt holders would be repaid before holders of equity securities received any distribution of corporate assets.</w:t>
      </w:r>
    </w:p>
    <w:p>
      <w:pPr>
        <w:spacing w:after="0" w:line="146" w:lineRule="exact"/>
        <w:rPr>
          <w:sz w:val="20"/>
          <w:szCs w:val="20"/>
          <w:color w:val="auto"/>
        </w:rPr>
      </w:pPr>
    </w:p>
    <w:p>
      <w:pPr>
        <w:ind w:right="400" w:firstLine="510"/>
        <w:spacing w:after="0" w:line="279" w:lineRule="auto"/>
        <w:rPr>
          <w:sz w:val="20"/>
          <w:szCs w:val="20"/>
          <w:color w:val="auto"/>
        </w:rPr>
      </w:pPr>
      <w:r>
        <w:rPr>
          <w:rFonts w:ascii="Arial" w:cs="Arial" w:eastAsia="Arial" w:hAnsi="Arial"/>
          <w:sz w:val="17"/>
          <w:szCs w:val="17"/>
          <w:color w:val="auto"/>
        </w:rPr>
        <w:t>If we are unable to obtain funding on a timely basis or on acceptable terms, or at all, we may have to delay, limit or terminate our research and development programs and preclinical studies or clinical trials, if any, limit strategic opportunities or undergo reductions in our workforce or other corporate restructuring activities. We also could be required to seek funds through arrangements with collaborators or others that may require us to relinquish rights to some of our product candidates or technologies that we would otherwise pursue on our own.</w:t>
      </w:r>
    </w:p>
    <w:p>
      <w:pPr>
        <w:spacing w:after="0" w:line="27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Our quarterly and annual operating results may fluctuate in the future. As a result, we may fail to meet the expectations of research analysts or investors, which could cause our stock price to decline.</w:t>
      </w:r>
    </w:p>
    <w:p>
      <w:pPr>
        <w:spacing w:after="0" w:line="62"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financial condition and operating results may fluctuate from quarter to quarter and year to year in the future due to a variety of factors, many of which are beyond our control. Factors relating to our business that may contribute to these fluctuations include the following factors, as well as factors described elsewhere in this Quarterly Report on Form 10-Q and others:</w:t>
      </w:r>
    </w:p>
    <w:p>
      <w:pPr>
        <w:spacing w:after="0" w:line="76" w:lineRule="exact"/>
        <w:rPr>
          <w:sz w:val="20"/>
          <w:szCs w:val="20"/>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achieve or maintain profitability;</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develop and maintain Synthetic Biotic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manage our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outcomes of research programs, clinical trials, or other product development and approval processes;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accurately report our financial results in a timely manner;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and the need to attract and retain, key management and other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protect and enforce our intellectual property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prevent the theft or misappropriation of our intellectual property, know-how or technologies;</w:t>
      </w:r>
    </w:p>
    <w:p>
      <w:pPr>
        <w:spacing w:after="0" w:line="117" w:lineRule="exact"/>
        <w:rPr>
          <w:rFonts w:ascii="Arial" w:cs="Arial" w:eastAsia="Arial" w:hAnsi="Arial"/>
          <w:sz w:val="18"/>
          <w:szCs w:val="18"/>
          <w:color w:val="auto"/>
        </w:rPr>
      </w:pPr>
    </w:p>
    <w:p>
      <w:pPr>
        <w:ind w:left="1000" w:right="14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advantages that our competitors and potential competitors may have in securing funding or developing competing technologies or products;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obtain additional capital that may be necessary to expand our business.</w:t>
      </w:r>
    </w:p>
    <w:p>
      <w:pPr>
        <w:spacing w:after="0" w:line="225"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Due to the various factors mentioned above, and others, the results of any prior quarterly or annual periods should not be relied upon as indications of our future operating performance.</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is volatile and our stockholders may not be able to resell shares of our common stock at or above the price they paid.</w:t>
      </w:r>
    </w:p>
    <w:p>
      <w:pPr>
        <w:spacing w:after="0" w:line="12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The trading price of our common stock is highly volatile and could be subject to wide fluctuations in response to various factors, some of which are beyond our control, such as reports by industry analysts, investor perceptions or negative announcements by other companies involving similar technologies or diseases. These factors also include those discussed in this “Risk Factors” section of this Quarterly Report on Form 10-Q and others such as:</w:t>
      </w:r>
    </w:p>
    <w:p>
      <w:pPr>
        <w:spacing w:after="0" w:line="79" w:lineRule="exact"/>
        <w:rPr>
          <w:sz w:val="20"/>
          <w:szCs w:val="20"/>
          <w:color w:val="auto"/>
        </w:rPr>
      </w:pPr>
    </w:p>
    <w:p>
      <w:pPr>
        <w:ind w:left="1000" w:right="540" w:hanging="493"/>
        <w:spacing w:after="0" w:line="277"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collaborations that we may enter into with respect to the development or commercialization of our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relating to the receipt, modification or termination of government contracts or grants;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termination or delay of a development program;</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liability claims related to our clinical trials 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prevailing economic conditions;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disruptions caused by earthquakes or other natural disasters;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concerning our intellectual property or other proprietary rights;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FDA or other U.S. or foreign regulatory actions affecting us or our industry;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584" w:right="419" w:bottom="1440" w:gutter="0" w:footer="0" w:header="0"/>
        </w:sectPr>
      </w:pPr>
    </w:p>
    <w:bookmarkStart w:id="33" w:name="page34"/>
    <w:bookmarkEnd w:id="33"/>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sales of our common stock by the company, our executive officers and directors or our stockholders in the future;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future sales or issuances of equity or debt securities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lack of an active, liquid and orderly market in our common stock;</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fluctuations in our quarterly operating results;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issuance of new or changed securities analysts’ reports or recommendations regarding us.</w:t>
      </w:r>
    </w:p>
    <w:p>
      <w:pPr>
        <w:spacing w:after="0" w:line="225" w:lineRule="exact"/>
        <w:rPr>
          <w:sz w:val="20"/>
          <w:szCs w:val="20"/>
          <w:color w:val="auto"/>
        </w:rPr>
      </w:pPr>
    </w:p>
    <w:p>
      <w:pPr>
        <w:ind w:right="200" w:firstLine="510"/>
        <w:spacing w:after="0" w:line="296" w:lineRule="auto"/>
        <w:rPr>
          <w:sz w:val="20"/>
          <w:szCs w:val="20"/>
          <w:color w:val="auto"/>
        </w:rPr>
      </w:pPr>
      <w:r>
        <w:rPr>
          <w:rFonts w:ascii="Arial" w:cs="Arial" w:eastAsia="Arial" w:hAnsi="Arial"/>
          <w:sz w:val="16"/>
          <w:szCs w:val="16"/>
          <w:color w:val="auto"/>
        </w:rPr>
        <w:t>In addition, the stock markets in general, and the markets for pharmaceutical, biopharmaceutical and biotechnology stocks in particular, have experienced extreme volatility that have been often unrelated to the operating performance of the issuer. These broad market fluctuations may adversely affect the trading price or liquidity of our common stock. In the past, when the market price of a stock has been volatile, holders of that stock have sometimes instituted securities class action litigation against the issuer. If any of our stockholders were to bring such a lawsuit against us, we could incur substantial costs defending the lawsuit and the attention of our management would be diverted from the operation of our business.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short operating history may make it difficult for stockholders to evaluate the success of our business to date and to assess our future viability.</w:t>
      </w:r>
    </w:p>
    <w:p>
      <w:pPr>
        <w:spacing w:after="0" w:line="140" w:lineRule="exact"/>
        <w:rPr>
          <w:sz w:val="20"/>
          <w:szCs w:val="20"/>
          <w:color w:val="auto"/>
        </w:rPr>
      </w:pPr>
    </w:p>
    <w:p>
      <w:pPr>
        <w:ind w:firstLine="510"/>
        <w:spacing w:after="0" w:line="285" w:lineRule="auto"/>
        <w:rPr>
          <w:sz w:val="20"/>
          <w:szCs w:val="20"/>
          <w:color w:val="auto"/>
        </w:rPr>
      </w:pPr>
      <w:r>
        <w:rPr>
          <w:rFonts w:ascii="Arial" w:cs="Arial" w:eastAsia="Arial" w:hAnsi="Arial"/>
          <w:sz w:val="16"/>
          <w:szCs w:val="16"/>
          <w:color w:val="auto"/>
        </w:rPr>
        <w:t>We are a clinical-stage biopharmaceutical company with a limited operating history. We commenced active operations in 2014. Our operations to date have been limited to organizing and staffing our company, research and development activities, business planning and raising capital. In April 2018, we announced that we dosed the first patient in our Phase 1b/2a clinical trial of SYNB1020 for treatment of hyperammonemia in patients with cirrhosis. Based on the data obtained in this clinical trial, the SYNB1020 program was discontinued in August 2019. In April 2018, we dosed our first subject in a Phase 1/2a clinical trial of SYNB1618 which is being developed for the treatment of patients with PKU. In January 2020, we announced that we had dosed the first subject in our Phase 1 clinical trial of SYNB1891 which is being developed for the treatment of patients with solid tumors and lymphoma. In November of 2020, we announced that we had initiated the Phase 2 clinical study of SYNB1618, referred to as the SynPheny-1 Study, and the Phase 1 study of SYNB8802. In the third quarter of 2021, we added an arm evaluating SYNB1934 to the ongoing SynPheny -1 study and in July 2021 we dosed our first subject. All of our other therapeutic programs are still in the preclinical or clinical development stage. We will need to transition from a company with a focus on research and clinical development to a company capable of commercial activities. We have not yet demonstrated our ability to successfully complete large-scale, pivotal clinical trials, obtain marketing approvals, manufacture a commercial-scale product, or arrange for a third-party to do so on our behalf, or conduct sales and marketing activities necessary for successful product commercialization. Typically, it takes many years to develop one new product candidate from the time it is discovered to the time that it becomes available for treating patients. We may encounter unforeseen expenses, difficulties, complications, delays and other known and unknown factors that may hinder our success in commercializing one or more of our product candidates. Further, drug development is a capital-intensive and highly speculative undertaking that involves a substantial degree of risk. You should consider our prospects in light of the costs, uncertainties, delays and difficulties frequently encountered by companies in the early stages of development and clinical trials. Any forward-looking statements regarding our future prospects, plans or viability may not be as accurate as they may be if we had a longer operating history or a history of successfully developing and commercializing pharmaceutical products.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Clinical trials are costly, time consuming and inherently risky, and we may fail to demonstrate safety and efficacy to the satisfaction of applicable regulatory authorities.</w:t>
      </w:r>
    </w:p>
    <w:p>
      <w:pPr>
        <w:spacing w:after="0" w:line="62" w:lineRule="exact"/>
        <w:rPr>
          <w:sz w:val="20"/>
          <w:szCs w:val="20"/>
          <w:color w:val="auto"/>
        </w:rPr>
      </w:pPr>
    </w:p>
    <w:p>
      <w:pPr>
        <w:ind w:right="40" w:firstLine="510"/>
        <w:spacing w:after="0" w:line="311" w:lineRule="auto"/>
        <w:rPr>
          <w:sz w:val="20"/>
          <w:szCs w:val="20"/>
          <w:color w:val="auto"/>
        </w:rPr>
      </w:pPr>
      <w:r>
        <w:rPr>
          <w:rFonts w:ascii="Arial" w:cs="Arial" w:eastAsia="Arial" w:hAnsi="Arial"/>
          <w:sz w:val="16"/>
          <w:szCs w:val="16"/>
          <w:color w:val="auto"/>
        </w:rPr>
        <w:t>Clinical development of a product candidate is expensive, time consuming and involves significant risk. We cannot guarantee that any clinical trials we undertake to conduct will be conducted as planned or completed on schedule or at all. A failure of one or more clinical trials can occur at any stage of development. Events that may prevent successful or timely completion of clinical development of our product candidates include but are not limited to:</w:t>
      </w:r>
    </w:p>
    <w:p>
      <w:pPr>
        <w:spacing w:after="0" w:line="41" w:lineRule="exact"/>
        <w:rPr>
          <w:sz w:val="20"/>
          <w:szCs w:val="20"/>
          <w:color w:val="auto"/>
        </w:rPr>
      </w:pPr>
    </w:p>
    <w:p>
      <w:pPr>
        <w:ind w:left="1000" w:right="12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inability to generate satisfactory preclinical or other nonclinical data, including, toxicology, or other in vivo or in vitro data or diagnostics to support the initiation or continuation of clinical trials;</w:t>
      </w:r>
    </w:p>
    <w:p>
      <w:pPr>
        <w:spacing w:after="0" w:line="62" w:lineRule="exact"/>
        <w:rPr>
          <w:rFonts w:ascii="Arial" w:cs="Arial" w:eastAsia="Arial" w:hAnsi="Arial"/>
          <w:sz w:val="18"/>
          <w:szCs w:val="18"/>
          <w:color w:val="auto"/>
        </w:rPr>
      </w:pPr>
    </w:p>
    <w:p>
      <w:pPr>
        <w:ind w:left="1000" w:right="78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approval at each clinical trial site;</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permit the conduct of a clinical trial by regulatory authorities, after review of an investigational new drug or equivalent foreign application or amendment;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34" w:name="page35"/>
    <w:bookmarkEnd w:id="34"/>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recruiting qualified patients in our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clinical sites or CROs or other third parties to adhere to clinical trial requirements;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failure by us, clinical sites, CROs or other third parties to perform in accordance with the good clinical practices requirements of the FDA or applicable foreign regulatory guidelines;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patients dropping out of the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occurrence of adverse events, unacceptable side effects or toxicity issues associated with our product candidates;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by the FDA of a clinical hold or the requirement by other similar regulatory agencies that one or more clinical trials be delayed or halted;</w:t>
      </w:r>
    </w:p>
    <w:p>
      <w:pPr>
        <w:spacing w:after="0" w:line="62" w:lineRule="exact"/>
        <w:rPr>
          <w:rFonts w:ascii="Arial" w:cs="Arial" w:eastAsia="Arial" w:hAnsi="Arial"/>
          <w:sz w:val="18"/>
          <w:szCs w:val="18"/>
          <w:color w:val="auto"/>
        </w:rPr>
      </w:pPr>
    </w:p>
    <w:p>
      <w:pPr>
        <w:ind w:left="1000" w:right="600" w:hanging="493"/>
        <w:spacing w:after="0" w:line="277"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 or performing additional nonclinical studies;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ultimate affordability of the cost of clinical trials of our product candidates;</w:t>
      </w:r>
    </w:p>
    <w:p>
      <w:pPr>
        <w:spacing w:after="0" w:line="117" w:lineRule="exact"/>
        <w:rPr>
          <w:rFonts w:ascii="Arial" w:cs="Arial" w:eastAsia="Arial" w:hAnsi="Arial"/>
          <w:sz w:val="18"/>
          <w:szCs w:val="18"/>
          <w:color w:val="auto"/>
        </w:rPr>
      </w:pPr>
    </w:p>
    <w:p>
      <w:pPr>
        <w:ind w:left="1000" w:right="2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negative or inconclusive results from our clinical trials that may result in us deciding, or regulators requiring us, to conduct additional clinical trials or abandon such clinical trials and/or clinical trials or development programs in other ongoing or planned indications for a product candidate; and</w:t>
      </w:r>
    </w:p>
    <w:p>
      <w:pPr>
        <w:spacing w:after="0" w:line="75"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identifying or reaching agreement on acceptable terms with third-party manufacturers, delays in developing and transferring a reproducible, scalable manufacturing process, or delays or failure in manufacturing sufficient quantities of our product candidates for use in clinical trials.</w:t>
      </w:r>
    </w:p>
    <w:p>
      <w:pPr>
        <w:spacing w:after="0" w:line="18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inability to successfully complete clinical development and obtain regulatory approval for our product candidates could result in additional costs to us or impair our ability to generate revenue. In addition, if we make manufacturing or formulation changes to our product candidates, we may need to conduct additional preclinical studies and/or clinical trials, or the results obtained from such new formulation may not be consistent with previous results obtained. Clinical trial delays could also shorten any anticipated periods of patent exclusivity for our product candidates and may allow competitors to develop and bring products to market before we do, which could impair our ability to successfully commercialize our product candidates and may harm our business and results of operations.</w:t>
      </w:r>
    </w:p>
    <w:p>
      <w:pPr>
        <w:spacing w:after="0" w:line="30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The approach we are taking to discover and develop novel therapeutics using synthetic biology to create novel medicines is unproven and may never lead to marketable products.</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The scientific discoveries that form the basis for our efforts to generate and develop our product candidates are relatively recent. The scientific evidence to support the feasibility of developing drugs based on our approach is both preliminary and limited. Synthetic Biotic medicines represent a novel therapeutic modality and their successful development by us may require additional studies and efforts to optimize their therapeutic potential. Any product candidates that we develop may not demonstrate in patients the therapeutic properties ascribed to them in laboratory and other preclinical studies, and they may interact with human biological systems in unforeseen, ineffective or even harmful ways. If we are not able to successfully develop and commercialize product candidates based upon this technological approach, we may never become profitable and the value of our capital stock may decline.</w:t>
      </w:r>
    </w:p>
    <w:p>
      <w:pPr>
        <w:spacing w:after="0" w:line="27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Synthetic Biotic product candidates are based on a relatively novel technology, which makes it difficult to predict the time and cost of development and of subsequently obtaining regulatory approval, if at all.</w:t>
      </w:r>
    </w:p>
    <w:p>
      <w:pPr>
        <w:spacing w:after="0" w:line="62"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We have concentrated our research and development efforts to date on a limited number of product candidates based on our Synthetic Biotic therapeutic platform and identifying our initial targeted disease indications. Our future success depends on our successful development of viable product candidates. There can be no assurance that we will not experience problems or delays in developing our product candidates and that such problems or delays will not cause unanticipated costs, or that any such development problems can be solved.</w:t>
      </w:r>
    </w:p>
    <w:p>
      <w:pPr>
        <w:spacing w:after="0" w:line="171"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The clinical trial and manufacturing requirements of the FDA, the European Medicines Agency and other regulatory authorities, and the criteria these regulators use to determine the safety and efficacy of a product candidate, vary substantially according to the type, complexity, novelty and intended use and market of the product candidate. The regulatory approval process for novel product candidates such as Synthetic Biotic medicines may be more expensive and take longer than for other, better known or more extensively studied therapeutic modalities. It is difficult to determine how long it will take or how much it will cost to obtain regulatory approvals for our product candidates in either the United States or the European Union or how long it will take to commercialize our product candidates, even if approved for marketing. Approvals by the European Medicines Agency or national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35" w:name="page36"/>
    <w:bookmarkEnd w:id="35"/>
    <w:p>
      <w:pPr>
        <w:spacing w:after="0" w:line="259" w:lineRule="auto"/>
        <w:rPr>
          <w:sz w:val="20"/>
          <w:szCs w:val="20"/>
          <w:color w:val="auto"/>
        </w:rPr>
      </w:pPr>
      <w:r>
        <w:rPr>
          <w:rFonts w:ascii="Arial" w:cs="Arial" w:eastAsia="Arial" w:hAnsi="Arial"/>
          <w:sz w:val="18"/>
          <w:szCs w:val="18"/>
          <w:color w:val="auto"/>
        </w:rPr>
        <w:t>regulatory agencies may not be indicative of what the FDA, and vice versa, may require for approval and different or additional preclinical studies or clinical trials may be required to support regulatory approval in each respective jurisdiction. Delay or failure to obtain, or unexpected costs in obtaining, the regulatory approval necessary to bring a potential product candidate to market could decrease our ability to generate sufficient product revenue, and our business, financial condition, results of operations and prospects may be harmed.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use and expand our development platform to build a pipeline of product candidates.</w:t>
      </w:r>
    </w:p>
    <w:p>
      <w:pPr>
        <w:spacing w:after="0" w:line="117"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color w:val="auto"/>
        </w:rPr>
        <w:t>A key element of our strategy is to use our targeted focus and experienced management and scientific team to create Synthetic Biotic medicines that can be deployed against a broad range of human diseases in order to build a pipeline of product candidates. Although our research and development efforts to date have resulted in potential product candidates, we may not be able to continue to identify and develop additional product candidates. Even if we are successful in continuing to build our pipeline, the potential product candidates that we identify may not be suitable for clinical development. For example, these potential product candidates may be shown to have harmful side effects or other characteristics that indicate that they are unlikely to be drugs that will receive marketing approval and achieve market acceptance. If we do not successfully develop and commercialize product candidates based upon our approach, we will not be able to obtain product revenue in future periods, which likely would result in significant harm to our financial position. There is no assurance that we will be successful in our preclinical and clinical development, and the process of obtaining regulatory approvals will, in any event, require the expenditure of substantial time and financial resources.</w:t>
      </w:r>
    </w:p>
    <w:p>
      <w:pPr>
        <w:spacing w:after="0" w:line="28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viability of an approved label, or result in significant negative consequences following marketing approval, if any.</w:t>
      </w:r>
    </w:p>
    <w:p>
      <w:pPr>
        <w:spacing w:after="0" w:line="16" w:lineRule="exact"/>
        <w:rPr>
          <w:sz w:val="20"/>
          <w:szCs w:val="20"/>
          <w:color w:val="auto"/>
        </w:rPr>
      </w:pPr>
    </w:p>
    <w:p>
      <w:pPr>
        <w:jc w:val="both"/>
        <w:ind w:right="140" w:firstLine="510"/>
        <w:spacing w:after="0" w:line="311"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terminate our clinical trials or result in a restrictive label or delay regulatory approval by the FDA or comparable foreign authorities. Undesirable side effects and negative results for other indications may negatively impact the development and potential for approval of our product candidates for their proposed indications.</w:t>
      </w:r>
    </w:p>
    <w:p>
      <w:pPr>
        <w:spacing w:after="0" w:line="149"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Additionally, even if one or more of our product candidates receives marketing approval, and we or others later identify undesirable side effects caused by such products, potentially significant negative consequences could result, including but not limited to:</w:t>
      </w:r>
    </w:p>
    <w:p>
      <w:pPr>
        <w:spacing w:after="0" w:line="62" w:lineRule="exact"/>
        <w:rPr>
          <w:sz w:val="20"/>
          <w:szCs w:val="20"/>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withdraw approvals of or revoke licenses for such products;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labels of such products;</w:t>
      </w:r>
    </w:p>
    <w:p>
      <w:pPr>
        <w:spacing w:after="0" w:line="117" w:lineRule="exact"/>
        <w:rPr>
          <w:rFonts w:ascii="Arial" w:cs="Arial" w:eastAsia="Arial" w:hAnsi="Arial"/>
          <w:sz w:val="18"/>
          <w:szCs w:val="18"/>
          <w:color w:val="auto"/>
        </w:rPr>
      </w:pPr>
    </w:p>
    <w:p>
      <w:pPr>
        <w:ind w:left="1000" w:right="60" w:hanging="493"/>
        <w:spacing w:after="0" w:line="277" w:lineRule="auto"/>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80" w:firstLine="510"/>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a product candidate, even if approved, and could significantly harm our business, results of operations, and prospects.</w:t>
      </w:r>
    </w:p>
    <w:p>
      <w:pPr>
        <w:spacing w:after="0" w:line="27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Our product development program may not uncover all possible adverse events that patients who take our product candidates may experience. The number of subjects exposed to our product candidates during clinical trials and the average exposure time in the clinical development program may be inadequate to detect rare adverse events, or chance findings, that may only be detected once the product is administered to more patients and for greater periods of time.</w:t>
      </w:r>
    </w:p>
    <w:p>
      <w:pPr>
        <w:spacing w:after="0" w:line="79" w:lineRule="exact"/>
        <w:rPr>
          <w:sz w:val="20"/>
          <w:szCs w:val="20"/>
          <w:color w:val="auto"/>
        </w:rPr>
      </w:pPr>
    </w:p>
    <w:p>
      <w:pPr>
        <w:ind w:right="220" w:firstLine="510"/>
        <w:spacing w:after="0" w:line="255" w:lineRule="auto"/>
        <w:rPr>
          <w:sz w:val="20"/>
          <w:szCs w:val="20"/>
          <w:color w:val="auto"/>
        </w:rPr>
      </w:pPr>
      <w:r>
        <w:rPr>
          <w:rFonts w:ascii="Arial" w:cs="Arial" w:eastAsia="Arial" w:hAnsi="Arial"/>
          <w:sz w:val="18"/>
          <w:szCs w:val="18"/>
          <w:color w:val="auto"/>
        </w:rPr>
        <w:t>Clinical trials by their nature use a sample of the potential patient population. However, with a limited number of patients and limited duration of exposure, we cannot be fully assured that uncommon or severe side effects of our product candidates will be uncovered. Such side effects may only be uncovered with a significantly larger number of patients exposed to the drug. If such safety problems occur or are identified after a product candidate reaches the market, the FDA may require that we amend the labeling of the product or recall the product or may even withdraw approval for the product. Any of these events could prevent us from achieving or maintaining market acceptance of a product candidate, even if approved, and could significantly harm our business, results of operations, and prospects.</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36" w:name="page37"/>
    <w:bookmarkEnd w:id="36"/>
    <w:p>
      <w:pPr>
        <w:jc w:val="both"/>
        <w:ind w:right="180"/>
        <w:spacing w:after="0" w:line="259" w:lineRule="auto"/>
        <w:rPr>
          <w:sz w:val="20"/>
          <w:szCs w:val="20"/>
          <w:color w:val="auto"/>
        </w:rPr>
      </w:pPr>
      <w:r>
        <w:rPr>
          <w:rFonts w:ascii="Arial" w:cs="Arial" w:eastAsia="Arial" w:hAnsi="Arial"/>
          <w:sz w:val="18"/>
          <w:szCs w:val="18"/>
          <w:b w:val="1"/>
          <w:bCs w:val="1"/>
          <w:i w:val="1"/>
          <w:iCs w:val="1"/>
          <w:color w:val="auto"/>
        </w:rPr>
        <w:t>We are heavily dependent on the success of our product candidates. Some of our product candidates have produced results in preclinical and clinical settings to date, but none of our product candidates has completed all required clinical trials, and we cannot give any assurance that we will generate data for any of our product candidates sufficient to receive regulatory approval in our planned indications, which will be required before they can be commercialized.</w:t>
      </w:r>
    </w:p>
    <w:p>
      <w:pPr>
        <w:spacing w:after="0" w:line="79" w:lineRule="exact"/>
        <w:rPr>
          <w:sz w:val="20"/>
          <w:szCs w:val="20"/>
          <w:color w:val="auto"/>
        </w:rPr>
      </w:pPr>
    </w:p>
    <w:p>
      <w:pPr>
        <w:ind w:right="320" w:firstLine="510"/>
        <w:spacing w:after="0" w:line="311" w:lineRule="auto"/>
        <w:rPr>
          <w:sz w:val="20"/>
          <w:szCs w:val="20"/>
          <w:color w:val="auto"/>
        </w:rPr>
      </w:pPr>
      <w:r>
        <w:rPr>
          <w:rFonts w:ascii="Arial" w:cs="Arial" w:eastAsia="Arial" w:hAnsi="Arial"/>
          <w:sz w:val="16"/>
          <w:szCs w:val="16"/>
          <w:color w:val="auto"/>
        </w:rPr>
        <w:t>We have invested substantially all of our efforts and financial resources to identify, acquire and develop our portfolio of product candidates. Our future success is dependent on our ability to successfully further develop, obtain regulatory approval for, and commercialize one or more product candidates. We currently generate no revenue from sales of any products, and we may never be able to develop or commercialize a product candidate.</w:t>
      </w:r>
    </w:p>
    <w:p>
      <w:pPr>
        <w:spacing w:after="0" w:line="149"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On August 20, 2019, we announced that we were discontinuing our first therapeutic program to enter clinical trials, SYNB1020, an early-stage clinical product candidate for the treatment of hyperammonemia. The decision to discontinue the program was based on top-line data from an interim analysis of a randomized, double-blind, placebo-controlled Phase 1b/2a study of the Synthetic Biotic medicine in 23 patients with cirrhosis and elevated blood ammonia. While SYNB1020 was well-tolerated in Phase 1b/2a study, the study showed it did not lower blood ammonia in patients with cirrhosis. As a result, we have become more dependent on the success of our SYNB1618, SYNB1934, and SYNB8802 programs.</w:t>
      </w:r>
    </w:p>
    <w:p>
      <w:pPr>
        <w:spacing w:after="0" w:line="176"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addition, none of our product candidates has advanced into any pivotal clinical trial for our proposed indications and it may be years before any pivotal clinical trials are initiated and completed, if at all. We are not permitted to market or promote any of our product candidates before we receive regulatory approval from the FDA or comparable foreign regulatory authorities, and we may never receive such regulatory approval for any of our product candidates. 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w:t>
      </w:r>
    </w:p>
    <w:p>
      <w:pPr>
        <w:spacing w:after="0" w:line="30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some of our products, our competitors may obtain approval to sell competing drugs to treat the same conditions and our revenues will be reduced.</w:t>
      </w:r>
    </w:p>
    <w:p>
      <w:pPr>
        <w:spacing w:after="0" w:line="62" w:lineRule="exact"/>
        <w:rPr>
          <w:sz w:val="20"/>
          <w:szCs w:val="20"/>
          <w:color w:val="auto"/>
        </w:rPr>
      </w:pPr>
    </w:p>
    <w:p>
      <w:pPr>
        <w:ind w:right="20" w:firstLine="510"/>
        <w:spacing w:after="0" w:line="270" w:lineRule="auto"/>
        <w:rPr>
          <w:sz w:val="20"/>
          <w:szCs w:val="20"/>
          <w:color w:val="auto"/>
        </w:rPr>
      </w:pPr>
      <w:r>
        <w:rPr>
          <w:rFonts w:ascii="Arial" w:cs="Arial" w:eastAsia="Arial" w:hAnsi="Arial"/>
          <w:sz w:val="17"/>
          <w:szCs w:val="17"/>
          <w:color w:val="auto"/>
        </w:rPr>
        <w:t>As part of our business strategy, we have developed and may in the future develop product candidates that may be eligible for FDA and European Commission orphan drug designation. In October 2017, the FDA granted orphan drug designation to SYNB1618 for the treatment of PKU. Under the Orphan Drug Act, the FDA may designate a product as an orphan drug if it is intended to treat, diagnose or prevent rare diseases or conditions that affect fewer than 200,000 people in the United States. In the EU, orphan drug designation may be granted to drugs intended to treat, diagnose or prevent a life-threatening or chronically debilitating disease having a prevalence of no more than five in 10,000 people in the EU. The company that first obtains FDA approval for a designated orphan drug for the associated rare disease receives marketing exclusivity for use of that drug for the stated condition for a period of seven years. Orphan drug exclusive marketing rights may be lost under several circumstances, including a later determination by the FDA that the request for designation was materially defective or if the manufacturer is unable to assure sufficient quantity of the drug. Similar regulations are in effect in the EU with a ten-year period of market exclusivity.</w:t>
      </w:r>
    </w:p>
    <w:p>
      <w:pPr>
        <w:spacing w:after="0" w:line="18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Because the extent and scope of patent protection for some of our product candidates may be limited, obtaining orphan drug designation is especially important for any product candidates that may be eligible for orphan drug designation. For eligible products, we plan to rely on the exclusivity period under the Orphan Drug Act to maintain a competitive position. If we do not obtain orphan drug designation for our product candidates that do not have broad patent protection, our competitors may then seek to sell a competing drug to treat the same condition and our revenues, if any, may be adversely affected thereby.</w:t>
      </w:r>
    </w:p>
    <w:p>
      <w:pPr>
        <w:spacing w:after="0" w:line="188"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Even though we have obtained orphan drug designation for certain of our product candidates and intend to seek orphan drug designation for other product candidates, there is no assurance that we will be the first to obtain marketing approval for any particular rare indication. Further, even though we have obtained orphan drug designation for certain of our product candidates, or even if we obtain orphan drug designation for other potential product candidates, such designation may not effectively protect us from competition because different drugs can be approved for the same condition and the same drug can be approved for different conditions and potentially used off-label in the orphan indication. Even after an orphan drug is approved, the FDA can subsequently approve a competing drug for the same condition for several reasons, including, if the FDA concludes that the later drug is safer or more effective or makes a major contribution to patient care. Orphan drug designation neither shortens the development time or regulatory review time of a drug, nor gives the drug any advantage in the regulatory review or approval process.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7" w:name="page38"/>
    <w:bookmarkEnd w:id="37"/>
    <w:p>
      <w:pPr>
        <w:ind w:right="180"/>
        <w:spacing w:after="0" w:line="277" w:lineRule="auto"/>
        <w:rPr>
          <w:sz w:val="20"/>
          <w:szCs w:val="20"/>
          <w:color w:val="auto"/>
        </w:rPr>
      </w:pPr>
      <w:r>
        <w:rPr>
          <w:rFonts w:ascii="Arial" w:cs="Arial" w:eastAsia="Arial" w:hAnsi="Arial"/>
          <w:sz w:val="18"/>
          <w:szCs w:val="18"/>
          <w:b w:val="1"/>
          <w:bCs w:val="1"/>
          <w:i w:val="1"/>
          <w:iCs w:val="1"/>
          <w:color w:val="auto"/>
        </w:rPr>
        <w:t>Product development involves a lengthy and expensive process with an uncertain outcome, and results of earlier preclinical studies and clinical trials may not be predictive of future clinical trial results.</w:t>
      </w:r>
    </w:p>
    <w:p>
      <w:pPr>
        <w:spacing w:after="0" w:line="62"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The results from preclinical studies or early clinical trials of a product candidate may not predict the results that will be obtained in subsequent subjects or in later stage clinical trials of that product candidate or any other product candidate. Flaws in the design of a clinical trial may not become apparent until the clinical trial is well advanced. We have limited experience in designing clinical trials and we may be unable to design and execute clinical trials to support regulatory approval of our product candidates. In addition, preclinical study and clinical trial data are often susceptible to varying interpretations and analyses. Product candidates that seemingly perform satisfactorily in preclinical studies and clinical trials may nonetheless fail to obtain regulatory approval. There is a high failure rate for drugs proceeding through clinical trials. A number of companies in the pharmaceutical and biotechnology industries have suffered significant setbacks in clinical development even after achieving promising results in earlier studies, and any such setbacks in our clinical development could negatively affect our business and operating results.</w:t>
      </w:r>
    </w:p>
    <w:p>
      <w:pPr>
        <w:spacing w:after="0" w:line="28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costs might be higher than expected and our receipt of necessary regulatory approvals could be delayed or prevented.</w:t>
      </w:r>
    </w:p>
    <w:p>
      <w:pPr>
        <w:spacing w:after="0" w:line="62"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Clinical trials of a new product candidate require the enrollment of a sufficient number of patients suffering from the disease or condition the product candidate is intended to treat and who meet other eligibility criteria. Rates of patient enrollment are affected by many factors, including the size of the potential patient population, the age and condition of the patients, the stage and severity of disease or condition, the nature and requirements of the protocol, the proximity of patients to clinical sites, the availability of effective treatments for the relevant disease or condition, the perceived risks, benefits and convenience of administration of the product candidate being studied, the patient referral practices of physicians, our efforts to facilitate timely enrollment in clinical trials, and the eligibility criteria for the clinical trial. Delays or difficulties in patient enrollment or difficulties retaining trial participants, including as a result of the availability of existing or other investigational treatments, can result in increased costs, longer development times or termination of a clinical trial.</w:t>
      </w:r>
    </w:p>
    <w:p>
      <w:pPr>
        <w:spacing w:after="0" w:line="192" w:lineRule="exact"/>
        <w:rPr>
          <w:sz w:val="20"/>
          <w:szCs w:val="20"/>
          <w:color w:val="auto"/>
        </w:rPr>
      </w:pPr>
    </w:p>
    <w:p>
      <w:pPr>
        <w:ind w:right="80" w:firstLine="510"/>
        <w:spacing w:after="0" w:line="273" w:lineRule="auto"/>
        <w:rPr>
          <w:sz w:val="20"/>
          <w:szCs w:val="20"/>
          <w:color w:val="auto"/>
        </w:rPr>
      </w:pPr>
      <w:r>
        <w:rPr>
          <w:rFonts w:ascii="Arial" w:cs="Arial" w:eastAsia="Arial" w:hAnsi="Arial"/>
          <w:sz w:val="17"/>
          <w:szCs w:val="17"/>
          <w:color w:val="auto"/>
        </w:rPr>
        <w:t>In addition, our success may depend, in part, on our ability to identify patients who qualify for our clinical trials, or are likely to benefit from any product candidate that we may develop, which will require those potential patients to undergo a screening assay for the presence or absence of a particular genetic sequence or clinical trait. Genetically defined diseases generally, and especially those for which our current product candidates are targeted, may have relatively low prevalence. For example, we estimate there are approximately 16,500 patients that may be diagnosed with PKU in the United States. If we, or any third parties that we engage to assist us, are unable to successfully identify patients with these diseases, or experience delays in doing so, then we may not realize the full commercial potential of any product candidate we develop.</w:t>
      </w:r>
    </w:p>
    <w:p>
      <w:pPr>
        <w:spacing w:after="0" w:line="286" w:lineRule="exact"/>
        <w:rPr>
          <w:sz w:val="20"/>
          <w:szCs w:val="20"/>
          <w:color w:val="auto"/>
        </w:rPr>
      </w:pPr>
    </w:p>
    <w:p>
      <w:pPr>
        <w:spacing w:after="0" w:line="275" w:lineRule="auto"/>
        <w:rPr>
          <w:sz w:val="20"/>
          <w:szCs w:val="20"/>
          <w:color w:val="auto"/>
        </w:rPr>
      </w:pPr>
      <w:r>
        <w:rPr>
          <w:rFonts w:ascii="Arial" w:cs="Arial" w:eastAsia="Arial" w:hAnsi="Arial"/>
          <w:sz w:val="17"/>
          <w:szCs w:val="17"/>
          <w:b w:val="1"/>
          <w:bCs w:val="1"/>
          <w:i w:val="1"/>
          <w:iCs w:val="1"/>
          <w:color w:val="auto"/>
        </w:rPr>
        <w:t>We may face potential product liability claims, and, if successful claims are brought against us, we may incur substantial liability and costs. If the use or misuse of our product candidates harms patients, or is perceived to harm patients even when such harm is unrelated to our product candidates, our regulatory approvals, if any, could be revoked or otherwise negatively impacted and we could be subject to costly and damaging product liability claims. If we are unable to obtain adequate insurance or are required to pay for liabilities resulting from a claim excluded from, or beyond the limits of, our insurance coverage, such liability could adversely affect our financial condition.</w:t>
      </w:r>
    </w:p>
    <w:p>
      <w:pPr>
        <w:spacing w:after="0" w:line="68" w:lineRule="exact"/>
        <w:rPr>
          <w:sz w:val="20"/>
          <w:szCs w:val="20"/>
          <w:color w:val="auto"/>
        </w:rPr>
      </w:pPr>
    </w:p>
    <w:p>
      <w:pPr>
        <w:ind w:firstLine="510"/>
        <w:spacing w:after="0" w:line="287" w:lineRule="auto"/>
        <w:rPr>
          <w:sz w:val="20"/>
          <w:szCs w:val="20"/>
          <w:color w:val="auto"/>
        </w:rPr>
      </w:pPr>
      <w:r>
        <w:rPr>
          <w:rFonts w:ascii="Arial" w:cs="Arial" w:eastAsia="Arial" w:hAnsi="Arial"/>
          <w:sz w:val="16"/>
          <w:szCs w:val="16"/>
          <w:color w:val="auto"/>
        </w:rPr>
        <w:t>The use or misuse of our product candidates in clinical trials and the sale of any products for which we may obtain marketing approval exposes us to the risk of potential product liability claims. Product liability claims might be brought against us by consumers, healthcare providers, pharmaceutical companies or others selling or otherwise coming into contact with our product candidates and approved products, if any. There is a risk that our product candidates may induce adverse events. If we cannot successfully defend against product liability claims, we could incur substantial liability and costs. Patients with the diseases targeted by our product candidates may already be in severe and advanced stages of disease and have both known and unknown significant pre-existing and potentially life-threatening health risks. During the course of treatment, patients may suffer adverse events, including death, for reasons that may be related to our product candidates. Such events could subject us to costly litigation, require us to pay substantial amounts of money to injured patients, delay, negatively impact or end our opportunity to receive or maintain regulatory approval to market our products, or require us to suspend or abandon our commercialization efforts. Even in a circumstance in which an adverse event is unrelated to our product candidates, the investigation into the circumstance may be time-consuming or inconclusive. These investigations may delay our regulatory approval process or impact and limit the type of regulatory approvals our product candidates receive or maintain. As a result of these factors, a product liability claim, even if successfully defended, could have a material adverse effect on our business, financial condition or results of operations.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38" w:name="page39"/>
    <w:bookmarkEnd w:id="38"/>
    <w:p>
      <w:pPr>
        <w:ind w:firstLine="510"/>
        <w:spacing w:after="0" w:line="287" w:lineRule="auto"/>
        <w:rPr>
          <w:sz w:val="20"/>
          <w:szCs w:val="20"/>
          <w:color w:val="auto"/>
        </w:rPr>
      </w:pPr>
      <w:r>
        <w:rPr>
          <w:rFonts w:ascii="Arial" w:cs="Arial" w:eastAsia="Arial" w:hAnsi="Arial"/>
          <w:sz w:val="16"/>
          <w:szCs w:val="16"/>
          <w:color w:val="auto"/>
        </w:rPr>
        <w:t>Although we have product liability insurance, which covers any clinical trial we may conduct in the United States, our insurance may be insufficient to reimburse us for any expenses or losses we may suffer. We will also likely be required to increase our product liability insurance coverage for the advanced clinical trials that we plan to initiate. If we obtain marketing approval for any of our product candidates, we will need to expand our insurance coverage to include the sale of commercial products. There is no way to know if we will be able to continue to obtain product liability coverage and obtain expanded coverage we may require, in sufficient amounts to protect us against losses due to liability, on acceptable terms, or at all. We may not have sufficient resources to pay for any liabilities resulting from a claim excluded from, or beyond the limits of, our insurance coverage. Where we have provided indemnities in favor of third parties under our agreements with them, there is also a risk that these third parties could incur liability and bring a claim under such indemnities. An individual may bring a product liability claim against us alleging that one of our product candidates or products causes, or is claimed to have caused, an injury or is found to be unsuitable for consumer use.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Any product liability claim brought against us, with or without merit, could result in:</w:t>
      </w:r>
    </w:p>
    <w:p>
      <w:pPr>
        <w:spacing w:after="0" w:line="64" w:lineRule="exact"/>
        <w:rPr>
          <w:sz w:val="20"/>
          <w:szCs w:val="20"/>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withdrawal of clinical trial volunteers, investigators, patients or trial sites or limitations on approved indications;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or if commercialized, decreased demand for, our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commercialized, product recalls, withdrawals of labeling, marketing or promotional restrictions or the need for product modification;</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costs of litigation, including monetary awards to patients or other claimants;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liabilities that substantially exceed our product liability insurance, which we would then be required to pay ourselves;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an increase in our product liability insurance rates or the inability to maintain insurance coverage in the future on acceptable terms, if at all;</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diversion of management’s attention from our business;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damage to our reputation and the reputation of our products and our technology.</w:t>
      </w:r>
    </w:p>
    <w:p>
      <w:pPr>
        <w:spacing w:after="0" w:line="225"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Product liability claims may subject us to the foregoing and other risks, which could have a material adverse effect on our business, financial condition or results of operations.</w:t>
      </w:r>
    </w:p>
    <w:p>
      <w:pPr>
        <w:spacing w:after="0" w:line="2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We or the third parties upon which we depend may be adversely affected by earthquakes or other natural disasters and our business continuity and disaster recovery plans may not adequately protect us from a serious disaster.</w:t>
      </w:r>
    </w:p>
    <w:p>
      <w:pPr>
        <w:spacing w:after="0" w:line="62"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27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212529"/>
        </w:rPr>
        <w:t>A pandemic, epidemic, or outbreak of an infectious disease, such as COVID-19 may materially and adversely affect our business and our financial results.</w:t>
      </w:r>
    </w:p>
    <w:p>
      <w:pPr>
        <w:spacing w:after="0" w:line="62"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212529"/>
        </w:rPr>
        <w:t>The coronavirus outbreak has affected segments of the global economy and may materially affect our operations, including potentially significant interruption of our clinical trial activities. The continued spread of the coronavirus may result in a period of business disruption, including material delays in our clinical trials. In addition, there could be a potential effect of COVID-19 to the business at FDA or other health authorities, which could result in delays of reviews and approvals, including with respect to our product candidates.</w:t>
      </w:r>
    </w:p>
    <w:p>
      <w:pPr>
        <w:spacing w:after="0" w:line="187" w:lineRule="exact"/>
        <w:rPr>
          <w:sz w:val="20"/>
          <w:szCs w:val="20"/>
          <w:color w:val="auto"/>
        </w:rPr>
      </w:pPr>
    </w:p>
    <w:p>
      <w:pPr>
        <w:jc w:val="both"/>
        <w:ind w:right="60" w:firstLine="510"/>
        <w:spacing w:after="0" w:line="263" w:lineRule="auto"/>
        <w:rPr>
          <w:sz w:val="20"/>
          <w:szCs w:val="20"/>
          <w:color w:val="auto"/>
        </w:rPr>
      </w:pPr>
      <w:r>
        <w:rPr>
          <w:rFonts w:ascii="Arial" w:cs="Arial" w:eastAsia="Arial" w:hAnsi="Arial"/>
          <w:sz w:val="18"/>
          <w:szCs w:val="18"/>
          <w:color w:val="212529"/>
        </w:rPr>
        <w:t>The continued spread globally could also have a material adverse effect on our clinical trial operations in the United States and elsewhere, including our ability to recruit and retain patients and principal investigators and site staff who, as healthcare providers, may have heightened exposure to COVID-19 if an outbreak occurs in their geography.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39" w:name="page40"/>
    <w:bookmarkEnd w:id="39"/>
    <w:p>
      <w:pPr>
        <w:ind w:right="20" w:firstLine="510"/>
        <w:spacing w:after="0" w:line="275" w:lineRule="auto"/>
        <w:rPr>
          <w:sz w:val="20"/>
          <w:szCs w:val="20"/>
          <w:color w:val="auto"/>
        </w:rPr>
      </w:pPr>
      <w:r>
        <w:rPr>
          <w:rFonts w:ascii="Arial" w:cs="Arial" w:eastAsia="Arial" w:hAnsi="Arial"/>
          <w:sz w:val="17"/>
          <w:szCs w:val="17"/>
          <w:color w:val="212529"/>
        </w:rPr>
        <w:t>We are closely monitoring the potential impact of the coronavirus outbreak, and the associated restrictions on travel and work that have been implemented, on our business and pre-clinical and clinical trials. The extent to which the coronavirus impacts us will depend on future developments, which are highly uncertain and cannot be predicted, including new information which may emerge concerning the severity of the coronavirus and the actions to contain the coronavirus or treat its impact, among others. Over the coming weeks and months, we will continue to carefully monitor the situation with respect to each of our clinical trials and follow guidance from local and federal health authorities.</w:t>
      </w:r>
    </w:p>
    <w:p>
      <w:pPr>
        <w:spacing w:after="0" w:line="176" w:lineRule="exact"/>
        <w:rPr>
          <w:sz w:val="20"/>
          <w:szCs w:val="20"/>
          <w:color w:val="auto"/>
        </w:rPr>
      </w:pPr>
    </w:p>
    <w:p>
      <w:pPr>
        <w:ind w:right="220" w:firstLine="510"/>
        <w:spacing w:after="0" w:line="274" w:lineRule="auto"/>
        <w:rPr>
          <w:sz w:val="20"/>
          <w:szCs w:val="20"/>
          <w:color w:val="auto"/>
        </w:rPr>
      </w:pPr>
      <w:r>
        <w:rPr>
          <w:rFonts w:ascii="Arial" w:cs="Arial" w:eastAsia="Arial" w:hAnsi="Arial"/>
          <w:sz w:val="17"/>
          <w:szCs w:val="17"/>
          <w:color w:val="212529"/>
        </w:rPr>
        <w:t xml:space="preserve">COVID-19 may also affect employees of third-party contract research organizations and </w:t>
      </w:r>
      <w:r>
        <w:rPr>
          <w:rFonts w:ascii="Arial" w:cs="Arial" w:eastAsia="Arial" w:hAnsi="Arial"/>
          <w:sz w:val="17"/>
          <w:szCs w:val="17"/>
          <w:color w:val="000000"/>
        </w:rPr>
        <w:t>contract manufacturing organizations</w:t>
      </w:r>
      <w:r>
        <w:rPr>
          <w:rFonts w:ascii="Arial" w:cs="Arial" w:eastAsia="Arial" w:hAnsi="Arial"/>
          <w:sz w:val="17"/>
          <w:szCs w:val="17"/>
          <w:color w:val="212529"/>
        </w:rPr>
        <w:t xml:space="preserve"> located in affected geographies that we rely upon to carry out our clinical trials. In addition, we have taken precautionary measures, and may take additional</w:t>
      </w:r>
    </w:p>
    <w:p>
      <w:pPr>
        <w:ind w:right="20"/>
        <w:spacing w:after="0" w:line="255" w:lineRule="auto"/>
        <w:rPr>
          <w:sz w:val="20"/>
          <w:szCs w:val="20"/>
          <w:color w:val="auto"/>
        </w:rPr>
      </w:pPr>
      <w:r>
        <w:rPr>
          <w:rFonts w:ascii="Arial" w:cs="Arial" w:eastAsia="Arial" w:hAnsi="Arial"/>
          <w:sz w:val="18"/>
          <w:szCs w:val="18"/>
          <w:color w:val="212529"/>
        </w:rPr>
        <w:t>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90"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212529"/>
        </w:rPr>
        <w:t>We cannot presently predict the extent to which current or future business shutdowns and disruptions may impact or limit our ability or the ability of any of the third parties with which we engage to conduct business in the manner and on the timelines presently planned. Any such impacts or limitations could have a material adverse impact on our business and our results of operation and financial condition. While the potential economic impact brought by and the duration of the coronavirus outbreak may be difficult to assess or predict, a widespread pandemic could result in significant disruption of global financial markets, potentially reducing our ability to access capital, which could in the future negatively affect our liquidity. In addition, a recession or market correction resulting from the spread of COVID-19 could materially affect our business and the price of our common stock.</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12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We may seek breakthrough therapy designation for one or more of our product candidates, but we might not receive such designation, and even if we do, such designation may not lead to a faster development or regulatory review or approval process, and it does not increase the likelihood that our product candidates will receive marketing approval.</w:t>
      </w:r>
    </w:p>
    <w:p>
      <w:pPr>
        <w:spacing w:after="0" w:line="76" w:lineRule="exact"/>
        <w:rPr>
          <w:sz w:val="20"/>
          <w:szCs w:val="20"/>
          <w:color w:val="auto"/>
        </w:rPr>
      </w:pPr>
    </w:p>
    <w:p>
      <w:pPr>
        <w:jc w:val="both"/>
        <w:ind w:right="40" w:firstLine="510"/>
        <w:spacing w:after="0" w:line="293" w:lineRule="auto"/>
        <w:rPr>
          <w:sz w:val="20"/>
          <w:szCs w:val="20"/>
          <w:color w:val="auto"/>
        </w:rPr>
      </w:pPr>
      <w:r>
        <w:rPr>
          <w:rFonts w:ascii="Arial" w:cs="Arial" w:eastAsia="Arial" w:hAnsi="Arial"/>
          <w:sz w:val="16"/>
          <w:szCs w:val="16"/>
          <w:color w:val="auto"/>
        </w:rPr>
        <w:t>We may seek a breakthrough therapy designation from the FDA for some of our product candidates. A breakthrough therapy is defined as a drug or biological product that is intended, alone or in combination with one or more other drugs, to treat a serious or life-threatening disease or condition, and for which preliminary clinical evidence indicates that the drug or biological product may demonstrate substantial improvement over existing therapies on one or more clinically significant endpoints, such as substantial treatment effects observed early in clinical development. For drugs or biological products that have been designated as breakthrough therapies, interaction and communication between the FDA and the sponsor of the trial can help to identify the most efficient path for clinical development. Drugs designated as breakthrough therapies by the FDA could also be eligible for accelerated approval.</w:t>
      </w:r>
    </w:p>
    <w:p>
      <w:pPr>
        <w:spacing w:after="0" w:line="16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and are designated as breakthrough therapies, the FDA may later decide that the drugs or biological products no longer meet the conditions for designation and the designation may be rescinded.</w:t>
      </w:r>
    </w:p>
    <w:p>
      <w:pPr>
        <w:spacing w:after="0" w:line="28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We may seek Fast-Track designation for one or more of our product candidates, but we might not receive such designation, and even if we do, such designation may not actually lead to a faster development or regulatory review or approval process.</w:t>
      </w:r>
    </w:p>
    <w:p>
      <w:pPr>
        <w:spacing w:after="0" w:line="62" w:lineRule="exact"/>
        <w:rPr>
          <w:sz w:val="20"/>
          <w:szCs w:val="20"/>
          <w:color w:val="auto"/>
        </w:rPr>
      </w:pPr>
    </w:p>
    <w:p>
      <w:pPr>
        <w:ind w:right="40" w:firstLine="510"/>
        <w:spacing w:after="0" w:line="254" w:lineRule="auto"/>
        <w:rPr>
          <w:sz w:val="20"/>
          <w:szCs w:val="20"/>
          <w:color w:val="auto"/>
        </w:rPr>
      </w:pPr>
      <w:r>
        <w:rPr>
          <w:rFonts w:ascii="Arial" w:cs="Arial" w:eastAsia="Arial" w:hAnsi="Arial"/>
          <w:sz w:val="18"/>
          <w:szCs w:val="18"/>
          <w:color w:val="auto"/>
        </w:rPr>
        <w:t>If a product candidate is intended for the treatment of a serious condition and nonclinical or clinical data demonstrate the potential to address unmet medical need for the condition, a product sponsor may apply for FDA Fast-Track designation. We were awarded Fast-Track designation for SYNB1618 in April 2018. Fast-Track designation does not ensure that we will receive marketing approval for the product candidate or that approval will be granted within any particular timeframe. We may not experience a faster development or regulatory review or approval process with Fast-Track designation compared to conventional FDA procedures. In addition, the FDA may withdraw Fast-Track designation if it believes that the designation is no longer supported by data from our clinical development program. Fast-Track designation alone does not guarantee qualification for the FDA’s priority review procedures.</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we will remain subject to ongoing regulatory requirements.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If any of our product candidates are approved for marketing, we will be subject to ongoing regulatory requirements, including with respect to manufacturing, labeling, packaging, storage, advertising, promotion, sampling, record-keeping, conduct of post-marketing clinical trials, and submission of safety, efficacy and other post-approval information, including both federal and state requirements in the United States and requirements of comparable foreign regulatory authorities.</w:t>
      </w:r>
    </w:p>
    <w:p>
      <w:pPr>
        <w:spacing w:after="0" w:line="187"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Manufacturers and manufacturers’ facilities are required to continuously comply with FDA and comparable foreign regulatory authority requirements, including ensuring that quality control and manufacturing procedures conform to current Good Manufacturing Practices (GMP) regulations and corresponding foreign regulatory manufacturing requirements. As such, we and our contract manufacturers will be subject to continual review and inspections to assess compliance with GMP and adherence to commitments made in any BLA or marketing authorization application.</w:t>
      </w:r>
    </w:p>
    <w:p>
      <w:pPr>
        <w:spacing w:after="0" w:line="15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Any regulatory approvals that we receive for our product candidates may be subject to limitations on the approved indicated uses for which the product candidate may be marketed or to the conditions of approval, or contain requirements for potentially costly post-marketing testing, including Phase</w:t>
      </w:r>
    </w:p>
    <w:p>
      <w:pPr>
        <w:spacing w:after="0" w:line="252" w:lineRule="auto"/>
        <w:rPr>
          <w:sz w:val="20"/>
          <w:szCs w:val="20"/>
          <w:color w:val="auto"/>
        </w:rPr>
      </w:pPr>
      <w:r>
        <w:rPr>
          <w:rFonts w:ascii="Arial" w:cs="Arial" w:eastAsia="Arial" w:hAnsi="Arial"/>
          <w:sz w:val="18"/>
          <w:szCs w:val="18"/>
          <w:color w:val="auto"/>
        </w:rPr>
        <w:t>4 clinical trials, and surveillance to monitor the safety and efficacy of the product candidate. We will be required to report adverse reactions and production problems, if any, to the FDA and comparable foreign regulatory authorities. Any new legislation addressing drug safety issues could result in delays in product development or commercialization, or increased costs to assure compliance. If our original marketing approval for a product candidate was obtained through an accelerated approval pathway, we could be required to conduct a successful post-marketing clinical trial in order to confirm the clinical benefit for our products. An unsuccessful post-marketing clinical trial or failure to complete such a trial could result in the withdrawal of marketing approval.</w:t>
      </w:r>
    </w:p>
    <w:p>
      <w:pPr>
        <w:spacing w:after="0" w:line="194" w:lineRule="exact"/>
        <w:rPr>
          <w:sz w:val="20"/>
          <w:szCs w:val="20"/>
          <w:color w:val="auto"/>
        </w:rPr>
      </w:pPr>
    </w:p>
    <w:p>
      <w:pPr>
        <w:ind w:right="240" w:firstLine="510"/>
        <w:spacing w:after="0" w:line="279" w:lineRule="auto"/>
        <w:rPr>
          <w:sz w:val="20"/>
          <w:szCs w:val="20"/>
          <w:color w:val="auto"/>
        </w:rPr>
      </w:pPr>
      <w:r>
        <w:rPr>
          <w:rFonts w:ascii="Arial" w:cs="Arial" w:eastAsia="Arial" w:hAnsi="Arial"/>
          <w:sz w:val="17"/>
          <w:szCs w:val="17"/>
          <w:color w:val="auto"/>
        </w:rPr>
        <w:t>If a regulatory agency discovers previously unknown problems with a product, such as adverse events of unanticipated severity or frequency, or problems with the facility where the product is manufactured, or disagrees with the promotion, marketing or labeling of a product, the regulatory agency may impose restrictions on that product or us, including requiring withdrawal of the product from the market. If we fail to comply with applicable regulatory requirements, a regulatory agency or enforcement authority may, among other things:</w:t>
      </w:r>
    </w:p>
    <w:p>
      <w:pPr>
        <w:spacing w:after="0" w:line="63" w:lineRule="exact"/>
        <w:rPr>
          <w:sz w:val="20"/>
          <w:szCs w:val="20"/>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issue warning letters;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or withdraw regulatory approval or revoke a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suspend any of our ongoing clinical trials;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 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require a product recall.</w:t>
      </w:r>
    </w:p>
    <w:p>
      <w:pPr>
        <w:spacing w:after="0" w:line="225" w:lineRule="exact"/>
        <w:rPr>
          <w:sz w:val="20"/>
          <w:szCs w:val="20"/>
          <w:color w:val="auto"/>
        </w:rPr>
      </w:pPr>
    </w:p>
    <w:p>
      <w:pPr>
        <w:jc w:val="both"/>
        <w:ind w:right="40" w:firstLine="510"/>
        <w:spacing w:after="0" w:line="263" w:lineRule="auto"/>
        <w:rPr>
          <w:sz w:val="20"/>
          <w:szCs w:val="20"/>
          <w:color w:val="auto"/>
        </w:rPr>
      </w:pPr>
      <w:r>
        <w:rPr>
          <w:rFonts w:ascii="Arial" w:cs="Arial" w:eastAsia="Arial" w:hAnsi="Arial"/>
          <w:sz w:val="18"/>
          <w:szCs w:val="18"/>
          <w:color w:val="auto"/>
        </w:rPr>
        <w:t>Any government investigation of alleged violations of law would be expected to require us to expend significant time and resources in response and could generate adverse publicity. Any failure to comply with ongoing regulatory requirements may significantly and adversely affect our ability to develop and commercialize our products and our value and operating results would be adversely affected.</w:t>
      </w:r>
    </w:p>
    <w:p>
      <w:pPr>
        <w:spacing w:after="0" w:line="292" w:lineRule="exact"/>
        <w:rPr>
          <w:sz w:val="20"/>
          <w:szCs w:val="20"/>
          <w:color w:val="auto"/>
        </w:rPr>
      </w:pPr>
    </w:p>
    <w:p>
      <w:pPr>
        <w:ind w:right="300"/>
        <w:spacing w:after="0" w:line="340" w:lineRule="auto"/>
        <w:rPr>
          <w:sz w:val="20"/>
          <w:szCs w:val="20"/>
          <w:color w:val="auto"/>
        </w:rPr>
      </w:pPr>
      <w:r>
        <w:rPr>
          <w:rFonts w:ascii="Arial" w:cs="Arial" w:eastAsia="Arial" w:hAnsi="Arial"/>
          <w:sz w:val="15"/>
          <w:szCs w:val="15"/>
          <w:b w:val="1"/>
          <w:bCs w:val="1"/>
          <w:i w:val="1"/>
          <w:iCs w:val="1"/>
          <w:color w:val="auto"/>
        </w:rPr>
        <w:t>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3"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57" w:lineRule="exact"/>
        <w:rPr>
          <w:sz w:val="20"/>
          <w:szCs w:val="20"/>
          <w:color w:val="auto"/>
        </w:rPr>
      </w:pPr>
    </w:p>
    <w:p>
      <w:pPr>
        <w:ind w:right="380" w:firstLine="510"/>
        <w:spacing w:after="0" w:line="263"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41" w:name="page42"/>
    <w:bookmarkEnd w:id="41"/>
    <w:p>
      <w:pPr>
        <w:ind w:right="140"/>
        <w:spacing w:after="0" w:line="259" w:lineRule="auto"/>
        <w:rPr>
          <w:sz w:val="20"/>
          <w:szCs w:val="20"/>
          <w:color w:val="auto"/>
        </w:rPr>
      </w:pPr>
      <w:r>
        <w:rPr>
          <w:rFonts w:ascii="Arial" w:cs="Arial" w:eastAsia="Arial" w:hAnsi="Arial"/>
          <w:sz w:val="18"/>
          <w:szCs w:val="18"/>
          <w:color w:val="auto"/>
        </w:rPr>
        <w:t>FDA, SEC and other government employees and stop critical activities. If a prolonged government shutdown occurs,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could impact our ability to access the public markets and obtain necessary capital in order to properly capitalize and continue our operations.</w:t>
      </w:r>
    </w:p>
    <w:p>
      <w:pPr>
        <w:spacing w:after="0" w:line="2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Healthcare legislative reform measures may have a material adverse effect on our business, financial condition or results of operations.</w:t>
      </w:r>
    </w:p>
    <w:p>
      <w:pPr>
        <w:spacing w:after="0" w:line="129"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In the United States, there have been and continue to be a number of legislative initiatives to contain healthcare costs. For example, in March 2010, the Patient Protection and Affordable Care Act, or the ACA, was passed. The ACA was a sweeping law intended to broaden access to health insurance, reduce or constrain the growth of health care spending, enhance remedies against fraud and abuse, add new transparency requirements for health care and health insurance industries, impose new taxes and fees on the health industry and impose additional health policy reforms. As another example, the 2021 Consolidated Appropriations Act, which was signed into law on December 27, 2020, incorporated extensive health care provisions and amendments to existing laws, including a requirement that all manufacturers of drugs and biological products covered under Medicare Part B report the product’s average sales price to the Department of Health and Human Services (HHS) beginning on January 1, 2022, as well as several changes to the statutes governing FDA’s drug and biologic programs.</w:t>
      </w:r>
    </w:p>
    <w:p>
      <w:pPr>
        <w:spacing w:after="0" w:line="70"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as a result, certain sections of the ACA have not been fully implemented or have been effectively repealed through Executive Orders and/or executive agency actions. However, following several years of litigation in the federal courts, in June 2021, the U.S. Supreme Court upheld the ACA when it dismissed a legal challenge to the ACA’s constitutionality. Further legislative and regulatory changes under the ACA remain possible, although the new federal administration under President Biden has signaled that it plans to build on the ACA and expand the number of people who are eligible for health insurance subsidies under it. It is unknown what form any such changes or any law would take, and how or whether it may affect the biopharmaceutical industry as a whole or our business in the future. We expect that changes or additions to the ACA, the Medicare and Medicaid programs, such as changes allowing the federal government to directly negotiate drug prices, and changes stemming from other healthcare reform measures, especially with regard to healthcare access, financing or other legislation in individual states, could have a material adverse effect on the health care industry in the US.</w:t>
      </w:r>
    </w:p>
    <w:p>
      <w:pPr>
        <w:spacing w:after="0" w:line="58" w:lineRule="exact"/>
        <w:rPr>
          <w:sz w:val="20"/>
          <w:szCs w:val="20"/>
          <w:color w:val="auto"/>
        </w:rPr>
      </w:pPr>
    </w:p>
    <w:p>
      <w:pPr>
        <w:ind w:right="20" w:firstLine="510"/>
        <w:spacing w:after="0" w:line="287" w:lineRule="auto"/>
        <w:rPr>
          <w:sz w:val="20"/>
          <w:szCs w:val="20"/>
          <w:color w:val="auto"/>
        </w:rPr>
      </w:pPr>
      <w:r>
        <w:rPr>
          <w:rFonts w:ascii="Arial" w:cs="Arial" w:eastAsia="Arial" w:hAnsi="Arial"/>
          <w:sz w:val="16"/>
          <w:szCs w:val="16"/>
          <w:color w:val="auto"/>
        </w:rPr>
        <w:t>In the United States and in some other jurisdictions, there have been a number of legislative and regulatory changes and proposed changes regarding the health care system that could prevent or delay marketing approval of our drug candidates, restrict or regulate post-approval activities, or affect our ability to profitably sell any drug candidates for which we obtain marketing approval, if any. For example, in December 2016, the 21st Century Cures Act, or Cures Act, was signed into law. The Cures Act, among other things, was intended to modernize the regulation of drugs and devices and to spur innovation, but its ultimate implementation is uncertain. Legislative proposals continue to be discussed in the U.S. Congress as potentially leading to a future “Cures 2.0” bill that is expected to have bipartisan support. In addition, in August 2017, the FDA Reauthorization Act was signed into law, which reauthorized the FDA’s user fee programs and included additional drug and biological product provisions. The next legislative reauthorization must be completed in 2022, which has the potential to make further changes to FDA authorities or policies pertaining to biopharmaceutical products. We cannot be sure whether additional legislative changes will be enacted, or whether FDA regulations, guidance or interpretations will be changed, or what the impact of such changes on the marketing approvals, if any, of our drug candidates, may be or whether such changes will have any other impacts on our business. In addition, increased scrutiny by the U.S. Congress of the FDA’s approval process may significantly delay or prevent marketing approval, as well as subject us to more stringent product labeling and post-marketing conditions and other requirements.</w:t>
      </w:r>
    </w:p>
    <w:p>
      <w:pPr>
        <w:spacing w:after="0" w:line="6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Further, over the past several years there has been heightened governmental scrutiny over the manner in which biopharmaceutical manufacturers set prices for their marketed products,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The probability of success of these newly announced policies, many of which have been subjected to legal challenge in the federal court system, and their potential impact on the U.S. prescription drug marketplace is unknown. There are likely to be continued political and legal challenges associated with implementing these reforms as they are currently envisioned, and the recent transition to a new Democrat-led presidential administration created further uncertainty in the health care and biopharmaceutical industries. For example, in July 2021, President Biden issued a sweeping executive order on promoting competition in the American economy that includes several mandates pertaining to the pharmaceutical and health care insurance industries. Among other things, the executive order directs the FDA to work towards implementing a system for importing drugs from Canada (following on a Trump administration notice-and-comment rulemaking on Canadian drug importation that was finalized in October 2020). The Biden order also called on HHS to release a comprehensive plan to combat high prescription drug prices, and it includes several directives regarding the Federal Trade Commission’s oversight of potentially anticompetitive practices within the pharmaceutical industry. The drug pricing plan released by HHS in September 2021 in response to the executive order makes clear that the Biden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42" w:name="page43"/>
    <w:bookmarkEnd w:id="42"/>
    <w:p>
      <w:pPr>
        <w:jc w:val="both"/>
        <w:ind w:right="40"/>
        <w:spacing w:after="0" w:line="311" w:lineRule="auto"/>
        <w:rPr>
          <w:sz w:val="20"/>
          <w:szCs w:val="20"/>
          <w:color w:val="auto"/>
        </w:rPr>
      </w:pPr>
      <w:r>
        <w:rPr>
          <w:rFonts w:ascii="Arial" w:cs="Arial" w:eastAsia="Arial" w:hAnsi="Arial"/>
          <w:sz w:val="16"/>
          <w:szCs w:val="16"/>
          <w:color w:val="auto"/>
        </w:rPr>
        <w:t>Administration supports aggressive action to address rising drug prices, including allowing HHS to negotiate the cost of Medicare Part B and D drugs, but such significant changes will require either new legislation to be passed by Congress or time-consuming administrative actions. Accordingly, there remains a large amount of uncertainty regarding the federal government’s approach to making pharmaceutical treatment costs more affordable for patients.</w:t>
      </w:r>
    </w:p>
    <w:p>
      <w:pPr>
        <w:spacing w:after="0" w:line="41"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color w:val="auto"/>
        </w:rPr>
        <w:t>There also are a number of state and local legislative and regulatory efforts related to drug pricing, including drug price transparency laws that apply to pharmaceutical manufacturers, that may have an impact on our business. Individual states in the U.S. have become increasingly active in passing legislation and implementing regulations designed to control product pricing, including price or patient reimbursement constraints, discounts, and restrictions on certain product access. In December 2020, the U.S. Supreme Court held unanimously that federal law does not preempt the states’ ability to regulate pharmaceutical benefit managers, or PBMs, and other members of the health care and pharmaceutical supply chain, an important decision that may lead to further and more aggressive efforts by states in this area.</w:t>
      </w:r>
    </w:p>
    <w:p>
      <w:pPr>
        <w:spacing w:after="0" w:line="70"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In the European Union, similar political, economic and regulatory developments may affect our ability to profitably commercialize our products. In addition to continuing pressure on prices and cost containment measures, legislative developments at the European Union or EU member state level may result in significant additional requirements or obstacles that may increase our operating costs.</w:t>
      </w:r>
    </w:p>
    <w:p>
      <w:pPr>
        <w:spacing w:after="0" w:line="292" w:lineRule="exact"/>
        <w:rPr>
          <w:sz w:val="20"/>
          <w:szCs w:val="20"/>
          <w:color w:val="auto"/>
        </w:rPr>
      </w:pPr>
    </w:p>
    <w:p>
      <w:pPr>
        <w:ind w:right="340" w:firstLine="51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or executive action. We expect that additional federal and state health care reform measures will be adopted in the future, any of which could limit the amounts that federal and state governments will pay for health care products and services, which could result in limited coverage and reimbursement and reduced demand for our products, once approved, or additional pricing pressures.</w:t>
      </w:r>
    </w:p>
    <w:p>
      <w:pPr>
        <w:spacing w:after="0" w:line="29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38"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If we obtain FDA approval for any of our product candidates and begin commercializing those products in the United States, our operations may be subject to various federal and state fraud and abuse laws, including, without limitation, the federal Anti-Kickback Statute, the federal False Claims Act, and physician sunshine laws and regulations.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80" w:lineRule="exact"/>
        <w:rPr>
          <w:sz w:val="20"/>
          <w:szCs w:val="20"/>
          <w:color w:val="auto"/>
        </w:rPr>
      </w:pPr>
    </w:p>
    <w:p>
      <w:pPr>
        <w:jc w:val="both"/>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75" w:lineRule="exact"/>
        <w:rPr>
          <w:rFonts w:ascii="Arial" w:cs="Arial" w:eastAsia="Arial" w:hAnsi="Arial"/>
          <w:sz w:val="18"/>
          <w:szCs w:val="18"/>
          <w:color w:val="auto"/>
        </w:rPr>
      </w:pPr>
    </w:p>
    <w:p>
      <w:pPr>
        <w:jc w:val="both"/>
        <w:ind w:left="1000" w:right="120" w:hanging="493"/>
        <w:spacing w:after="0" w:line="263"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payors that are false or fraudulent;</w:t>
      </w:r>
    </w:p>
    <w:p>
      <w:pPr>
        <w:spacing w:after="0" w:line="75" w:lineRule="exact"/>
        <w:rPr>
          <w:rFonts w:ascii="Arial" w:cs="Arial" w:eastAsia="Arial" w:hAnsi="Arial"/>
          <w:sz w:val="18"/>
          <w:szCs w:val="18"/>
          <w:color w:val="auto"/>
        </w:rPr>
      </w:pPr>
    </w:p>
    <w:p>
      <w:pPr>
        <w:ind w:left="1000" w:right="22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(HIPAA), which created new federal criminal statutes that prohibit executing a scheme to defraud any healthcare benefit program and making false statements relating to healthcare matters;</w:t>
      </w:r>
    </w:p>
    <w:p>
      <w:pPr>
        <w:spacing w:after="0" w:line="38" w:lineRule="exact"/>
        <w:rPr>
          <w:rFonts w:ascii="Arial" w:cs="Arial" w:eastAsia="Arial" w:hAnsi="Arial"/>
          <w:sz w:val="17"/>
          <w:szCs w:val="17"/>
          <w:color w:val="auto"/>
        </w:rPr>
      </w:pPr>
    </w:p>
    <w:p>
      <w:pPr>
        <w:ind w:left="1000" w:right="560" w:hanging="493"/>
        <w:spacing w:after="0" w:line="308"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HIPAA, as amended by the Health Information Technology and Clinical Health Act, and its implementing regulations, which imposes specified requirements relating to the privacy, security, and transmission of individually identifiable health information;</w:t>
      </w:r>
    </w:p>
    <w:p>
      <w:pPr>
        <w:spacing w:after="0" w:line="38" w:lineRule="exact"/>
        <w:rPr>
          <w:rFonts w:ascii="Arial" w:cs="Arial" w:eastAsia="Arial" w:hAnsi="Arial"/>
          <w:sz w:val="17"/>
          <w:szCs w:val="17"/>
          <w:color w:val="auto"/>
        </w:rPr>
      </w:pPr>
    </w:p>
    <w:p>
      <w:pPr>
        <w:ind w:left="1000" w:hanging="493"/>
        <w:spacing w:after="0" w:line="279" w:lineRule="auto"/>
        <w:tabs>
          <w:tab w:leader="none" w:pos="10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federal physician sunshine requirements under the ACA require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63" w:lineRule="exact"/>
        <w:rPr>
          <w:rFonts w:ascii="Arial" w:cs="Arial" w:eastAsia="Arial" w:hAnsi="Arial"/>
          <w:sz w:val="17"/>
          <w:szCs w:val="17"/>
          <w:color w:val="auto"/>
        </w:rPr>
      </w:pPr>
    </w:p>
    <w:p>
      <w:pPr>
        <w:ind w:left="1000" w:right="20" w:hanging="493"/>
        <w:spacing w:after="0" w:line="255" w:lineRule="auto"/>
        <w:tabs>
          <w:tab w:leader="none" w:pos="10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that may apply to items or services reimbursed by any third-party payor, including governmental and private payors,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3" w:name="page44"/>
    <w:bookmarkEnd w:id="43"/>
    <w:p>
      <w:pPr>
        <w:ind w:left="1000" w:right="40"/>
        <w:spacing w:after="0" w:line="277" w:lineRule="auto"/>
        <w:rPr>
          <w:sz w:val="20"/>
          <w:szCs w:val="20"/>
          <w:color w:val="auto"/>
        </w:rPr>
      </w:pPr>
      <w:r>
        <w:rPr>
          <w:rFonts w:ascii="Arial" w:cs="Arial" w:eastAsia="Arial" w:hAnsi="Arial"/>
          <w:sz w:val="18"/>
          <w:szCs w:val="18"/>
          <w:color w:val="auto"/>
        </w:rPr>
        <w:t>of health information in specified circumstances, many of which differ from each other in significant ways and may not have the same effect, thus complicating compliance efforts.</w:t>
      </w:r>
    </w:p>
    <w:p>
      <w:pPr>
        <w:spacing w:after="0" w:line="170" w:lineRule="exact"/>
        <w:rPr>
          <w:sz w:val="20"/>
          <w:szCs w:val="20"/>
          <w:color w:val="auto"/>
        </w:rPr>
      </w:pPr>
    </w:p>
    <w:p>
      <w:pPr>
        <w:ind w:right="160" w:firstLine="510"/>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ACA, among other things, amends the intent requirement of the federal anti-kickback and criminal healthcare fraud statutes. A person or entity no longer needs to have actual knowledge of this statute or specific intent to violate it. Moreover, the ACA provides that the government may assert that a claim including items or services resulting from a violation of the federal anti-kickback statute constitutes a false or fraudulent claim for purposes of the False Claims Act.</w:t>
      </w:r>
    </w:p>
    <w:p>
      <w:pPr>
        <w:spacing w:after="0" w:line="19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9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79" w:lineRule="exact"/>
        <w:rPr>
          <w:sz w:val="20"/>
          <w:szCs w:val="20"/>
          <w:color w:val="auto"/>
        </w:rPr>
      </w:pPr>
    </w:p>
    <w:p>
      <w:pPr>
        <w:ind w:right="40" w:firstLine="510"/>
        <w:spacing w:after="0" w:line="268" w:lineRule="auto"/>
        <w:rPr>
          <w:sz w:val="20"/>
          <w:szCs w:val="20"/>
          <w:color w:val="auto"/>
        </w:rPr>
      </w:pPr>
      <w:r>
        <w:rPr>
          <w:rFonts w:ascii="Arial" w:cs="Arial" w:eastAsia="Arial" w:hAnsi="Arial"/>
          <w:sz w:val="17"/>
          <w:szCs w:val="17"/>
          <w:color w:val="auto"/>
        </w:rPr>
        <w:t>In many activities, including the conduct of clinical trials, we are subject to laws and regulations governing data privacy and the protection of health-related and other personal information. These laws and regulations govern our processing of personal data, including the collection, access, use, analysis, modification, storage, transfer, security breach notification, destruction and disposal of personal data. We must comply with laws and regulations associated with the international transfer of personal data based on the location in which the personal data originates and the location in which it is processed. Although there are legal mechanisms to facilitate the transfer of personal data from the European Economic Area (EEA), and Switzerland to the United States, the decision of the European Court of Justice that invalidated the safe harbor framework has increased uncertainty around compliance with EU privacy law requirements. As a result of the decision, it was no longer possible to rely on safe harbor certification as a legal basis for the transfer of personal data from the European Union to entities in the United States. In February 2016, the European Commission announced an agreement with the Department of Commerce, or DOC, to replace the invalidated safe harbor framework with a new EU-U.S. “Privacy Shield.” On July 12, 2016, the European Commission adopted a decision on the adequacy of the protection provided by the Privacy Shield. The Privacy Shield is intended to address the requirements set out by the European Court of Justice in its recent ruling by imposing more stringent obligations on companies, providing stronger monitoring and enforcement by the DOC and Federal Trade Commission and making commitments on the part of public authorities regarding access to information.</w:t>
      </w:r>
    </w:p>
    <w:p>
      <w:pPr>
        <w:spacing w:after="0" w:line="186" w:lineRule="exact"/>
        <w:rPr>
          <w:sz w:val="20"/>
          <w:szCs w:val="20"/>
          <w:color w:val="auto"/>
        </w:rPr>
      </w:pPr>
    </w:p>
    <w:p>
      <w:pPr>
        <w:ind w:right="320" w:firstLine="510"/>
        <w:spacing w:after="0" w:line="279" w:lineRule="auto"/>
        <w:rPr>
          <w:sz w:val="20"/>
          <w:szCs w:val="20"/>
          <w:color w:val="auto"/>
        </w:rPr>
      </w:pPr>
      <w:r>
        <w:rPr>
          <w:rFonts w:ascii="Arial" w:cs="Arial" w:eastAsia="Arial" w:hAnsi="Arial"/>
          <w:sz w:val="17"/>
          <w:szCs w:val="17"/>
          <w:color w:val="auto"/>
        </w:rPr>
        <w:t>The privacy and security of personally identifiable information stored, maintained, received or transmitted, including electronically, is subject to significant regulation in the United States and abroad. While we strive to comply with all applicable privacy and security laws and regulations, legal standards for privacy continue to evolve and any failure or perceived failure to comply may result in proceedings or actions against us by government entities or others, or could cause reputational harm, which could have a material adverse effect on our business.</w:t>
      </w:r>
    </w:p>
    <w:p>
      <w:pPr>
        <w:spacing w:after="0" w:line="171" w:lineRule="exact"/>
        <w:rPr>
          <w:sz w:val="20"/>
          <w:szCs w:val="20"/>
          <w:color w:val="auto"/>
        </w:rPr>
      </w:pPr>
    </w:p>
    <w:p>
      <w:pPr>
        <w:jc w:val="both"/>
        <w:ind w:right="60" w:firstLine="510"/>
        <w:spacing w:after="0" w:line="259" w:lineRule="auto"/>
        <w:rPr>
          <w:sz w:val="20"/>
          <w:szCs w:val="20"/>
          <w:color w:val="auto"/>
        </w:rPr>
      </w:pPr>
      <w:r>
        <w:rPr>
          <w:rFonts w:ascii="Arial" w:cs="Arial" w:eastAsia="Arial" w:hAnsi="Arial"/>
          <w:sz w:val="18"/>
          <w:szCs w:val="18"/>
          <w:color w:val="auto"/>
        </w:rPr>
        <w:t>Numerous foreign, federal and state laws and regulations govern collection, dissemination, use and confidentiality of personally identifiable health information, including state privacy and confidentiality laws (including state laws requiring disclosure of breaches); federal and state consumer protection and employment laws; HIPAA; and European and other foreign data protection laws. These laws and regulations are increasing in complexity and number, may change frequently and sometimes conflict.</w:t>
      </w:r>
    </w:p>
    <w:p>
      <w:pPr>
        <w:spacing w:after="0" w:line="187"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HIPAA establishes a set of national privacy and security standards for the protection of individually identifiable health information, including protected health information, or PHI, by health plans, certain healthcare clearinghouses and healthcare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While we are not currently a covered entity or business associate under HIPAA, we may receive identifiable information from these entities. Failure to receive this information properly could subject us to HIPAA’s criminal penalties, which may include fines up to $250,000 per violation and/or imprisonment.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78"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In addition, various states, such as California and Massachusetts, have implemented similar privacy laws and regulations, such as the California Confidentiality of Medical Information Act, that impose restrictive requirements regulating the use and disclosure of health information and other personally identifiable information. In addition to fines and penalties imposed upon violators, some of</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4" w:name="page45"/>
    <w:bookmarkEnd w:id="44"/>
    <w:p>
      <w:pPr>
        <w:spacing w:after="0" w:line="275" w:lineRule="auto"/>
        <w:rPr>
          <w:sz w:val="20"/>
          <w:szCs w:val="20"/>
          <w:color w:val="auto"/>
        </w:rPr>
      </w:pPr>
      <w:r>
        <w:rPr>
          <w:rFonts w:ascii="Arial" w:cs="Arial" w:eastAsia="Arial" w:hAnsi="Arial"/>
          <w:sz w:val="17"/>
          <w:szCs w:val="17"/>
          <w:color w:val="auto"/>
        </w:rPr>
        <w:t>these state laws also afford private rights of action to individuals who believe their personal information has been misused. California’s patient privacy laws, for example, provide for penalties of up to $250,000 and permit injured parties to sue for damages. The interplay of federal and state laws may be subject to varying interpretations by courts and government agencies, creating complex compliance issues for us and our clients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In addition, the interpretation and application of consumer, health-related, and data protection laws are often uncertain, contradictory, and in flux.</w:t>
      </w:r>
    </w:p>
    <w:p>
      <w:pPr>
        <w:spacing w:after="0" w:line="248"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U.S.-based companies may certify compliance with the privacy principles of the Privacy Shield. Certification to the Privacy Shield, however, is not mandatory. If a U.S.-based company does not certify compliance with the Privacy Shield, it may rely on other authorized mechanisms to transfer personal data.</w:t>
      </w:r>
    </w:p>
    <w:p>
      <w:pPr>
        <w:spacing w:after="0" w:line="184" w:lineRule="exact"/>
        <w:rPr>
          <w:sz w:val="20"/>
          <w:szCs w:val="20"/>
          <w:color w:val="auto"/>
        </w:rPr>
      </w:pPr>
    </w:p>
    <w:p>
      <w:pPr>
        <w:ind w:right="80" w:firstLine="510"/>
        <w:spacing w:after="0" w:line="275" w:lineRule="auto"/>
        <w:rPr>
          <w:sz w:val="20"/>
          <w:szCs w:val="20"/>
          <w:color w:val="auto"/>
        </w:rPr>
      </w:pPr>
      <w:r>
        <w:rPr>
          <w:rFonts w:ascii="Arial" w:cs="Arial" w:eastAsia="Arial" w:hAnsi="Arial"/>
          <w:sz w:val="17"/>
          <w:szCs w:val="17"/>
          <w:color w:val="auto"/>
        </w:rPr>
        <w:t>The privacy and data security landscape is still in flux. In October 2016, an action for annulment of the European Commission decision on the adequacy of Privacy Shield was brought before the European Court of Justice by three French digital rights advocacy groups, La Quadrature du Net, French Data Network and the Fédération FDN. This case, Case T738/16, is currently pending before the European Court of Justice. Should the European Court of Justice invalidate the Privacy Shield, it will no longer be possible to transfer data from the European Union to entities in the United States under a Privacy Shield certification, in which case other legal mechanisms would need to be put in place.</w:t>
      </w:r>
    </w:p>
    <w:p>
      <w:pPr>
        <w:spacing w:after="0" w:line="176" w:lineRule="exact"/>
        <w:rPr>
          <w:sz w:val="20"/>
          <w:szCs w:val="20"/>
          <w:color w:val="auto"/>
        </w:rPr>
      </w:pPr>
    </w:p>
    <w:p>
      <w:pPr>
        <w:ind w:right="180" w:firstLine="510"/>
        <w:spacing w:after="0" w:line="254" w:lineRule="auto"/>
        <w:rPr>
          <w:sz w:val="20"/>
          <w:szCs w:val="20"/>
          <w:color w:val="auto"/>
        </w:rPr>
      </w:pPr>
      <w:r>
        <w:rPr>
          <w:rFonts w:ascii="Arial" w:cs="Arial" w:eastAsia="Arial" w:hAnsi="Arial"/>
          <w:sz w:val="18"/>
          <w:szCs w:val="18"/>
          <w:color w:val="auto"/>
        </w:rPr>
        <w:t>In addition, the European Parliament and the Council of the European Union adopted a comprehensive general data privacy regulation (GDPR) in 2016 to replace the current European Union Data Protection Directive and related country-specific legislation. The GDPR took effect in May 2018 and governs the collection and use of personal data in the European Union. The GDPR, which is wide-ranging in scope, will impose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the personal data. The GDPR also imposes strict rules on the transfer of personal data out of the European Union to the United States, enhances enforcement authority and imposes large penalties for noncompliance, including the potential for fines of up to €20 million or 4% of the annual global revenues of the infringer, whichever is greater.</w:t>
      </w:r>
    </w:p>
    <w:p>
      <w:pPr>
        <w:spacing w:after="0" w:line="192"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The legislative and regulatory landscape for privacy and data security continues to evolve, and there has been an increasing focus on privacy and data security issues which may affect our business. Failure to comply with current and future laws and regulations could result in government enforcement actions (including the imposition of significant penalties), criminal and civil liability for us and our officers and directors, private litigation and/or adverse publicity that negatively affects our business.</w:t>
      </w:r>
    </w:p>
    <w:p>
      <w:pPr>
        <w:spacing w:after="0" w:line="18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In the United States, California recently adopted the California Consumer Privacy Act of 2018, or CCPA, which came into effect beginning in January 2020. The CCPA has been characterized as the first “GDPR-like” privacy statute to be enacted in the United States because it mirrors a number of the key provisions of the EU General Data Protection Regulation. The CCPA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w:t>
      </w:r>
    </w:p>
    <w:p>
      <w:pPr>
        <w:spacing w:after="0" w:line="2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 financial condition or results of operations.</w:t>
      </w:r>
    </w:p>
    <w:p>
      <w:pPr>
        <w:spacing w:after="0" w:line="6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and our manufacturers’ facilities pending their use and disposal. We cannot eliminate the risk of contamination, which could cause an interruption of our research and development efforts, commercialization efforts and business operations and environmental damage resulting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 and such liability could exceed our resources and state or federal or other applicable authorities may curtail our use of specified materials and/or interrupt our business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45" w:name="page46"/>
    <w:bookmarkEnd w:id="45"/>
    <w:p>
      <w:pPr>
        <w:ind w:right="40"/>
        <w:spacing w:after="0" w:line="263" w:lineRule="auto"/>
        <w:rPr>
          <w:sz w:val="20"/>
          <w:szCs w:val="20"/>
          <w:color w:val="auto"/>
        </w:rPr>
      </w:pPr>
      <w:r>
        <w:rPr>
          <w:rFonts w:ascii="Arial" w:cs="Arial" w:eastAsia="Arial" w:hAnsi="Arial"/>
          <w:sz w:val="18"/>
          <w:szCs w:val="18"/>
          <w:color w:val="auto"/>
        </w:rPr>
        <w:t>Furthermore, environmental laws and regulations are complex, change frequently, and have tended to become more stringent. We cannot predict the impact of such changes and cannot be certain of our future compliance. Given the nature of the research and development work conducted by us, we do not currently carry biological or hazardous waste insurance coverage.</w:t>
      </w:r>
    </w:p>
    <w:p>
      <w:pPr>
        <w:spacing w:after="0" w:line="2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Laws and regulations governing international operations may preclude us from developing, manufacturing and selling certain products outside of the United States and require us to develop, implement and maintain costly compliance programs.</w:t>
      </w:r>
    </w:p>
    <w:p>
      <w:pPr>
        <w:spacing w:after="0" w:line="62"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To develop, manufacture and sell certain products outside the United States, we must dedicate resources to comply with numerous laws and regulations in each jurisdiction in which we operate. The Foreign Corrupt Practices Act (FCPA), prohibits any United States individual or business from paying, offering, authorizing payment or offering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177"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may be considered government employees or foreign officials. In other circumstances, certain payments to hospitals in connection with clinical trials and other work have been deemed to be improper payments to government officials and have led to FCPA enforcement actions.</w:t>
      </w:r>
    </w:p>
    <w:p>
      <w:pPr>
        <w:spacing w:after="0" w:line="157"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non-United States nationals, of information classified for national security purposes, as well as certain products and technical data relating to those products. These laws may preclude us from developing, manufacturing, or selling certain products and product candidates outside of the U.S., which could limit our growth potential and increase our development costs.</w:t>
      </w:r>
    </w:p>
    <w:p>
      <w:pPr>
        <w:spacing w:after="0" w:line="187" w:lineRule="exact"/>
        <w:rPr>
          <w:sz w:val="20"/>
          <w:szCs w:val="20"/>
          <w:color w:val="auto"/>
        </w:rPr>
      </w:pPr>
    </w:p>
    <w:p>
      <w:pPr>
        <w:jc w:val="both"/>
        <w:ind w:right="140" w:firstLine="510"/>
        <w:spacing w:after="0" w:line="263" w:lineRule="auto"/>
        <w:rPr>
          <w:sz w:val="20"/>
          <w:szCs w:val="20"/>
          <w:color w:val="auto"/>
        </w:rPr>
      </w:pPr>
      <w:r>
        <w:rPr>
          <w:rFonts w:ascii="Arial" w:cs="Arial" w:eastAsia="Arial" w:hAnsi="Arial"/>
          <w:sz w:val="18"/>
          <w:szCs w:val="18"/>
          <w:color w:val="auto"/>
        </w:rPr>
        <w:t>The failure to comply with laws governing international business practices may result in substantial civil and criminal penalties and suspension or debarment from government contracting. The SEC also may suspend or bar issuers from trading securities on U.S. exchanges for violations of the FCPA’s accounting provisions and export control laws.</w:t>
      </w:r>
    </w:p>
    <w:p>
      <w:pPr>
        <w:spacing w:after="0" w:line="2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or other contractors or consultants, may fail or suffer security breaches, which could result in a material disruption of our product development programs.</w:t>
      </w:r>
    </w:p>
    <w:p>
      <w:pPr>
        <w:spacing w:after="0" w:line="62"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Our internal computer systems and those of our current and any future collaborators and other contractors or consultants are vulnerable to damage from computer viruses, unauthorized access, natural disasters, terrorism, war and telecommunication and electrical failures.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preclinical or clinical trial data could result in delays in our regulatory approval efforts and significantly increase our costs to recover or reproduce the data. To the extent that any disruption or security breach were to result in a loss of, or damage to, our data or applications, or inappropriate disclosure of confidential or proprietary information, we could incur liability, our competitive position could be harmed, and the further development and commercialization of our product candidates could be delayed.</w:t>
      </w:r>
    </w:p>
    <w:p>
      <w:pPr>
        <w:spacing w:after="0" w:line="27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Ethical, legal and social concerns about synthetic biology and genetic engineering could limit or prevent the use of our technologies and limit our revenues.</w:t>
      </w:r>
    </w:p>
    <w:p>
      <w:pPr>
        <w:spacing w:after="0" w:line="62" w:lineRule="exact"/>
        <w:rPr>
          <w:sz w:val="20"/>
          <w:szCs w:val="20"/>
          <w:color w:val="auto"/>
        </w:rPr>
      </w:pPr>
    </w:p>
    <w:p>
      <w:pPr>
        <w:ind w:right="20" w:firstLine="510"/>
        <w:spacing w:after="0" w:line="288" w:lineRule="auto"/>
        <w:rPr>
          <w:sz w:val="20"/>
          <w:szCs w:val="20"/>
          <w:color w:val="auto"/>
        </w:rPr>
      </w:pPr>
      <w:r>
        <w:rPr>
          <w:rFonts w:ascii="Arial" w:cs="Arial" w:eastAsia="Arial" w:hAnsi="Arial"/>
          <w:sz w:val="16"/>
          <w:szCs w:val="16"/>
          <w:color w:val="auto"/>
        </w:rPr>
        <w:t>Our technologies involve the use of synthetic biology and genetic engineering. Public perception about the safety and environmental hazards of, and ethical concerns over, synthetic biology and genetic engineering could influence public acceptance of our technologies, product candidates and processes. If we and our collaborators are not able to overcome the ethical, legal and social concerns relating to synthetic biology and genetic engineering, our technologies, product candidates and processes may not be accepted. These concerns could result in increased expenses, regulatory scrutiny and increased regulation, trade restrictions on imports of Synthetic Biotic medicines, delays or other impediments to our programs or the public acceptance and commercialization of Synthetic Biotic medicines. Further, there is a risk that Synthetic Biotic medicines made using our technologies could result in adverse health effects or other adverse events, which could also lead to negative publicity. We design and produce product candidates with characteristics comparable or disadvantaged to those found in naturally occurring organisms or enzymes in a controlled laboratory; however, the release of such organisms into uncontrolled environments could have unintended consequences. Any adverse effect resulting from such a release could have a material adverse effect on our business, financial condition or results of operations and we may have exposure to liability for any resulting harm.</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Synthetic Biotic medicines, product candidates and processes for our development pipeline through acquisitions and in-licenses.</w:t>
      </w:r>
    </w:p>
    <w:p>
      <w:pPr>
        <w:spacing w:after="0" w:line="62" w:lineRule="exact"/>
        <w:rPr>
          <w:sz w:val="20"/>
          <w:szCs w:val="20"/>
          <w:color w:val="auto"/>
        </w:rPr>
      </w:pPr>
    </w:p>
    <w:p>
      <w:pPr>
        <w:ind w:right="40" w:firstLine="510"/>
        <w:spacing w:after="0" w:line="273" w:lineRule="auto"/>
        <w:rPr>
          <w:sz w:val="20"/>
          <w:szCs w:val="20"/>
          <w:color w:val="auto"/>
        </w:rPr>
      </w:pPr>
      <w:r>
        <w:rPr>
          <w:rFonts w:ascii="Arial" w:cs="Arial" w:eastAsia="Arial" w:hAnsi="Arial"/>
          <w:sz w:val="17"/>
          <w:szCs w:val="17"/>
          <w:color w:val="auto"/>
        </w:rPr>
        <w:t>Presently, we have rights to certain intellectual property, through licenses from third parties and under patents and patent applications owned by us. The growth of our business will likely depend in part on our ability to obtain, maintain or enforce our and our licensors’ intellectual property rights and to acquire or in-license additional proprietary rights. For example, our programs may involve additional product candidates or delivery systems that may require the use of additional proprietary rights held by third parties. Our ultimate product candidates may also require specific formulations to work effectively and efficiently. These formulations may be covered by intellectual property rights held by others. We may be unable to acquire or in-license any relevant third-party intellectual property rights that we identify as necessary or important to our business operations.</w:t>
      </w:r>
    </w:p>
    <w:p>
      <w:pPr>
        <w:spacing w:after="0" w:line="178"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In addition, our product candidates may require specific formulations to work effectively and efficiently and these rights may be held by other third parties. We may be unable to develop, acquire or in-license compositions, methods of use, processes or other third-party intellectual property rights from third parties that we identify. The licensing and acquisition of third-party intellectual property rights is a competitive area, and a number of other companies may also be pursuing strategies to license or acquire third-party intellectual property rights that we may consider attractive. These companies could have a competitive advantage over us due to their size, cash resources and greater clinical development and commercialization capabilities.</w:t>
      </w:r>
    </w:p>
    <w:p>
      <w:pPr>
        <w:spacing w:after="0" w:line="161"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For example, we have previously and may continue to collaborate with academic institutions to accelerate our preclinical research or development under written agreements with these institutions. Typically, these institutions provide an option to negotiate a license to any of the institution’s rights in technology resulting from the collaboration. Regardless of such right of first negotiation for intellectual property, we may be unable to negotiate a license within the specified time frame or under terms that are acceptable to it. If we are unable to do so, the institution may offer the intellectual property rights to other parties, potentially blocking our ability to pursue our program.</w:t>
      </w:r>
    </w:p>
    <w:p>
      <w:pPr>
        <w:spacing w:after="0" w:line="188" w:lineRule="exact"/>
        <w:rPr>
          <w:sz w:val="20"/>
          <w:szCs w:val="20"/>
          <w:color w:val="auto"/>
        </w:rPr>
      </w:pPr>
    </w:p>
    <w:p>
      <w:pPr>
        <w:ind w:right="280" w:firstLine="510"/>
        <w:spacing w:after="0" w:line="311" w:lineRule="auto"/>
        <w:rPr>
          <w:sz w:val="20"/>
          <w:szCs w:val="20"/>
          <w:color w:val="auto"/>
        </w:rPr>
      </w:pPr>
      <w:r>
        <w:rPr>
          <w:rFonts w:ascii="Arial" w:cs="Arial" w:eastAsia="Arial" w:hAnsi="Arial"/>
          <w:sz w:val="16"/>
          <w:szCs w:val="16"/>
          <w:color w:val="auto"/>
        </w:rPr>
        <w:t>In addition, companies that perceive us to be a competitor may be unwilling to assign or license rights to us. We also may be unable to license or acquire third-party intellectual property rights on terms that would allow us to make an appropriate return on our investment. If we are unable to successfully obtain rights to third-party intellectual property rights, our business, financial condition and prospects for growth could suffer.</w:t>
      </w:r>
    </w:p>
    <w:p>
      <w:pPr>
        <w:spacing w:after="0" w:line="25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intend to rely on patent rights and the status of our product candidates, if approved, as biologics eligible for exclusivity under the Biologics Price Competition and Innovation Act (BPCIA). If Synlogic is unable to obtain or maintain exclusivity from the combination of these approaches, Synlogic may not be able to compete effectively in our markets.</w:t>
      </w:r>
    </w:p>
    <w:p>
      <w:pPr>
        <w:spacing w:after="0" w:line="76" w:lineRule="exact"/>
        <w:rPr>
          <w:sz w:val="20"/>
          <w:szCs w:val="20"/>
          <w:color w:val="auto"/>
        </w:rPr>
      </w:pPr>
    </w:p>
    <w:p>
      <w:pPr>
        <w:jc w:val="both"/>
        <w:ind w:firstLine="510"/>
        <w:spacing w:after="0" w:line="311" w:lineRule="auto"/>
        <w:rPr>
          <w:sz w:val="20"/>
          <w:szCs w:val="20"/>
          <w:color w:val="auto"/>
        </w:rPr>
      </w:pPr>
      <w:r>
        <w:rPr>
          <w:rFonts w:ascii="Arial" w:cs="Arial" w:eastAsia="Arial" w:hAnsi="Arial"/>
          <w:sz w:val="16"/>
          <w:szCs w:val="16"/>
          <w:color w:val="auto"/>
        </w:rPr>
        <w:t>We rely or will rely upon a combination of patents, trade secret protection, and confidentiality agreements to protect the intellectual property related to our technologies and product candidates. Our success depends in large part on our and our licensors’ ability to obtain regulatory exclusivity and maintain patent and other intellectual property protection in the United States and in other countries with respect to our proprietary technology and products.</w:t>
      </w:r>
    </w:p>
    <w:p>
      <w:pPr>
        <w:spacing w:after="0" w:line="149"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product candidates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187" w:lineRule="exact"/>
        <w:rPr>
          <w:sz w:val="20"/>
          <w:szCs w:val="20"/>
          <w:color w:val="auto"/>
        </w:rPr>
      </w:pPr>
    </w:p>
    <w:p>
      <w:pPr>
        <w:ind w:right="60" w:firstLine="510"/>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8" w:right="359" w:bottom="1440" w:gutter="0" w:footer="0" w:header="0"/>
        </w:sectPr>
      </w:pPr>
    </w:p>
    <w:bookmarkStart w:id="47" w:name="page48"/>
    <w:bookmarkEnd w:id="47"/>
    <w:p>
      <w:pPr>
        <w:ind w:firstLine="510"/>
        <w:spacing w:after="0" w:line="296"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161"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Even if we cannot obtain and maintain effective protection of exclusivity from our regulatory efforts and intellectual property rights, including patent protection, data exclusivity or orphan drug exclusivity, for our product candidates, we believe that our product candidates will be protected by exclusivity that prevents approval of a biosimilar in the United States for a period of twelve years from the time the product to which it claims similarity was first approved. However, The Biologics Price Competition and Innovation Act of 2009, Title VII, Subtitle A of the Patent Protection and Affordable Care Act, Pub.L.No.111-148, 124 Stat.119, Sections 7001-02 signed into law March 23, 2010, and codified in 42 U.S.C. §262 (the BPCIA), created an elaborate and complex patent dispute resolution mechanism for biosimilars that could prevent us from launching our product candidates in the United States or could substantially delay such launches. Current biosimilars litigation are addressing certain requirements of the BPCIA which is creating uncertainty over how certain terms of the BPCIA should be construed and this, presents uncertainty for both the biologics innovator and biosimilar party. The BPCIA mechanism required for biosimilar applicants may pose greater risk that patent infringement litigation will disrupt our activities and add increased expenses as well as divert management’s attention. If a biosimilar version of one of our product candidates were approved in the United States, it could have a negative effect on our business.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 protections for our product candidates to effectively protect our business.</w:t>
      </w:r>
    </w:p>
    <w:p>
      <w:pPr>
        <w:spacing w:after="0" w:line="117"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Patents have a limited term. In the United States, the statutory expiration of a patent is generally 20 years after it is filed. Although various extensions may be available, the life of a patent, and the protection it affords, is limited. Even if patents covering our product candidates are obtained, once the patent life has expired for a product candidate, we may be open to competition. In addition, upon issuance in the United States any patent term can be adjusted based on specified delays caused by the applicant(s) or the USPTO.</w:t>
      </w:r>
    </w:p>
    <w:p>
      <w:pPr>
        <w:spacing w:after="0" w:line="187" w:lineRule="exact"/>
        <w:rPr>
          <w:sz w:val="20"/>
          <w:szCs w:val="20"/>
          <w:color w:val="auto"/>
        </w:rPr>
      </w:pPr>
    </w:p>
    <w:p>
      <w:pPr>
        <w:ind w:right="180" w:firstLine="510"/>
        <w:spacing w:after="0" w:line="255" w:lineRule="auto"/>
        <w:rPr>
          <w:sz w:val="20"/>
          <w:szCs w:val="20"/>
          <w:color w:val="auto"/>
        </w:rPr>
      </w:pPr>
      <w:r>
        <w:rPr>
          <w:rFonts w:ascii="Arial" w:cs="Arial" w:eastAsia="Arial" w:hAnsi="Arial"/>
          <w:sz w:val="18"/>
          <w:szCs w:val="18"/>
          <w:color w:val="auto"/>
        </w:rPr>
        <w:t>Patent term extensions under the Hatch-Waxman Act in the United States and under supplementary protection certificates in Europe may be available to extend the patent or data exclusivity terms of our product candidates. We will likely seek patent term extensions, and we cannot provide any assurances that any such patent term extensions will be obtained and, if so, for how long. As a result, we may not be able to maintain exclusivity for our product candidates for an extended period after regulatory approval, if any, which would negatively impact our business, financial condition, results of operations and prospects. If we do not have sufficient patent terms or regulatory exclusivity to protect our product candidates, our business and results of operations will be adversely affected.</w:t>
      </w:r>
    </w:p>
    <w:p>
      <w:pPr>
        <w:spacing w:after="0" w:line="300"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 and recent patent reform legislation could increase the uncertainties and costs surrounding the prosecution of our patent applications and the enforcement or defense of our issued patents.</w:t>
      </w:r>
    </w:p>
    <w:p>
      <w:pPr>
        <w:spacing w:after="0" w:line="76"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is the case with other biotechnology companies, our success is heavily dependent on patents. Obtaining and enforcing patents in the biotechnology industry involves both technological and legal complexity, and is therefore costly, time-consuming and inherently uncertain. In addition, the United States has recently enacted and is currently implementing wide-ranging patent reform legislation. Recent U.S. Supreme Court rulings have narrowed the scope of patent protection available in specified circumstances and weakened the rights of patent owners in specified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30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proposed markets.</w:t>
      </w:r>
    </w:p>
    <w:p>
      <w:pPr>
        <w:spacing w:after="0" w:line="62"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In addition to the protection afforded by patents, we rely on trade secret protection and confidentiality agreements to protect proprietary know-how that is not patentable or that we elect not to patent. We also utilize processes for which patents are difficult to enforce. In addition, other elements of our products, and many elements of our product candidate discovery and development processes involve proprietary know-how, information or technology that is not covered by patents. Trade secrets may be difficult to protect. We seek to protect our proprietary technology and processes, in part, by entering into confidentiality agreements with our employees, consultants, collaborators, advisors, independent contractors or other third parties. We also seek to preserve the integrity and confidentiality of our data and trade secrets, including by maintaining physical and electronic security of our premises and our</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48" w:name="page49"/>
    <w:bookmarkEnd w:id="48"/>
    <w:p>
      <w:pPr>
        <w:ind w:right="60"/>
        <w:spacing w:after="0" w:line="272" w:lineRule="auto"/>
        <w:rPr>
          <w:sz w:val="20"/>
          <w:szCs w:val="20"/>
          <w:color w:val="auto"/>
        </w:rPr>
      </w:pPr>
      <w:r>
        <w:rPr>
          <w:rFonts w:ascii="Arial" w:cs="Arial" w:eastAsia="Arial" w:hAnsi="Arial"/>
          <w:sz w:val="17"/>
          <w:szCs w:val="17"/>
          <w:color w:val="auto"/>
        </w:rPr>
        <w:t>information technology systems. While we have confidence in these individuals, organizations and systems, agreements or security measures may be breached, and we may not have adequate remedies for any breach. In addition, competitors may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or misappropriation of our intellectual property by third parties, we may not be able to establish or maintain a competitive advantage in our market, which could materially adversely affect our business, operating results, and financial condition.</w:t>
      </w:r>
    </w:p>
    <w:p>
      <w:pPr>
        <w:spacing w:after="0" w:line="177" w:lineRule="exact"/>
        <w:rPr>
          <w:sz w:val="20"/>
          <w:szCs w:val="20"/>
          <w:color w:val="auto"/>
        </w:rPr>
      </w:pPr>
    </w:p>
    <w:p>
      <w:pPr>
        <w:ind w:right="40" w:firstLine="510"/>
        <w:spacing w:after="0" w:line="291" w:lineRule="auto"/>
        <w:rPr>
          <w:sz w:val="20"/>
          <w:szCs w:val="20"/>
          <w:color w:val="auto"/>
        </w:rPr>
      </w:pPr>
      <w:r>
        <w:rPr>
          <w:rFonts w:ascii="Arial" w:cs="Arial" w:eastAsia="Arial" w:hAnsi="Arial"/>
          <w:sz w:val="16"/>
          <w:szCs w:val="16"/>
          <w:color w:val="auto"/>
        </w:rPr>
        <w:t>Although we expect all of our employees and consultants to assign their inventions to us, and all of our employees, consultants, collaborators, advisors, independent contractors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financial condition or results of operations. Additionally, if the steps taken to maintain our trade secrets are deemed inadequate, we may have insufficient recourse against third parties for misappropriating the trade secret.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development and commercialization efforts.</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Our commercial success depends in part on our ability to develop, manufacture, market and sell our product candidates and use our proprietary technology without infringing the patent rights of third parties. Numerous third-party U.S. and non-U.S. issued patents and pending applications exist in the area of Synthetic Biotic medicines. We are aware of U.S. and foreign patents and pending patent applications owned by third parties that cover similar therapeutic uses as the product candidates we are developing. We are currently monitoring these patents and patent applications. We may in the future pursue available proceedings in the U.S. and foreign patent offices to challenge the validity of these patents and patent applications. In addition, or alternatively, we may consider whether to seek to negotiate a license of rights to technology covered by one or more of such patents and patent applications. If any patents or patent applications cover our product candidates or technologies, we may not be free to manufacture or market our product candidates as planned, absent such a license, which may not be available to us on commercially reasonable terms, or at all.</w:t>
      </w:r>
    </w:p>
    <w:p>
      <w:pPr>
        <w:spacing w:after="0" w:line="16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It is also possible that we have failed to identify relevant third-party patents or applications. For example, applications filed before November 29, 2000 and applications filed after that date that will not be filed outside the United States remain confidential until patents issue. Moreover, it is difficult for industry participants, including us, to identify all third-party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patents may issue with claims of relevance to our technology. In addition, we may be unaware of one or more issued patents that would be infringed by the manufacture, sale or use of a current or future product candidate, or we may incorrectly conclude that a third-party patent is invalid, unenforceable or not infringed by our activities. Additionally, pending patent applications that have been published can, subject to specified limitations, be later amended in a manner that could cover our technologies, our product candidates or the use of our product candidates.</w:t>
      </w:r>
    </w:p>
    <w:p>
      <w:pPr>
        <w:spacing w:after="0" w:line="16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There have been many lawsuits and other proceedings filed by third parties involving patent and other intellectual property rights in the biotechnology and pharmaceutical industries, including patent infringement lawsuits, interferences, oppositions, and reexamination, post-grant review and equivalent proceedings before the USPTO and corresponding foreign patent offices. Numerous U.S. and foreign issued patents and pending patent applications, which are owned by third parties, exist in the fields in which we are developing product candidates. As the biotechnology and pharmaceutical industries expand and more patents are issued, the risk increases that our product candidates may be subject to claims of infringement of the patent rights of third parties.</w:t>
      </w:r>
    </w:p>
    <w:p>
      <w:pPr>
        <w:spacing w:after="0" w:line="192"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9" w:name="page50"/>
    <w:bookmarkEnd w:id="49"/>
    <w:p>
      <w:pPr>
        <w:spacing w:after="0"/>
        <w:rPr>
          <w:sz w:val="20"/>
          <w:szCs w:val="20"/>
          <w:color w:val="auto"/>
        </w:rPr>
      </w:pPr>
      <w:r>
        <w:rPr>
          <w:rFonts w:ascii="Arial" w:cs="Arial" w:eastAsia="Arial" w:hAnsi="Arial"/>
          <w:sz w:val="15"/>
          <w:szCs w:val="15"/>
          <w:b w:val="1"/>
          <w:bCs w:val="1"/>
          <w:i w:val="1"/>
          <w:iCs w:val="1"/>
          <w:color w:val="auto"/>
        </w:rPr>
        <w:t>We depend, in part, on our licensors to file, prosecute, maintain, defend and enforce patents and patent applications that are material to our business.</w:t>
      </w:r>
    </w:p>
    <w:p>
      <w:pPr>
        <w:spacing w:after="0" w:line="15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While we normally seek and gain the right to fully prosecute the patent applications relating to our product candidates, there may be times when the patent applications enabling our product candidates are controlled by our licensors. If any of our existing or future licensors fail to appropriately and broadly prosecute and maintain patent protection for patents covering any of our product candidates, our ability to develop and commercialize those product candidates may be adversely affected and we may not be able to prevent competitors from making, using, importing, and selling competing products. In addition, even where we now have the right to control patent prosecution of patents and patent applications we have licensed from third parties, we may still be adversely affected or prejudiced by actions or inactions of our licensors in effect from actions prior to us assuming control over patent prosecution.</w:t>
      </w:r>
    </w:p>
    <w:p>
      <w:pPr>
        <w:spacing w:after="0" w:line="303" w:lineRule="exact"/>
        <w:rPr>
          <w:sz w:val="20"/>
          <w:szCs w:val="20"/>
          <w:color w:val="auto"/>
        </w:rPr>
      </w:pPr>
    </w:p>
    <w:p>
      <w:pPr>
        <w:ind w:right="280"/>
        <w:spacing w:after="0" w:line="375" w:lineRule="auto"/>
        <w:rPr>
          <w:sz w:val="20"/>
          <w:szCs w:val="20"/>
          <w:color w:val="auto"/>
        </w:rPr>
      </w:pPr>
      <w:r>
        <w:rPr>
          <w:rFonts w:ascii="Arial" w:cs="Arial" w:eastAsia="Arial" w:hAnsi="Arial"/>
          <w:sz w:val="15"/>
          <w:szCs w:val="15"/>
          <w:b w:val="1"/>
          <w:bCs w:val="1"/>
          <w:i w:val="1"/>
          <w:iCs w:val="1"/>
          <w:color w:val="auto"/>
        </w:rPr>
        <w:t>If we fail to comply with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We are a party to certain intellectual property license agreements and expect to enter into additional license agreements in the future. Our existing agreements impose, and future license agreements may impose, certain obligations, including the payment of milestones and royalties based on revenues from sales of our products utilizing the technologies licensed from our licensors, and such obligations could adversely affect the overall profitability for us of any products that we may seek to commercialize. In addition, we will need to outsource and rely on third parties for many aspects of the clinical development, sales and marketing of our product candidates covered under our license agreements. Delay or failure by these third parties could adversely affect the continuation of our license agreements with our third-party licensors. If we fail to comply with our obligations under these agreements, or we are subject to a bankruptcy, these agreements may be subject to termination by the licensor which could have a material adverse effect on our business.</w:t>
      </w:r>
    </w:p>
    <w:p>
      <w:pPr>
        <w:spacing w:after="0" w:line="27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62"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Competitors may infringe our patents or the patents of our licensors. To cease such infringement or unauthorized use, we or one of our licensing partners may be required to file patent infringement claims against a third-party to enforce one of our patents which can be expensive, time-consuming and unpredictable. In addition, in an infringement proceeding or a declaratory judgment action against us, a court may decide that one or more of our patents is not valid or is unenforceable, or may refuse to stop the other party from using the technology at issue on the grounds that our patents do not cover the technology in question. An adverse result in any litigation or defense proceeding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166"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If we or one of our licensing partners were to initiate legal proceedings against a third-party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and there are numerous grounds upon which a third-party can assert invalidity or unenforceability of a patent. Grounds for a validity challenge could be an alleged failure to meet any of several statutory requirements, including lack of novelty, obviousness, written description, clarity or non-enablement. Grounds for an unenforceability assertion could be an allegation that someone connected with prosecution of the patent withheld relevant information from the USPTO, or made a misleading statement, during prosecution. Third parties may also raise similar claims before administrative bodies in the United States or other jurisdictions, even outside the context of litigation. Such mechanisms include re-examination, inter partes review, post-grant review and equivalent proceedings in foreign jurisdictions, such as opposition or derivation proceedings. Such proceedings could result in revocation or amendment to our patents in such a way that they no longer cover and protect our product candidates. The outcome following legal assertions of invalidity and unenforceability is unpredictable. With respect to the validity of our patents, for example, we cannot be certain that there is no invalidating prior art of which we, our patent counsel, and the patent examiner were unaware during prosecution. If a defendant were to prevail on a legal assertion of invalidity, unpatentability and/or unenforceability, we may lose at least part, and perhaps all, of the patent protection on our product candidates. Such a loss of patent protection could have a material adverse impact on our business.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92" w:right="399" w:bottom="1440" w:gutter="0" w:footer="0" w:header="0"/>
        </w:sectPr>
      </w:pPr>
    </w:p>
    <w:bookmarkStart w:id="50" w:name="page51"/>
    <w:bookmarkEnd w:id="50"/>
    <w:p>
      <w:pPr>
        <w:ind w:right="40" w:firstLine="510"/>
        <w:spacing w:after="0" w:line="254"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or correct inventorship with respect to our patents or patent applications or those of our licensors. An unfavorable outcome could result in a loss of our current patent rights and could require us to cease using the related technology or to attempt to license rights to us from the prevailing party. Our business could be harmed if the prevailing party does not offer us a license on commercially reasonable terms. Our defense of litigation, derivation or interference proceedings may result in a decision adverse to our interests and, even if successful, may result in substantial costs and distract our management and other employees. In addition, we may be unable to raise the funds necessary to conduct our clinical trials, continue our research programs, license necessary technology from third parties, or enter into development partnerships that would help us bring our product candidates to market.</w:t>
      </w:r>
    </w:p>
    <w:p>
      <w:pPr>
        <w:spacing w:after="0" w:line="192" w:lineRule="exact"/>
        <w:rPr>
          <w:sz w:val="20"/>
          <w:szCs w:val="20"/>
          <w:color w:val="auto"/>
        </w:rPr>
      </w:pPr>
    </w:p>
    <w:p>
      <w:pPr>
        <w:ind w:right="120" w:firstLine="510"/>
        <w:spacing w:after="0" w:line="301" w:lineRule="auto"/>
        <w:rPr>
          <w:sz w:val="20"/>
          <w:szCs w:val="20"/>
          <w:color w:val="auto"/>
        </w:rPr>
      </w:pPr>
      <w:r>
        <w:rPr>
          <w:rFonts w:ascii="Arial" w:cs="Arial" w:eastAsia="Arial" w:hAnsi="Arial"/>
          <w:sz w:val="16"/>
          <w:szCs w:val="16"/>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Any disclosure of confidential information could adversely affect our business. If securities analysts or investors perceive these results to be negative, it could have a substantial adverse effect on the price of our common stock.</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17"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may in the future be subject to claims that former employees, consultants, collaborators, advisors, independent contractors or other third parties have an interest in our patents or other intellectual property as an inventor or co-inventor or other claims challenging the inventorship of our patents or ownership of our intellectual property (including patents and intellectual property that we in-license). Therefore, our rights to these patents may not be exclusive and third parties, including competitors, may have access to intellectual property that is important to our business. In addition, co-owners from whom we do not yet have a license or assignment may raise claims surrounding inventorship or ownership of patents that ultimately issue from this patent family, potentially resulting in issued patents to which we would not have rights under our existing license agreements. Further, in jurisdictions outside the United States, a license may not be enforceable unless all the owners of the intellectual property agree or consent to the license. In addition, we may have inventorship disputes arising from conflicting obligations of consultants or others who are involved in developing our product candidates. Litigation may be necessary to defend against these and other claims challenging inventorship of our patents.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collaborators, advisors, independent contractors or other third parties have wrongfully used or disclosed confidential information of third parties or that our employees have wrongfully used or disclosed alleged trade secrets of their former employers.</w:t>
      </w:r>
    </w:p>
    <w:p>
      <w:pPr>
        <w:spacing w:after="0" w:line="76" w:lineRule="exact"/>
        <w:rPr>
          <w:sz w:val="20"/>
          <w:szCs w:val="20"/>
          <w:color w:val="auto"/>
        </w:rPr>
      </w:pPr>
    </w:p>
    <w:p>
      <w:pPr>
        <w:ind w:right="60" w:firstLine="510"/>
        <w:spacing w:after="0" w:line="253" w:lineRule="auto"/>
        <w:rPr>
          <w:sz w:val="20"/>
          <w:szCs w:val="20"/>
          <w:color w:val="auto"/>
        </w:rPr>
      </w:pPr>
      <w:r>
        <w:rPr>
          <w:rFonts w:ascii="Arial" w:cs="Arial" w:eastAsia="Arial" w:hAnsi="Arial"/>
          <w:sz w:val="18"/>
          <w:szCs w:val="18"/>
          <w:color w:val="auto"/>
        </w:rPr>
        <w:t>We have received confidential and proprietary information from third parties. In addition, we employ individuals who were previously employed at universities, academic research institutions and at other biotechnology or pharmaceutical companies, including our competitors or potential competitors. Although we have written agreements with and make every effort to ensure that our employees, consultants, collaborators, advisors, independent contractors or other third parties do not use the proprietary information or intellectual property rights of others in their work for us, we may in the future be subject to claims that our employees, consultants, collaborators, advisors, independent contractors or other third parties have inadvertently or intentionally used or disclosed confidential information of these third parties.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ind w:right="100" w:firstLine="510"/>
        <w:spacing w:after="0" w:line="291" w:lineRule="auto"/>
        <w:rPr>
          <w:sz w:val="20"/>
          <w:szCs w:val="20"/>
          <w:color w:val="auto"/>
        </w:rPr>
      </w:pPr>
      <w:r>
        <w:rPr>
          <w:rFonts w:ascii="Arial" w:cs="Arial" w:eastAsia="Arial" w:hAnsi="Arial"/>
          <w:sz w:val="16"/>
          <w:szCs w:val="16"/>
          <w:color w:val="auto"/>
        </w:rPr>
        <w:t>We have limited intellectual property rights outside the United States. Filing, prosecuting, and defending patents on product candidates in all countries throughout the world would be prohibitively expensive, and intellectual property rights in some countries outside the United States can have a different scope and strength and be less extensive than those in the United States. In addition, the laws of some foreign countries do not protect intellectual property rights to the same extent as federal and state laws in the United States. Consequently, we may not be able to prevent third parties (including competitors)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1" w:name="page52"/>
    <w:bookmarkEnd w:id="51"/>
    <w:p>
      <w:pPr>
        <w:ind w:right="460"/>
        <w:spacing w:after="0" w:line="277" w:lineRule="auto"/>
        <w:rPr>
          <w:sz w:val="20"/>
          <w:szCs w:val="20"/>
          <w:color w:val="auto"/>
        </w:rPr>
      </w:pPr>
      <w:r>
        <w:rPr>
          <w:rFonts w:ascii="Arial" w:cs="Arial" w:eastAsia="Arial" w:hAnsi="Arial"/>
          <w:sz w:val="18"/>
          <w:szCs w:val="18"/>
          <w:color w:val="auto"/>
        </w:rPr>
        <w:t>enforcement rights are not as strong as those in the United States. These products may compete with our products and our patents or other intellectual property rights may not be effective or sufficient to prevent them from competing.</w:t>
      </w:r>
    </w:p>
    <w:p>
      <w:pPr>
        <w:spacing w:after="0" w:line="170" w:lineRule="exact"/>
        <w:rPr>
          <w:sz w:val="20"/>
          <w:szCs w:val="20"/>
          <w:color w:val="auto"/>
        </w:rPr>
      </w:pPr>
    </w:p>
    <w:p>
      <w:pPr>
        <w:jc w:val="both"/>
        <w:ind w:right="200" w:firstLine="510"/>
        <w:spacing w:after="0" w:line="28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some countries, particularly some developing countries, do not favor the enforcement of patents, trade secrets, and other intellectual property protection, particularly those relating to biopharmaceutical products, which could make it difficult in those jurisdictions for us to stop the infringement or misappropriation of our patents or other intellectual property rights, or the marketing of competing products in violation of our proprietary rights.</w:t>
      </w:r>
    </w:p>
    <w:p>
      <w:pPr>
        <w:spacing w:after="0" w:line="1"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Proceedings to enforce our patents and other intellectual property rights in foreign jurisdictions, whether or not successful, could result in substantial costs and divert our efforts and attention from other aspects of our business. Furthermore, such proceedings could put our patents at risk of being invalidated, held unenforceable or interpreted narrowly and could put our patent applications at risk of not issuing and could provoke third parties to assert claims of infringement or misappropriation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8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we may not be able to build name recognition in our markets of interest and our business may be adversely affected.</w:t>
      </w:r>
    </w:p>
    <w:p>
      <w:pPr>
        <w:spacing w:after="0" w:line="62"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We have filed for trademark registration of certain marks relating to our current branding. If our trademarks and trade names are not adequately protected, we may not be able to build name recognition in our markets of interest and our business may be adversely affected. Our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unregistered trademarks or trade names. Over the long term, if we are unable to successfully register our trademarks and trade names and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We rely, and expect to continue to rely, on third parties to conduct some aspects of our product formulation, research, preclinical, and clinical studies, and those third parties may not perform satisfactorily, including by failing to meet deadlines for the completion of such formulation, research or testing.</w:t>
      </w:r>
    </w:p>
    <w:p>
      <w:pPr>
        <w:spacing w:after="0" w:line="76" w:lineRule="exact"/>
        <w:rPr>
          <w:sz w:val="20"/>
          <w:szCs w:val="20"/>
          <w:color w:val="auto"/>
        </w:rPr>
      </w:pPr>
    </w:p>
    <w:p>
      <w:pPr>
        <w:ind w:right="160" w:firstLine="510"/>
        <w:spacing w:after="0" w:line="288" w:lineRule="auto"/>
        <w:rPr>
          <w:sz w:val="20"/>
          <w:szCs w:val="20"/>
          <w:color w:val="auto"/>
        </w:rPr>
      </w:pPr>
      <w:r>
        <w:rPr>
          <w:rFonts w:ascii="Arial" w:cs="Arial" w:eastAsia="Arial" w:hAnsi="Arial"/>
          <w:sz w:val="16"/>
          <w:szCs w:val="16"/>
          <w:color w:val="auto"/>
        </w:rPr>
        <w:t>We do not independently conduct all aspects of our drug discovery activities, compound development or preclinical studies of product candidates. We currently rely, and expect to continue to rely, on third parties to conduct some aspects of our research and development and preclinical studies. Any of these third parties may terminate their engagements with us at any time. If we need to enter into alternative arrangements, it would delay our product development activities. Our reliance on these third parties for research and development activities reduces our control over these activities but does not relieve us of our responsibilities. For example, for product candidates that we develop and commercialize on our own, we will remain responsible for ensuring that each of our studies that support our clinical trial applications and our clinical trials are conducted in accordance with the study plan and protocols for the trial. If these third parties do not successfully carry out their contractual duties, meet expected deadlines or conduct our studies in accordance with regulatory requirements or our stated study plans and protocols, we will not be able to complete, or may be delayed in completing, the necessary preclinical studies to enable us or our strategic alliance partners to select viable product candidates for clinical trial application submissions and will not be able to, or may be delayed in our efforts to, successfully develop and commercialize such product candidates.</w:t>
      </w:r>
    </w:p>
    <w:p>
      <w:pPr>
        <w:spacing w:after="0" w:line="27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b w:val="1"/>
          <w:bCs w:val="1"/>
          <w:i w:val="1"/>
          <w:iCs w:val="1"/>
          <w:color w:val="auto"/>
        </w:rPr>
        <w:t>We rely on third-party supply and manufacturing partners for drug supplies for our late-stage clinical activities, and may do the same for any commercial supplies of our product candidates.</w:t>
      </w:r>
    </w:p>
    <w:p>
      <w:pPr>
        <w:spacing w:after="0" w:line="62"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We rely on third-party supply and manufacturing partners to supply the materials and components to manufacture late-stage clinical trial drug supplies. We have not yet manufactured or formulated any product candidate on a commercial scale and may not be able to do so for any of our product candidates. We will work to develop and optimize our manufacturing process, and we cannot be sure that the process will result in therapies that are safe, potent or effective.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ind w:right="80" w:firstLine="510"/>
        <w:spacing w:after="0" w:line="259" w:lineRule="auto"/>
        <w:rPr>
          <w:sz w:val="20"/>
          <w:szCs w:val="20"/>
          <w:color w:val="auto"/>
        </w:rPr>
      </w:pPr>
      <w:r>
        <w:rPr>
          <w:rFonts w:ascii="Arial" w:cs="Arial" w:eastAsia="Arial" w:hAnsi="Arial"/>
          <w:sz w:val="18"/>
          <w:szCs w:val="18"/>
          <w:color w:val="auto"/>
        </w:rPr>
        <w:t>There can be no assurance that our supply of research and development, preclinical and clinical development drugs and other materials will not be limited, interrupted, restricted in certain geographic regions or of satisfactory quality or continue to be available at acceptable prices. In particular, any replacement of any product formulation manufacturer we may engage could require significant effort and expertise because there may be a limited number of qualified replacements.</w:t>
      </w:r>
    </w:p>
    <w:p>
      <w:pPr>
        <w:spacing w:after="0" w:line="187" w:lineRule="exact"/>
        <w:rPr>
          <w:sz w:val="20"/>
          <w:szCs w:val="20"/>
          <w:color w:val="auto"/>
        </w:rPr>
      </w:pPr>
    </w:p>
    <w:p>
      <w:pPr>
        <w:ind w:right="80" w:firstLine="510"/>
        <w:spacing w:after="0" w:line="259" w:lineRule="auto"/>
        <w:rPr>
          <w:sz w:val="20"/>
          <w:szCs w:val="20"/>
          <w:color w:val="auto"/>
        </w:rPr>
      </w:pPr>
      <w:r>
        <w:rPr>
          <w:rFonts w:ascii="Arial" w:cs="Arial" w:eastAsia="Arial" w:hAnsi="Arial"/>
          <w:sz w:val="18"/>
          <w:szCs w:val="18"/>
          <w:color w:val="auto"/>
        </w:rPr>
        <w:t>Synthetic Biotic medicines are complex and difficult to manufacture. We could experience production or technology transfer problems that result in delays in our development or commercialization schedules or otherwise adversely affect our business. Issues with the manufacturing process, even minor deviations from the normal process, could result in insufficient yield, product deficiencies or manufacturing failures that result in lot failures, insufficient inventory, and product recalls.</w:t>
      </w:r>
    </w:p>
    <w:p>
      <w:pPr>
        <w:spacing w:after="0" w:line="187"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color w:val="auto"/>
        </w:rPr>
        <w:t>Many factors common to the manufacturing of most biologics and drugs could also cause production interruptions, including raw materials shortages, raw material failures, growth media failures, equipment malfunctions, facility contamination, labor problems, natural disasters, disruption in utility services, terrorist activities, or acts of god beyond our control. We also may encounter problems in hiring and retaining the experienced specialized personnel needed to operate our manufacturing process, which could result in delays in our production or difficulties in maintaining compliance with applicable regulatory requirements.</w:t>
      </w:r>
    </w:p>
    <w:p>
      <w:pPr>
        <w:spacing w:after="0" w:line="188"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Any problems in our manufacturing processes or facilities could make us a less attractive collaborator for academic research institutions and other parties, which could limit our access to additional attractive development programs, result in delays in our clinical development or marketing schedules and harm our business.</w:t>
      </w:r>
    </w:p>
    <w:p>
      <w:pPr>
        <w:spacing w:after="0" w:line="184"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GMP regulations. Any of our suppliers or manufacturers could fail to comply with such requirements or to perform our obligations to us in relation to quality, timing or otherwise, or if our supply of components or other materials could become limited or interrupted for other reasons. Under these circumstances, we may choose or be forced to manufacture the materials ourselves, for which we currently do not have the capabilities or resources, manufacture in collaboration with a third-party at their facilities, or enter into an agreement with another third-party, which we may not be able to do on reasonable terms, if at all. In some cases, the technical skills or technology required to manufacture our product candidates may be unique or proprietary to the original manufacturer and we may have difficulty, or there may be contractual restrictions prohibiting us from transferring such skills or technology to another third-party and a feasible alternative may not exist. These factors would increase our reliance on such manufacturer or require us to obtain a license from such manufacturer in order to have another third-party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ind w:right="120" w:firstLine="510"/>
        <w:spacing w:after="0" w:line="255" w:lineRule="auto"/>
        <w:rPr>
          <w:sz w:val="20"/>
          <w:szCs w:val="20"/>
          <w:color w:val="auto"/>
        </w:rPr>
      </w:pPr>
      <w:r>
        <w:rPr>
          <w:rFonts w:ascii="Arial" w:cs="Arial" w:eastAsia="Arial" w:hAnsi="Arial"/>
          <w:sz w:val="18"/>
          <w:szCs w:val="18"/>
          <w:color w:val="auto"/>
        </w:rPr>
        <w:t>We may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Our or a third-party’s failure to execute on our manufacturing requirements could adversely affect our business in a number of ways, including:</w:t>
      </w:r>
    </w:p>
    <w:p>
      <w:pPr>
        <w:spacing w:after="0" w:line="84" w:lineRule="exact"/>
        <w:rPr>
          <w:sz w:val="20"/>
          <w:szCs w:val="20"/>
          <w:color w:val="auto"/>
        </w:rPr>
      </w:pPr>
    </w:p>
    <w:p>
      <w:pPr>
        <w:ind w:left="1000" w:hanging="493"/>
        <w:spacing w:after="0"/>
        <w:tabs>
          <w:tab w:leader="none" w:pos="10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an inability to initiate or continue clinical trials of product candidates under development, which may impact our potential economic benefits;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subjecting our product candidates to additional inspections by regulatory authorities;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345"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We enter into various contracts in the normal course of our business in which we indemnify the other party to the contract. In the event we have to perform under these indemnification provisions, it could have a material adverse effect on our business, financial condition and results of operations.</w:t>
      </w:r>
    </w:p>
    <w:p>
      <w:pPr>
        <w:spacing w:after="0" w:line="1" w:lineRule="exact"/>
        <w:rPr>
          <w:sz w:val="20"/>
          <w:szCs w:val="20"/>
          <w:color w:val="auto"/>
        </w:rPr>
      </w:pPr>
    </w:p>
    <w:p>
      <w:pPr>
        <w:ind w:right="860" w:firstLine="510"/>
        <w:spacing w:after="0" w:line="308" w:lineRule="auto"/>
        <w:rPr>
          <w:sz w:val="20"/>
          <w:szCs w:val="20"/>
          <w:color w:val="auto"/>
        </w:rPr>
      </w:pPr>
      <w:r>
        <w:rPr>
          <w:rFonts w:ascii="Arial" w:cs="Arial" w:eastAsia="Arial" w:hAnsi="Arial"/>
          <w:sz w:val="17"/>
          <w:szCs w:val="17"/>
          <w:color w:val="auto"/>
        </w:rPr>
        <w:t>In the normal course of business, we periodically enter into academic, commercial, service, collaboration, licensing, consulting and other agreements that contain indemnification provisions. With respect to our academic and other research agreements, we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3" w:name="page54"/>
    <w:bookmarkEnd w:id="53"/>
    <w:p>
      <w:pPr>
        <w:ind w:right="80"/>
        <w:spacing w:after="0" w:line="296" w:lineRule="auto"/>
        <w:rPr>
          <w:sz w:val="20"/>
          <w:szCs w:val="20"/>
          <w:color w:val="auto"/>
        </w:rPr>
      </w:pPr>
      <w:r>
        <w:rPr>
          <w:rFonts w:ascii="Arial" w:cs="Arial" w:eastAsia="Arial" w:hAnsi="Arial"/>
          <w:sz w:val="16"/>
          <w:szCs w:val="16"/>
          <w:color w:val="auto"/>
        </w:rPr>
        <w:t>typically indemnify the institution and related parties from losses arising from claims relating to the products, processes or services made, used, sold or performed pursuant to the agreements for which we have secured licenses, and from claims arising from our or our sublicensees’ exercise of rights under the agreement. With respect to our collaboration agreements, we indemnify our collaborators from any third-party product liability claims that could result from the production, use or consumption of the product, as well as for alleged infringements of any patent or other intellectual property right by a third-party. With respect to consulting agreements, we indemnify consultants from claims arising from the good faith performance of their services.</w:t>
      </w:r>
    </w:p>
    <w:p>
      <w:pPr>
        <w:spacing w:after="0" w:line="16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Should our obligation under an indemnification provision exceed applicable insurance coverage or should we be denied insurance coverage, our business, financial condition and results of operations could be adversely affected. Similarly, if we are relying on a collaborator to indemnify us and the collaborator is denied insurance coverage or the indemnification obligation exceeds the applicable insurance coverage, and if the collaborator does not have other assets available to indemnify us, our business, financial condition and results of operations could be adversely affected.</w:t>
      </w:r>
    </w:p>
    <w:p>
      <w:pPr>
        <w:spacing w:after="0" w:line="26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To the extent we are able to enter into collaborative arrangements or strategic alliances, we may be exposed to risks related to those collaborations and alliances.</w:t>
      </w:r>
    </w:p>
    <w:p>
      <w:pPr>
        <w:spacing w:after="0" w:line="62" w:lineRule="exact"/>
        <w:rPr>
          <w:sz w:val="20"/>
          <w:szCs w:val="20"/>
          <w:color w:val="auto"/>
        </w:rPr>
      </w:pPr>
    </w:p>
    <w:p>
      <w:pPr>
        <w:ind w:right="180" w:firstLine="510"/>
        <w:spacing w:after="0" w:line="311" w:lineRule="auto"/>
        <w:rPr>
          <w:sz w:val="20"/>
          <w:szCs w:val="20"/>
          <w:color w:val="auto"/>
        </w:rPr>
      </w:pPr>
      <w:r>
        <w:rPr>
          <w:rFonts w:ascii="Arial" w:cs="Arial" w:eastAsia="Arial" w:hAnsi="Arial"/>
          <w:sz w:val="16"/>
          <w:szCs w:val="16"/>
          <w:color w:val="auto"/>
        </w:rPr>
        <w:t>Biotechnology companies sometimes become dependent upon collaborative arrangements or strategic alliances to complete the development and commercialization of product candidates. If we elect to enter into collaborative arrangements or strategic alliances, these arrangements may place the development of our product candidates outside our control, may require us to relinquish important rights or may otherwise be on terms unfavorable to us.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Dependence on collaborative arrangements or strategic alliances would subject us to a number of risks, including the risk that:</w:t>
      </w:r>
    </w:p>
    <w:p>
      <w:pPr>
        <w:spacing w:after="0" w:line="117" w:lineRule="exact"/>
        <w:rPr>
          <w:sz w:val="20"/>
          <w:szCs w:val="20"/>
          <w:color w:val="auto"/>
        </w:rPr>
      </w:pPr>
    </w:p>
    <w:p>
      <w:pPr>
        <w:ind w:left="1000" w:hanging="493"/>
        <w:spacing w:after="0"/>
        <w:tabs>
          <w:tab w:leader="none" w:pos="10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may not be able to control the amount and timing of resources that our collaborators may devote to the relevant product candidates;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collaborators may experience financial difficulties;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such as marketing and distribution rights;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our obligations under any arrangement;</w:t>
      </w:r>
    </w:p>
    <w:p>
      <w:pPr>
        <w:spacing w:after="0" w:line="62"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our competitors; and</w:t>
      </w:r>
    </w:p>
    <w:p>
      <w:pPr>
        <w:spacing w:after="0" w:line="62" w:lineRule="exact"/>
        <w:rPr>
          <w:rFonts w:ascii="Arial" w:cs="Arial" w:eastAsia="Arial" w:hAnsi="Arial"/>
          <w:sz w:val="18"/>
          <w:szCs w:val="18"/>
          <w:color w:val="auto"/>
        </w:rPr>
      </w:pPr>
    </w:p>
    <w:p>
      <w:pPr>
        <w:ind w:left="1000" w:right="50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our drug candidates.</w:t>
      </w:r>
    </w:p>
    <w:p>
      <w:pPr>
        <w:spacing w:after="0" w:line="31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may attempt to form collaborations in the future with respect to our product candidates, but we may not be able to do so, which may cause us to alter our development and commercialization plans.</w:t>
      </w:r>
    </w:p>
    <w:p>
      <w:pPr>
        <w:spacing w:after="0" w:line="62" w:lineRule="exact"/>
        <w:rPr>
          <w:sz w:val="20"/>
          <w:szCs w:val="20"/>
          <w:color w:val="auto"/>
        </w:rPr>
      </w:pPr>
    </w:p>
    <w:p>
      <w:pPr>
        <w:ind w:right="120" w:firstLine="510"/>
        <w:spacing w:after="0" w:line="254" w:lineRule="auto"/>
        <w:rPr>
          <w:sz w:val="20"/>
          <w:szCs w:val="20"/>
          <w:color w:val="auto"/>
        </w:rPr>
      </w:pPr>
      <w:r>
        <w:rPr>
          <w:rFonts w:ascii="Arial" w:cs="Arial" w:eastAsia="Arial" w:hAnsi="Arial"/>
          <w:sz w:val="18"/>
          <w:szCs w:val="18"/>
          <w:color w:val="auto"/>
        </w:rPr>
        <w:t>We may attempt to form strategic collaborations, create joint ventures or enter into licensing arrangements with third parties with respect to our programs or platform that we believe will complement or augment our existing business. We may face significant competition in seeking appropriate strategic collaborators, and the negotiation process to secure appropriate terms is time consuming and complex. We may not be successful in our efforts to establish such a strategic collaboration for any product candidates and programs on terms that are acceptable to us, or at all. This may be because our product candidates and programs may be deemed to be at too early of a stage of development for collaborative effort, our research and development pipeline may be viewed as insufficient, the competitive or intellectual property landscape may be viewed as too intense or risky, and/or third parties may not view our product candidates and programs as having sufficient potential for commercialization, including the likelihood of an adequate safety and efficacy profile.</w:t>
      </w:r>
    </w:p>
    <w:p>
      <w:pPr>
        <w:spacing w:after="0" w:line="192"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Any delays in identifying suitable collaborators and entering into agreements to develop and/or commercialize our product candidates could delay the development or commercialization of our product candidates, which may reduce their competitiveness even if they reach the market. Absent a strategic collaborator, we would need to undertake development and/or commercialization activities at our own expense. If we elect to fund and undertake development and/or commercialization activities on our own, we may need to obtain additional expertise and additional capital, which may not be available to us on acceptable terms or at all. If we are unable to do so, we may not be able to develop our product candidates or bring them to market and our business may be materially and adversely affected.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is approved for marketing and commercialization and we are unable to develop sales, marketing and distribution capabilities on our own or enter into agreements with third parties to perform these functions on acceptable terms, we will be unable to successfully commercialize any such future products.</w:t>
      </w:r>
    </w:p>
    <w:p>
      <w:pPr>
        <w:spacing w:after="0" w:line="76" w:lineRule="exact"/>
        <w:rPr>
          <w:sz w:val="20"/>
          <w:szCs w:val="20"/>
          <w:color w:val="auto"/>
        </w:rPr>
      </w:pPr>
    </w:p>
    <w:p>
      <w:pPr>
        <w:ind w:right="220" w:firstLine="510"/>
        <w:spacing w:after="0" w:line="269" w:lineRule="auto"/>
        <w:rPr>
          <w:sz w:val="20"/>
          <w:szCs w:val="20"/>
          <w:color w:val="auto"/>
        </w:rPr>
      </w:pPr>
      <w:r>
        <w:rPr>
          <w:rFonts w:ascii="Arial" w:cs="Arial" w:eastAsia="Arial" w:hAnsi="Arial"/>
          <w:sz w:val="17"/>
          <w:szCs w:val="17"/>
          <w:color w:val="auto"/>
        </w:rPr>
        <w:t>We currently have no sales, marketing or distribution capabilities or experience. If any of our product candidates is approved for marketing and commercialization,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third parties and there can be no assurance that such third parties will establish adequate sales and distribution capabilities or be successful in gaining market acceptance of any approved product. If we are not successful in commercializing any product approved for marketing and commercialization in the future, either on our own or through third parties, our business, financial condition, results of operations and prospects may be adversely affected.</w:t>
      </w:r>
    </w:p>
    <w:p>
      <w:pPr>
        <w:spacing w:after="0" w:line="290" w:lineRule="exact"/>
        <w:rPr>
          <w:sz w:val="20"/>
          <w:szCs w:val="20"/>
          <w:color w:val="auto"/>
        </w:rPr>
      </w:pPr>
    </w:p>
    <w:p>
      <w:pPr>
        <w:jc w:val="both"/>
        <w:ind w:right="12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we may not meet our revenue expectations and, assuming approval of a product candidate, our business may suffer. Because the patient populations in the market for our product candidates may be small, we must be able to successfully identify patients and acquire a significant market share to achieve profitability and growth.</w:t>
      </w:r>
    </w:p>
    <w:p>
      <w:pPr>
        <w:spacing w:after="0" w:line="41"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Given the small number of patients who have the diseases that we are targeting, our eligible patient population and pricing estimates may differ significantly from the actual market addressable by our product candidates. Our projections of both the number of people who have applicable diseases, as well as the subset of people with these diseases who have the potential to benefit from treatment with our product candidates, are based on our beliefs and estimates. These estimates have been derived from a variety of sources, including scientific literature, patient foundations, or market research, and may prove to be incorrect. Further, new studies may change the estimated incidence or prevalence of these diseases. The number of patients may turn out to be lower than expected. The potentially addressable patient population for each of our product candidates may be limited or may not be amenable to treatment with our product candidates, and new patients may become increasingly difficult to identify or gain access to, which would adversely affect our business, financial condition, results of operations and prospects.</w:t>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and our competitors may discover, develop or commercialize products faster or more successfully than us.</w:t>
      </w:r>
    </w:p>
    <w:p>
      <w:pPr>
        <w:spacing w:after="0" w:line="140"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The development and commercialization of new products is highly competitive. We face competition from major pharmaceutical companies, specialty pharmaceutical companies, biotechnology companies, universities and other research institutions worldwide with respect to our product candidates that we may seek to develop or commercialize in the future. For example, BioMarin, Inc., Nestlé Health Science S.A. (Codexis, Inc.), Homology Medicines, Inc., American Gene Technologies International Inc., Sangamo Therapeutics, Inc., Generation Bio Co., Agios Pharmaceuticals, Inc., SOM Biotech SL and other discovery stage companies have developed or are developing product candidates for the treatment of PKU. Allena Pharmaceuticals, Inc, Novome Biotechnologies, Inc., Federation Bio, Inc., Oxidien Pharmaceuticals L.L.C. and others are developing product candidates for Enteric Hyperoxaluria. Merck &amp; Co. Inc., Spring Bank Pharmaceuticals, Inc., GlaxoSmithKline plc., Bristol Myers Squibb Company, and Silicon Therapeutics have STING agonists in clinical development. Companies developing other modalities which target STING or similar mechanisms include companies such as Roche (Genentech) and Pfizer Inc. / Merck KgaA. Multiple companies develop and market antibodies called checkpoint inhibitors including Pfizer Inc., Roche (Genentech), Merck, Bristol-Myers Squibb Company, Eli Lilly &amp; Co, and others. Our competitors may succeed in developing, acquiring or licensing technologies and products that are more effective or less costly than the product candidates that we are currently developing or that we may develop, which could render our product candidates obsolete and noncompetitive. In addition to the competition we face from alternative therapies for the diseases we intend to target with our product candidates, we are also aware of several companies that are also working specifically to develop engineered bacteria as cellular drug therapies, such as Precigen, Inc. Further there are several companies working to develop other similar products. Third-party payors, including governmental and private insurers, may also encourage the use of generic products.</w:t>
      </w:r>
    </w:p>
    <w:p>
      <w:pPr>
        <w:spacing w:after="0" w:line="167" w:lineRule="exact"/>
        <w:rPr>
          <w:sz w:val="20"/>
          <w:szCs w:val="20"/>
          <w:color w:val="auto"/>
        </w:rPr>
      </w:pPr>
    </w:p>
    <w:p>
      <w:pPr>
        <w:ind w:right="140" w:firstLine="510"/>
        <w:spacing w:after="0" w:line="277" w:lineRule="auto"/>
        <w:rPr>
          <w:sz w:val="20"/>
          <w:szCs w:val="20"/>
          <w:color w:val="auto"/>
        </w:rPr>
      </w:pPr>
      <w:r>
        <w:rPr>
          <w:rFonts w:ascii="Arial" w:cs="Arial" w:eastAsia="Arial" w:hAnsi="Arial"/>
          <w:sz w:val="18"/>
          <w:szCs w:val="18"/>
          <w:color w:val="auto"/>
        </w:rPr>
        <w:t>If our competitors obtain marketing approval from the FDA or comparable foreign regulatory authorities for their product candidates more rapidly than us, it could result in our competitors establishing a strong market position before we are able to enter the market.</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Many of our competitors have materially greater name recognition and substantially greater financial, manufacturing, marketing, research and drug development resources than we do. Additional mergers and acquisitions in the biotechnology and</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55" w:name="page56"/>
    <w:bookmarkEnd w:id="55"/>
    <w:p>
      <w:pPr>
        <w:ind w:right="320"/>
        <w:spacing w:after="0" w:line="255" w:lineRule="auto"/>
        <w:rPr>
          <w:sz w:val="20"/>
          <w:szCs w:val="20"/>
          <w:color w:val="auto"/>
        </w:rPr>
      </w:pPr>
      <w:r>
        <w:rPr>
          <w:rFonts w:ascii="Arial" w:cs="Arial" w:eastAsia="Arial" w:hAnsi="Arial"/>
          <w:sz w:val="18"/>
          <w:szCs w:val="18"/>
          <w:color w:val="auto"/>
        </w:rPr>
        <w:t>pharmaceutical industries may result in even more resources being concentrated in our competitors. Large pharmaceutical companies in particular have extensive expertise in preclinical and clinical testing and in obtaining regulatory approvals for drugs. In addition, academic institutions, government agencies, and other public and private organizations conducting research may seek patent protection with respect to potentially competitive products or technologies. These organizations may also establish exclusive collaborative or licensing relationships with our competitors. Failure of our product candidates to effectively compete against established treatment options or in the future with new products currently in development would harm our business, financial condition, results of operations and prospects.</w:t>
      </w:r>
    </w:p>
    <w:p>
      <w:pPr>
        <w:spacing w:after="0" w:line="30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The commercial success of any of our current or future product candidates will depend upon the degree of market acceptance by physicians, patients, third-party payors, and others in the medical community.</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Even with approvals from the FDA and comparable foreign regulatory authorities, the commercial success of our products will depend in part on the health care providers, patients, and third-party payors accepting our product candidates as medically useful, cost-effective, and safe. Any product that we bring to the market may not gain market acceptance by physicians, patients and third-party payors. The degree of market acceptance of any of our products will depend on a number of factors, including but not limited to:</w:t>
      </w:r>
    </w:p>
    <w:p>
      <w:pPr>
        <w:spacing w:after="0" w:line="79" w:lineRule="exact"/>
        <w:rPr>
          <w:sz w:val="20"/>
          <w:szCs w:val="20"/>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trials and potential advantages over competing treatments;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safety and side effect profile of the product as demonstrated in clinical trials and potential advantages over competing treatments;</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prevalence and severity of the disease targeted;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clinical indications for which approval is granted, including any limitations or warnings contained in a product’s approved labeling;</w:t>
      </w:r>
    </w:p>
    <w:p>
      <w:pPr>
        <w:spacing w:after="0" w:line="128" w:lineRule="exact"/>
        <w:rPr>
          <w:rFonts w:ascii="Arial" w:cs="Arial" w:eastAsia="Arial" w:hAnsi="Arial"/>
          <w:sz w:val="17"/>
          <w:szCs w:val="17"/>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convenience and ease of administration;</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treatment;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willingness of the patients and physicians to accept products engineered from bacteria and these therapies;</w:t>
      </w:r>
    </w:p>
    <w:p>
      <w:pPr>
        <w:spacing w:after="0" w:line="117" w:lineRule="exact"/>
        <w:rPr>
          <w:rFonts w:ascii="Arial" w:cs="Arial" w:eastAsia="Arial" w:hAnsi="Arial"/>
          <w:sz w:val="18"/>
          <w:szCs w:val="18"/>
          <w:color w:val="auto"/>
        </w:rPr>
      </w:pPr>
    </w:p>
    <w:p>
      <w:pPr>
        <w:ind w:left="1000" w:right="100" w:hanging="493"/>
        <w:spacing w:after="0" w:line="277" w:lineRule="auto"/>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perceived ratio of risk and benefit of these therapies by physicians, patients, and payers, and the willingness of physicians to recommend these therapies to patients based on such risks and benefits;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marketing, sales and distribution support for the product;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publicity concerning the products or competing products and treatments;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pricing and availability of third-party insurance coverage and reimbursement.</w:t>
      </w:r>
    </w:p>
    <w:p>
      <w:pPr>
        <w:spacing w:after="0" w:line="225" w:lineRule="exact"/>
        <w:rPr>
          <w:sz w:val="20"/>
          <w:szCs w:val="20"/>
          <w:color w:val="auto"/>
        </w:rPr>
      </w:pPr>
    </w:p>
    <w:p>
      <w:pPr>
        <w:ind w:right="140" w:firstLine="510"/>
        <w:spacing w:after="0" w:line="259" w:lineRule="auto"/>
        <w:rPr>
          <w:sz w:val="20"/>
          <w:szCs w:val="20"/>
          <w:color w:val="auto"/>
        </w:rPr>
      </w:pPr>
      <w:r>
        <w:rPr>
          <w:rFonts w:ascii="Arial" w:cs="Arial" w:eastAsia="Arial" w:hAnsi="Arial"/>
          <w:sz w:val="18"/>
          <w:szCs w:val="18"/>
          <w:color w:val="auto"/>
        </w:rPr>
        <w:t>Even if a product displays a favorable efficacy and safety profile upon approval, market acceptance of the product remains uncertain. Efforts to educate the medical community and third-party payors on the benefits of the products may require significant investment and resources and may never be successful. If our products fail to achieve an adequate level of acceptance by physicians, patients, third-party payors, and other health care providers, we will not be able to generate sufficient revenue to become or remain profitable.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any efforts to identify, license, discover, develop, or commercialize additional product candidates.</w:t>
      </w:r>
    </w:p>
    <w:p>
      <w:pPr>
        <w:spacing w:after="0" w:line="117"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Although a substantial amount of our effort will focus on the clinical testing, potential approval, and commercialization of our existing product candidates, the success of our business is also expected to depend in part upon our ability to identify, license, discover, develop, or commercialize additional product candidates. Research programs to identify new product candidates require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84" w:lineRule="exact"/>
        <w:rPr>
          <w:sz w:val="20"/>
          <w:szCs w:val="20"/>
          <w:color w:val="auto"/>
        </w:rPr>
      </w:pPr>
    </w:p>
    <w:p>
      <w:pPr>
        <w:ind w:left="1000" w:right="5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117"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56" w:name="page57"/>
    <w:bookmarkEnd w:id="56"/>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117" w:lineRule="exact"/>
        <w:rPr>
          <w:rFonts w:ascii="Arial" w:cs="Arial" w:eastAsia="Arial" w:hAnsi="Arial"/>
          <w:sz w:val="18"/>
          <w:szCs w:val="18"/>
          <w:color w:val="auto"/>
        </w:rPr>
      </w:pPr>
    </w:p>
    <w:p>
      <w:pPr>
        <w:ind w:left="1000" w:hanging="493"/>
        <w:spacing w:after="0" w:line="277" w:lineRule="auto"/>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market for a product candidate may change during development or commercialization so that such a product may become unreasonable to continue to develop or commercialize;</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product candidate may not be accepted as safe and effective by patients, the medical community, or third-party payors.</w:t>
      </w:r>
    </w:p>
    <w:p>
      <w:pPr>
        <w:spacing w:after="0" w:line="22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If any of these events occur, we may be forced to abandon our development efforts for one or more product candidates, or we may not be able to identify, license, discover, develop, or commercialize additional product candidates, which would have a material adverse effect on our business, financial condition or results of operations and could potentially cause us to cease operations.</w:t>
      </w:r>
    </w:p>
    <w:p>
      <w:pPr>
        <w:spacing w:after="0" w:line="29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Failure to obtain or maintain adequate reimbursement or insurance coverage for products, if any, could limit our ability to market those products and decrease our ability to generate revenue.</w:t>
      </w:r>
    </w:p>
    <w:p>
      <w:pPr>
        <w:spacing w:after="0" w:line="62"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The pricing, coverage, and reimbursement of our approved products, if any, must be sufficient to support our commercial efforts and other development programs and the availability and adequacy of coverage and reimbursement by third-party payors, including governmental and private insurers, are essential for most patients to be able to afford expensive treatments. Sales of our approved products, if any, will depend substantially, both domestically and abroad, on the extent to which the costs of our approved products, if any, will be paid for or reimbursed by health maintenance, managed care, pharmacy benefit and similar healthcare management organizations, or government payors and private payors. If coverage and reimbursement are not available, or are available only in limited amounts, we may have to subsidize or provide products for free or we may not be able to successfully commercialize our products.</w:t>
      </w:r>
    </w:p>
    <w:p>
      <w:pPr>
        <w:spacing w:after="0" w:line="195"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In addition, there is significant uncertainty related to the insurance coverage and reimbursement for newly approved products. In the United States, the principal decisions about coverage and reimbursement for new drugs are typically made by the Centers for Medicare &amp; Medicaid Services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novel product candidates such as ours and what reimbursement codes our product candidates may receive if approved.</w:t>
      </w:r>
    </w:p>
    <w:p>
      <w:pPr>
        <w:spacing w:after="0" w:line="192"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price-restrictive regulations, and we believe the increasing emphasis on cost-containment initiatives in Europe, Canada, and other countries has and will continue to put pressure on the pricing and usage of products. In many countries, the prices of products are subject to varying price control mechanisms as part of national health systems. Price controls or other changes in pricing regulation could restrict the amount that we are able to charge for our products, if any. Accordingly, in markets outside the United States, the potential revenue from the sale of our products may be insufficient to generate commercially reasonable revenue and profits.</w:t>
      </w:r>
    </w:p>
    <w:p>
      <w:pPr>
        <w:spacing w:after="0" w:line="192" w:lineRule="exact"/>
        <w:rPr>
          <w:sz w:val="20"/>
          <w:szCs w:val="20"/>
          <w:color w:val="auto"/>
        </w:rPr>
      </w:pPr>
    </w:p>
    <w:p>
      <w:pPr>
        <w:ind w:right="240" w:firstLine="510"/>
        <w:spacing w:after="0" w:line="273" w:lineRule="auto"/>
        <w:rPr>
          <w:sz w:val="20"/>
          <w:szCs w:val="20"/>
          <w:color w:val="auto"/>
        </w:rPr>
      </w:pPr>
      <w:r>
        <w:rPr>
          <w:rFonts w:ascii="Arial" w:cs="Arial" w:eastAsia="Arial" w:hAnsi="Arial"/>
          <w:sz w:val="17"/>
          <w:szCs w:val="17"/>
          <w:color w:val="auto"/>
        </w:rPr>
        <w:t>Moreover, increasing efforts by governmental and private payors in the United States and abroad to limit or reduce healthcare costs may result in restrictions on coverage and the level of reimbursement for new products and, as a result, they may not cover or provide adequate payment for our products. We expect to experience pricing pressures in connection with products due to the increasing trend toward managed healthcare, including the increasing influence of health maintenance organizations and additional legislative changes. The downward pressure on healthcare costs in general, particularly prescription drugs has and is expected to continue to increase in the future. As a result, profitability of our products, if any, may be more difficult to achieve even if they receive regulatory approval.</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 and Employees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Our failure to attract and retain senior management and key scientific personnel may prevent us from successfully developing our product candidates or any future product candidate, conducting our clinical trials and commercializing any products.</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Our success depends in part on our continued ability to attract, retain and motivate highly qualified management, clinical and scientific personnel. We believe that our future success is highly dependent upon the contributions of our senior management, particularly our president and chief executive officer, chief medical officer, as well as our senior scientists and other members of our senior management team. The loss of services of any of these individuals could delay or prevent the successful development of our product pipeline, completion of our planned clinical trials or the commercialization of the products we develop.</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92" w:right="379" w:bottom="1440" w:gutter="0" w:footer="0" w:header="0"/>
        </w:sectPr>
      </w:pPr>
    </w:p>
    <w:bookmarkStart w:id="57" w:name="page58"/>
    <w:bookmarkEnd w:id="57"/>
    <w:p>
      <w:pPr>
        <w:ind w:right="180" w:firstLine="510"/>
        <w:spacing w:after="0" w:line="279" w:lineRule="auto"/>
        <w:rPr>
          <w:sz w:val="20"/>
          <w:szCs w:val="20"/>
          <w:color w:val="auto"/>
        </w:rPr>
      </w:pPr>
      <w:r>
        <w:rPr>
          <w:rFonts w:ascii="Arial" w:cs="Arial" w:eastAsia="Arial" w:hAnsi="Arial"/>
          <w:sz w:val="17"/>
          <w:szCs w:val="17"/>
          <w:color w:val="auto"/>
        </w:rPr>
        <w:t>Although we have not historically experienced significant difficulties attracting and retaining qualified employees, we could experience such problems in the future. For example, competition for qualified personnel in the biotechnology and pharmaceuticals field is intense due to the limited number of individuals who possess the skills and experience required by our industry. We will need to hire additional personnel as we expand our clinical development and commercial activities. We may not be able to attract and retain quality personnel on acceptable terms, or at all.</w:t>
      </w:r>
    </w:p>
    <w:p>
      <w:pPr>
        <w:spacing w:after="0" w:line="279"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b w:val="1"/>
          <w:bCs w:val="1"/>
          <w:i w:val="1"/>
          <w:iCs w:val="1"/>
          <w:color w:val="auto"/>
        </w:rPr>
        <w:t>Our employees, independent contractors, principal investigators, CROs, consultants and collaborators may engage in misconduct or other improper activities, including noncompliance with regulatory standards and requirements and insider trading.</w:t>
      </w:r>
    </w:p>
    <w:p>
      <w:pPr>
        <w:spacing w:after="0" w:line="38" w:lineRule="exact"/>
        <w:rPr>
          <w:sz w:val="20"/>
          <w:szCs w:val="20"/>
          <w:color w:val="auto"/>
        </w:rPr>
      </w:pPr>
    </w:p>
    <w:p>
      <w:pPr>
        <w:ind w:right="300" w:firstLine="510"/>
        <w:spacing w:after="0" w:line="291" w:lineRule="auto"/>
        <w:rPr>
          <w:sz w:val="20"/>
          <w:szCs w:val="20"/>
          <w:color w:val="auto"/>
        </w:rPr>
      </w:pPr>
      <w:r>
        <w:rPr>
          <w:rFonts w:ascii="Arial" w:cs="Arial" w:eastAsia="Arial" w:hAnsi="Arial"/>
          <w:sz w:val="16"/>
          <w:szCs w:val="16"/>
          <w:color w:val="auto"/>
        </w:rPr>
        <w:t>We are exposed to the risk that our employees, independent contractors, consultants and collaborators may engage in fraudulent conduct or other illegal activity. Misconduct by these parties could include intentional, reckless and/or negligent conduct or unauthorized activities that violate:</w:t>
      </w:r>
    </w:p>
    <w:p>
      <w:pPr>
        <w:ind w:firstLine="8"/>
        <w:spacing w:after="0" w:line="284" w:lineRule="auto"/>
        <w:tabs>
          <w:tab w:leader="none" w:pos="255"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regulations of regulatory authorities in jurisdictions where we are performing activities in relation to our product candidates, including those laws requiring the reporting of true, complete and accurate information to such authorities; (2) manufacturing regulations and standards; (3) fraud and abuse and anti-corruption laws and regulations; or (4) laws that require the reporting of true and accurate financial information and data. In particular, sales, marketing and business arrangements in the healthcare industry are subject to extensive laws and regulations intended to prevent fraud, bias, misconduct, kickbacks, self-dealing and other abusive practices, and these laws may differ substantially from country to country. These laws and regulations may restrict or prohibit a wide range of pricing, discounting, marketing and promotion, sales commission, customer incentive programs and other business arrangements. These activities also include the improper use of information obtained in the course of clinical trials, which could result in regulatory sanctions and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ourselves from governmental investigations or other actions or lawsuits stemming from a failure to be in compliance with such laws or regulations. If any such actions are instituted against us, and we are not successful in defending itself or asserting our rights, those actions could have a significant impact on our business including the imposition of significant civil, criminal and administrative penalties, damages, monetary fines, possible exclusion from participation in subsidized healthcare programs in a given country, contractual damages, reputational harm, diminished profits and future earnings, and curtailment of our operations, any of which could adversely affect our ability to operate our business and our results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are able to exert significant control over matters subject to stockholder approval.</w:t>
      </w:r>
    </w:p>
    <w:p>
      <w:pPr>
        <w:spacing w:after="0" w:line="62" w:lineRule="exact"/>
        <w:rPr>
          <w:sz w:val="20"/>
          <w:szCs w:val="20"/>
          <w:color w:val="auto"/>
        </w:rPr>
      </w:pPr>
    </w:p>
    <w:p>
      <w:pPr>
        <w:ind w:right="40" w:firstLine="510"/>
        <w:spacing w:after="0" w:line="290" w:lineRule="auto"/>
        <w:rPr>
          <w:sz w:val="20"/>
          <w:szCs w:val="20"/>
          <w:color w:val="auto"/>
        </w:rPr>
      </w:pPr>
      <w:r>
        <w:rPr>
          <w:rFonts w:ascii="Arial" w:cs="Arial" w:eastAsia="Arial" w:hAnsi="Arial"/>
          <w:sz w:val="16"/>
          <w:szCs w:val="16"/>
          <w:color w:val="auto"/>
        </w:rPr>
        <w:t>Based on the beneficial ownership of our common stock as of November 3, 2021, our executive officers and directors, together with holders of 5% or more of our common stock outstanding and their respective affiliates, beneficially own approximately 44.4% of our common stock. Accordingly, these stockholders have significant influence over the outcome of corporate actions requiring stockholder approval, including the election of directors, consolidation or sale of all or substantially all of our assets or any other significant corporate transaction. The interests of these stockholders may not be the same as or may even conflict with your interests. For example, these stockholders could delay or prevent a change of control, even if such a change of control would benefit our other stockholders, which could deprive our stockholders of an opportunity to receive a premium for their common stock as part of a sale of the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or securities convertible or exchangeable for our common stock may depress our stock price.</w:t>
      </w:r>
    </w:p>
    <w:p>
      <w:pPr>
        <w:spacing w:after="0" w:line="117" w:lineRule="exact"/>
        <w:rPr>
          <w:sz w:val="20"/>
          <w:szCs w:val="20"/>
          <w:color w:val="auto"/>
        </w:rPr>
      </w:pPr>
    </w:p>
    <w:p>
      <w:pPr>
        <w:ind w:right="140" w:firstLine="510"/>
        <w:spacing w:after="0" w:line="286" w:lineRule="auto"/>
        <w:rPr>
          <w:sz w:val="20"/>
          <w:szCs w:val="20"/>
          <w:color w:val="auto"/>
        </w:rPr>
      </w:pPr>
      <w:r>
        <w:rPr>
          <w:rFonts w:ascii="Arial" w:cs="Arial" w:eastAsia="Arial" w:hAnsi="Arial"/>
          <w:sz w:val="17"/>
          <w:szCs w:val="17"/>
          <w:color w:val="auto"/>
        </w:rPr>
        <w:t>If our existing stockholders or holders of our options sell, or indicate an intention to sell, substantial amounts of our common stock in the public market, the trading price of our common stock could decline. The perception in the market that these sales may occur could also cause the trading price of our common stock to decline. As of November 3, 2021, there were a total of 69,709,236 shares of our common stock outstanding.</w:t>
      </w:r>
    </w:p>
    <w:p>
      <w:pPr>
        <w:spacing w:after="0" w:line="2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1000" w:hanging="493"/>
        <w:spacing w:after="0"/>
        <w:tabs>
          <w:tab w:leader="none" w:pos="10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the level of our operating expenses;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58" w:name="page59"/>
    <w:bookmarkEnd w:id="58"/>
    <w:p>
      <w:pPr>
        <w:ind w:left="1000" w:hanging="493"/>
        <w:spacing w:after="0"/>
        <w:tabs>
          <w:tab w:leader="none" w:pos="100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receipt, modification or termination of government contracts or grants, and the timing of payments we receive under these arrangements;</w:t>
      </w:r>
    </w:p>
    <w:p>
      <w:pPr>
        <w:spacing w:after="0" w:line="140" w:lineRule="exact"/>
        <w:rPr>
          <w:rFonts w:ascii="Arial" w:cs="Arial" w:eastAsia="Arial" w:hAnsi="Arial"/>
          <w:sz w:val="16"/>
          <w:szCs w:val="16"/>
          <w:color w:val="auto"/>
        </w:rPr>
      </w:pPr>
    </w:p>
    <w:p>
      <w:pPr>
        <w:ind w:left="1000" w:right="22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any collaborative, licensing or similar arrangements, and the timing of payments we may make under these arrangements; and</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intellectual property infringement lawsuit or opposition, interference or cancellation proceeding in which we may become involved.</w:t>
      </w:r>
    </w:p>
    <w:p>
      <w:pPr>
        <w:spacing w:after="0" w:line="237" w:lineRule="exact"/>
        <w:rPr>
          <w:sz w:val="20"/>
          <w:szCs w:val="20"/>
          <w:color w:val="auto"/>
        </w:rPr>
      </w:pPr>
    </w:p>
    <w:p>
      <w:pPr>
        <w:ind w:right="60" w:firstLine="510"/>
        <w:spacing w:after="0" w:line="259"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the company’s stock to fluctuate substantially. We believe that quarterly comparisons of our financial results are not necessarily meaningful and should not be relied upon as an indication of our future performance.</w:t>
      </w:r>
    </w:p>
    <w:p>
      <w:pPr>
        <w:spacing w:after="0" w:line="29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Provisions of our charter documents or Delaware law could delay or prevent an acquisition of us, even if the acquisition would be beneficial to our stockholders, and could make it more difficult for you to change management.</w:t>
      </w:r>
    </w:p>
    <w:p>
      <w:pPr>
        <w:spacing w:after="0" w:line="62"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Provisions in our amended and restated certificate of incorporation and our amended and restated bylaws may discourage, delay or prevent a merger, acquisition or other change in control that our stockholders may consider favorable, including transactions in which our stockholders might otherwise receive a premium for their shares. In addition, these provisions may frustrate or prevent any attempt by our stockholders to replace or remove our current management by making it more difficult to replace or remove our Board of Directors. These provisions include:</w:t>
      </w:r>
    </w:p>
    <w:p>
      <w:pPr>
        <w:spacing w:after="0" w:line="63" w:lineRule="exact"/>
        <w:rPr>
          <w:sz w:val="20"/>
          <w:szCs w:val="20"/>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classified board of directors so that not all directors are elected at one time;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 cumulative voting in the election of directors;</w:t>
      </w:r>
    </w:p>
    <w:p>
      <w:pPr>
        <w:spacing w:after="0" w:line="117" w:lineRule="exact"/>
        <w:rPr>
          <w:rFonts w:ascii="Arial" w:cs="Arial" w:eastAsia="Arial" w:hAnsi="Arial"/>
          <w:sz w:val="18"/>
          <w:szCs w:val="18"/>
          <w:color w:val="auto"/>
        </w:rPr>
      </w:pPr>
    </w:p>
    <w:p>
      <w:pPr>
        <w:ind w:left="1000" w:right="3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exclusive right of our Board of Directors to elect a director to fill a vacancy created by the expansion of our Board of Directors or the resignation, death or removal of a director;</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that special meetings of our Stockholders be called only by our Board of Directors, the chairman of our Board of Directors, the chief executive officer or, in the absence of a chief executive officer, the president;</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 advance notice requirement for stockholder proposals and nominations;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authority of our Board of Directors to issue preferred stock with such terms as our Board of Directors may determine; and</w:t>
      </w:r>
    </w:p>
    <w:p>
      <w:pPr>
        <w:spacing w:after="0" w:line="117" w:lineRule="exact"/>
        <w:rPr>
          <w:rFonts w:ascii="Arial" w:cs="Arial" w:eastAsia="Arial" w:hAnsi="Arial"/>
          <w:sz w:val="18"/>
          <w:szCs w:val="18"/>
          <w:color w:val="auto"/>
        </w:rPr>
      </w:pPr>
    </w:p>
    <w:p>
      <w:pPr>
        <w:ind w:left="1000" w:right="42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 requirement of approval of not less than 66 2/3% of all outstanding shares of our capital stock entitled to vote to amend any bylaws by stockholder action, or to amend specific provisions of our certificate of incorporation.</w:t>
      </w:r>
    </w:p>
    <w:p>
      <w:pPr>
        <w:spacing w:after="0" w:line="170"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 addition, Delaware law prohibits a publicly held Delaware corporation from engaging in a business combination with an interested stockholder, generally a person who, together with its affiliates, owns or within the last three years has owned 15% or more of the company’s voting stock, for a period of three years after the date of the transaction in which the person became an interested stockholder, unless the business combination is approved in a prescribed manner. Accordingly, Delaware law may discourage, delay or prevent a change in control of the company.</w:t>
      </w:r>
    </w:p>
    <w:p>
      <w:pPr>
        <w:spacing w:after="0" w:line="171"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color w:val="auto"/>
        </w:rPr>
        <w:t>In addition, our amended and restated certificate of incorporation, to the fullest extent permitted by law, provides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or the DGCL, our amended and restated certificate of incorporation, or our amended and restated bylaws; or any action asserting a claim against us that is governed by the internal affairs doctrine. This exclusive forum provision does not apply to suits brought to enforce a duty or liability created by the Exchange Act. It could apply, however, to a suit that falls within one or more of the categories enumerated in the exclusive forum provision and asserts claims under the Securities Act, inasmuch as Section 22 of the Securities Act creates concurrent jurisdiction for federal and state courts over all suits brought to enforce any duty or liability created by the Securities Act or the rule and regulations thereunder. There is uncertainty as to whether a court would enforce such provision with respect to claims under the Securities Act, and our stockholders will not be deemed to have waived our compliance with the federal securities laws and the rules and regulations thereunder.</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92" w:right="359" w:bottom="1440" w:gutter="0" w:footer="0" w:header="0"/>
        </w:sectPr>
      </w:pPr>
    </w:p>
    <w:bookmarkStart w:id="59" w:name="page60"/>
    <w:bookmarkEnd w:id="59"/>
    <w:p>
      <w:pPr>
        <w:ind w:right="160" w:firstLine="510"/>
        <w:spacing w:after="0" w:line="301"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any of our directors, officers, or other employees, which may discourage lawsuits with respect to such claims. Alternatively, if a court were to find the choice of forum provisions contained in our restated certificate of incorporation to be inapplicable or unenforceable in an action, we may incur additional costs associated with resolving such action in other jurisdictions, which could harm our business, results of operations and financial condition.</w:t>
      </w:r>
    </w:p>
    <w:p>
      <w:pPr>
        <w:spacing w:after="0" w:line="157"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Provisions in our charter and other provisions of Delaware law could limit the price that investors are willing to pay in the future for shares of our common stock.</w:t>
      </w:r>
    </w:p>
    <w:p>
      <w:pPr>
        <w:spacing w:after="0" w:line="2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do not anticipate paying any cash dividends on our common stock in the foreseeable future; therefore, capital appreciation, if any, of our common stock will be your sole source of gain for the foreseeable future.</w:t>
      </w:r>
    </w:p>
    <w:p>
      <w:pPr>
        <w:spacing w:after="0" w:line="62" w:lineRule="exact"/>
        <w:rPr>
          <w:sz w:val="20"/>
          <w:szCs w:val="20"/>
          <w:color w:val="auto"/>
        </w:rPr>
      </w:pPr>
    </w:p>
    <w:p>
      <w:pPr>
        <w:ind w:right="40" w:firstLine="510"/>
        <w:spacing w:after="0" w:line="279" w:lineRule="auto"/>
        <w:rPr>
          <w:sz w:val="20"/>
          <w:szCs w:val="20"/>
          <w:color w:val="auto"/>
        </w:rPr>
      </w:pPr>
      <w:r>
        <w:rPr>
          <w:rFonts w:ascii="Arial" w:cs="Arial" w:eastAsia="Arial" w:hAnsi="Arial"/>
          <w:sz w:val="17"/>
          <w:szCs w:val="17"/>
          <w:color w:val="auto"/>
        </w:rPr>
        <w:t>We have never declared or paid cash dividends on our common stock. We do not anticipate paying any cash dividends on our common stock in the foreseeable future. We currently intend to retain all available funds and any future earnings to fund our operations. In addition, the terms of any future debt financing arrangement may contain terms prohibiting or limiting the amount of dividends that may be declared or paid on our common stock. As a result, capital appreciation, if any, of our common stock will be your sole source of gain for the foreseeable future.</w:t>
      </w:r>
    </w:p>
    <w:p>
      <w:pPr>
        <w:spacing w:after="0" w:line="2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2"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 us downgrade our common stock or publish inaccurate or unfavorable research about our business, our stock price would likely decline. In addition, if our operating results fail to meet the forecast of analysts, our stock price would likely decline. If one or more of these analysts cease coverage of us or fail to publish reports on us regularly, demand for our common stock could decrease, which might cause our stock price and trading volume to decline.</w:t>
      </w:r>
    </w:p>
    <w:p>
      <w:pPr>
        <w:spacing w:after="0" w:line="29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Changes in, or interpretations of, accounting rules and regulations could result in unfavorable accounting charges or require us to change our compensation policies.</w:t>
      </w:r>
    </w:p>
    <w:p>
      <w:pPr>
        <w:spacing w:after="0" w:line="62"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Accounting methods and policies for biopharmaceutical companies, including policies governing revenue recognition, research and development and related expenses and accounting for stock-based compensation, are subject to further review, interpretation and guidance from relevant accounting authorities, including the SEC. Changes to, or interpretations of, accounting methods or policies may require us to reclassify, restate or otherwise change or revise our financial statements, including those contained in this periodic report.</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Employees surrendered 18,187 shares to us, at purchase prices ranging from $3.50 to $4.12, during the nine months ended September 30, 2021, for the payment of the minimum tax liability withholding obligations upon the vesting of shares of restricted stock. We do not consider this a share buyback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84" w:right="3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Item 6. Exhibits.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Filed</w:t>
            </w: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Incorporated by</w:t>
            </w: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SEC</w:t>
            </w:r>
          </w:p>
        </w:tc>
        <w:tc>
          <w:tcPr>
            <w:tcW w:w="0" w:type="dxa"/>
            <w:vAlign w:val="bottom"/>
          </w:tcPr>
          <w:p>
            <w:pPr>
              <w:spacing w:after="0"/>
              <w:rPr>
                <w:sz w:val="1"/>
                <w:szCs w:val="1"/>
                <w:color w:val="auto"/>
              </w:rPr>
            </w:pPr>
          </w:p>
        </w:tc>
      </w:tr>
      <w:tr>
        <w:trPr>
          <w:trHeight w:val="148"/>
        </w:trPr>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Reference herein</w:t>
            </w: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Filing</w:t>
            </w: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720" w:type="dxa"/>
            <w:vAlign w:val="bottom"/>
            <w:gridSpan w:val="7"/>
            <w:vMerge w:val="restart"/>
          </w:tcPr>
          <w:p>
            <w:pPr>
              <w:ind w:left="128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12"/>
                <w:szCs w:val="12"/>
                <w:color w:val="auto"/>
              </w:rPr>
            </w:pPr>
          </w:p>
        </w:tc>
        <w:tc>
          <w:tcPr>
            <w:tcW w:w="8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with this</w:t>
            </w:r>
          </w:p>
        </w:tc>
        <w:tc>
          <w:tcPr>
            <w:tcW w:w="16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from Form or</w:t>
            </w:r>
          </w:p>
        </w:tc>
        <w:tc>
          <w:tcPr>
            <w:tcW w:w="116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File/Reg.</w:t>
            </w: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720" w:type="dxa"/>
            <w:vAlign w:val="bottom"/>
            <w:tcBorders>
              <w:bottom w:val="single" w:sz="8" w:color="auto"/>
            </w:tcBorders>
            <w:gridSpan w:val="7"/>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80" w:type="dxa"/>
            <w:vAlign w:val="bottom"/>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Schedule</w:t>
            </w:r>
          </w:p>
        </w:tc>
        <w:tc>
          <w:tcPr>
            <w:tcW w:w="8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277"/>
        </w:trPr>
        <w:tc>
          <w:tcPr>
            <w:tcW w:w="780" w:type="dxa"/>
            <w:vAlign w:val="bottom"/>
          </w:tcPr>
          <w:p>
            <w:pPr>
              <w:jc w:val="right"/>
              <w:ind w:right="340"/>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4"/>
                <w:szCs w:val="24"/>
                <w:color w:val="auto"/>
              </w:rPr>
            </w:pPr>
          </w:p>
        </w:tc>
        <w:tc>
          <w:tcPr>
            <w:tcW w:w="5760" w:type="dxa"/>
            <w:vAlign w:val="bottom"/>
            <w:gridSpan w:val="11"/>
          </w:tcPr>
          <w:p>
            <w:pPr>
              <w:spacing w:after="0"/>
              <w:rPr>
                <w:rFonts w:ascii="Arial" w:cs="Arial" w:eastAsia="Arial" w:hAnsi="Arial"/>
                <w:sz w:val="16"/>
                <w:szCs w:val="16"/>
                <w:color w:val="0000EE"/>
              </w:rPr>
            </w:pPr>
            <w:hyperlink r:id="rId79">
              <w:r>
                <w:rPr>
                  <w:rFonts w:ascii="Arial" w:cs="Arial" w:eastAsia="Arial" w:hAnsi="Arial"/>
                  <w:sz w:val="16"/>
                  <w:szCs w:val="16"/>
                  <w:color w:val="0000EE"/>
                </w:rPr>
                <w:t>Sales Agreement, dated as of July 23, 2021, by and between the Registrant and</w:t>
              </w:r>
            </w:hyperlink>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S-3</w:t>
            </w:r>
          </w:p>
        </w:tc>
        <w:tc>
          <w:tcPr>
            <w:tcW w:w="1040" w:type="dxa"/>
            <w:vAlign w:val="bottom"/>
          </w:tcPr>
          <w:p>
            <w:pPr>
              <w:jc w:val="center"/>
              <w:spacing w:after="0"/>
              <w:rPr>
                <w:sz w:val="20"/>
                <w:szCs w:val="20"/>
                <w:color w:val="auto"/>
              </w:rPr>
            </w:pPr>
            <w:r>
              <w:rPr>
                <w:rFonts w:ascii="Arial" w:cs="Arial" w:eastAsia="Arial" w:hAnsi="Arial"/>
                <w:sz w:val="16"/>
                <w:szCs w:val="16"/>
                <w:color w:val="auto"/>
                <w:w w:val="92"/>
              </w:rPr>
              <w:t>07/23/2021</w:t>
            </w:r>
          </w:p>
        </w:tc>
        <w:tc>
          <w:tcPr>
            <w:tcW w:w="12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6"/>
                <w:szCs w:val="16"/>
                <w:color w:val="auto"/>
                <w:w w:val="94"/>
              </w:rPr>
              <w:t>333-25815</w:t>
            </w: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0000EE"/>
              <w:bottom w:val="single" w:sz="8" w:color="0000EE"/>
            </w:tcBorders>
            <w:gridSpan w:val="3"/>
          </w:tcPr>
          <w:p>
            <w:pPr>
              <w:spacing w:after="0" w:line="183" w:lineRule="exact"/>
              <w:rPr>
                <w:rFonts w:ascii="Arial" w:cs="Arial" w:eastAsia="Arial" w:hAnsi="Arial"/>
                <w:sz w:val="16"/>
                <w:szCs w:val="16"/>
                <w:color w:val="0000EE"/>
                <w:w w:val="93"/>
              </w:rPr>
            </w:pPr>
            <w:hyperlink r:id="rId79">
              <w:r>
                <w:rPr>
                  <w:rFonts w:ascii="Arial" w:cs="Arial" w:eastAsia="Arial" w:hAnsi="Arial"/>
                  <w:sz w:val="16"/>
                  <w:szCs w:val="16"/>
                  <w:color w:val="0000EE"/>
                  <w:w w:val="93"/>
                </w:rPr>
                <w:t>Jefferies LLC.</w:t>
              </w:r>
            </w:hyperlink>
          </w:p>
        </w:tc>
        <w:tc>
          <w:tcPr>
            <w:tcW w:w="4180" w:type="dxa"/>
            <w:vAlign w:val="bottom"/>
            <w:tcBorders>
              <w:top w:val="single" w:sz="8" w:color="0000EE"/>
            </w:tcBorders>
            <w:gridSpan w:val="2"/>
          </w:tcPr>
          <w:p>
            <w:pPr>
              <w:spacing w:after="0"/>
              <w:rPr>
                <w:sz w:val="15"/>
                <w:szCs w:val="15"/>
                <w:color w:val="auto"/>
              </w:rPr>
            </w:pPr>
          </w:p>
        </w:tc>
        <w:tc>
          <w:tcPr>
            <w:tcW w:w="640" w:type="dxa"/>
            <w:vAlign w:val="bottom"/>
            <w:gridSpan w:val="6"/>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340"/>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4"/>
                <w:szCs w:val="24"/>
                <w:color w:val="auto"/>
              </w:rPr>
            </w:pPr>
          </w:p>
        </w:tc>
        <w:tc>
          <w:tcPr>
            <w:tcW w:w="5640" w:type="dxa"/>
            <w:vAlign w:val="bottom"/>
            <w:tcBorders>
              <w:bottom w:val="single" w:sz="8" w:color="0000EE"/>
            </w:tcBorders>
            <w:gridSpan w:val="9"/>
          </w:tcPr>
          <w:p>
            <w:pPr>
              <w:spacing w:after="0"/>
              <w:rPr>
                <w:rFonts w:ascii="Arial" w:cs="Arial" w:eastAsia="Arial" w:hAnsi="Arial"/>
                <w:sz w:val="16"/>
                <w:szCs w:val="16"/>
                <w:color w:val="0000EE"/>
                <w:w w:val="93"/>
              </w:rPr>
            </w:pPr>
            <w:hyperlink w:anchor="page63">
              <w:r>
                <w:rPr>
                  <w:rFonts w:ascii="Arial" w:cs="Arial" w:eastAsia="Arial" w:hAnsi="Arial"/>
                  <w:sz w:val="16"/>
                  <w:szCs w:val="16"/>
                  <w:color w:val="0000EE"/>
                  <w:w w:val="93"/>
                </w:rPr>
                <w:t>Certification of Chief Executive Officer required by Rule 13a-14(a) or Rule 15d-14(a).</w:t>
              </w:r>
            </w:hyperlink>
          </w:p>
        </w:tc>
        <w:tc>
          <w:tcPr>
            <w:tcW w:w="120" w:type="dxa"/>
            <w:vAlign w:val="bottom"/>
            <w:gridSpan w:val="2"/>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340"/>
              <w:spacing w:after="0"/>
              <w:rPr>
                <w:sz w:val="20"/>
                <w:szCs w:val="20"/>
                <w:color w:val="auto"/>
              </w:rPr>
            </w:pPr>
            <w:r>
              <w:rPr>
                <w:rFonts w:ascii="Arial" w:cs="Arial" w:eastAsia="Arial" w:hAnsi="Arial"/>
                <w:sz w:val="16"/>
                <w:szCs w:val="16"/>
                <w:color w:val="auto"/>
              </w:rPr>
              <w:t>31.2</w:t>
            </w:r>
          </w:p>
        </w:tc>
        <w:tc>
          <w:tcPr>
            <w:tcW w:w="100" w:type="dxa"/>
            <w:vAlign w:val="bottom"/>
          </w:tcPr>
          <w:p>
            <w:pPr>
              <w:spacing w:after="0"/>
              <w:rPr>
                <w:sz w:val="24"/>
                <w:szCs w:val="24"/>
                <w:color w:val="auto"/>
              </w:rPr>
            </w:pPr>
          </w:p>
        </w:tc>
        <w:tc>
          <w:tcPr>
            <w:tcW w:w="5760" w:type="dxa"/>
            <w:vAlign w:val="bottom"/>
            <w:gridSpan w:val="11"/>
          </w:tcPr>
          <w:p>
            <w:pPr>
              <w:spacing w:after="0"/>
              <w:rPr>
                <w:rFonts w:ascii="Arial" w:cs="Arial" w:eastAsia="Arial" w:hAnsi="Arial"/>
                <w:sz w:val="16"/>
                <w:szCs w:val="16"/>
                <w:color w:val="0000EE"/>
              </w:rPr>
            </w:pPr>
            <w:hyperlink w:anchor="page64">
              <w:r>
                <w:rPr>
                  <w:rFonts w:ascii="Arial" w:cs="Arial" w:eastAsia="Arial" w:hAnsi="Arial"/>
                  <w:sz w:val="16"/>
                  <w:szCs w:val="16"/>
                  <w:color w:val="0000EE"/>
                </w:rPr>
                <w:t>Certification of Interim Chief Financial Officer required by Rule 13a-14(a) or Rule</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380" w:type="dxa"/>
            <w:vAlign w:val="bottom"/>
            <w:tcBorders>
              <w:top w:val="single" w:sz="8" w:color="0000EE"/>
            </w:tcBorders>
            <w:gridSpan w:val="8"/>
          </w:tcPr>
          <w:p>
            <w:pPr>
              <w:spacing w:after="0" w:line="183" w:lineRule="exact"/>
              <w:rPr>
                <w:rFonts w:ascii="Arial" w:cs="Arial" w:eastAsia="Arial" w:hAnsi="Arial"/>
                <w:sz w:val="16"/>
                <w:szCs w:val="16"/>
                <w:color w:val="0000EE"/>
              </w:rPr>
            </w:pPr>
            <w:hyperlink w:anchor="page64">
              <w:r>
                <w:rPr>
                  <w:rFonts w:ascii="Arial" w:cs="Arial" w:eastAsia="Arial" w:hAnsi="Arial"/>
                  <w:sz w:val="16"/>
                  <w:szCs w:val="16"/>
                  <w:color w:val="0000EE"/>
                </w:rPr>
                <w:t>15d-14(a).</w:t>
              </w:r>
            </w:hyperlink>
          </w:p>
        </w:tc>
        <w:tc>
          <w:tcPr>
            <w:tcW w:w="380" w:type="dxa"/>
            <w:vAlign w:val="bottom"/>
            <w:gridSpan w:val="3"/>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tcPr>
          <w:p>
            <w:pPr>
              <w:jc w:val="right"/>
              <w:ind w:right="260"/>
              <w:spacing w:after="0"/>
              <w:rPr>
                <w:sz w:val="20"/>
                <w:szCs w:val="20"/>
                <w:color w:val="auto"/>
              </w:rPr>
            </w:pPr>
            <w:r>
              <w:rPr>
                <w:rFonts w:ascii="Arial" w:cs="Arial" w:eastAsia="Arial" w:hAnsi="Arial"/>
                <w:sz w:val="16"/>
                <w:szCs w:val="16"/>
                <w:color w:val="auto"/>
              </w:rPr>
              <w:t>32.1*</w:t>
            </w:r>
          </w:p>
        </w:tc>
        <w:tc>
          <w:tcPr>
            <w:tcW w:w="100" w:type="dxa"/>
            <w:vAlign w:val="bottom"/>
          </w:tcPr>
          <w:p>
            <w:pPr>
              <w:spacing w:after="0"/>
              <w:rPr>
                <w:sz w:val="24"/>
                <w:szCs w:val="24"/>
                <w:color w:val="auto"/>
              </w:rPr>
            </w:pPr>
          </w:p>
        </w:tc>
        <w:tc>
          <w:tcPr>
            <w:tcW w:w="5200" w:type="dxa"/>
            <w:vAlign w:val="bottom"/>
            <w:tcBorders>
              <w:bottom w:val="single" w:sz="8" w:color="0000EE"/>
            </w:tcBorders>
            <w:gridSpan w:val="7"/>
          </w:tcPr>
          <w:p>
            <w:pPr>
              <w:spacing w:after="0"/>
              <w:rPr>
                <w:rFonts w:ascii="Arial" w:cs="Arial" w:eastAsia="Arial" w:hAnsi="Arial"/>
                <w:sz w:val="16"/>
                <w:szCs w:val="16"/>
                <w:color w:val="0000EE"/>
                <w:w w:val="93"/>
              </w:rPr>
            </w:pPr>
            <w:hyperlink w:anchor="page65">
              <w:r>
                <w:rPr>
                  <w:rFonts w:ascii="Arial" w:cs="Arial" w:eastAsia="Arial" w:hAnsi="Arial"/>
                  <w:sz w:val="16"/>
                  <w:szCs w:val="16"/>
                  <w:color w:val="0000EE"/>
                  <w:w w:val="93"/>
                </w:rPr>
                <w:t>Certification required by Rule 13a-14(b) or Rule 15d-14(b) and Section 1350 of</w:t>
              </w:r>
            </w:hyperlink>
          </w:p>
        </w:tc>
        <w:tc>
          <w:tcPr>
            <w:tcW w:w="560" w:type="dxa"/>
            <w:vAlign w:val="bottom"/>
            <w:gridSpan w:val="4"/>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bottom w:val="single" w:sz="8" w:color="0000EE"/>
            </w:tcBorders>
            <w:gridSpan w:val="4"/>
          </w:tcPr>
          <w:p>
            <w:pPr>
              <w:spacing w:after="0" w:line="183" w:lineRule="exact"/>
              <w:rPr>
                <w:rFonts w:ascii="Arial" w:cs="Arial" w:eastAsia="Arial" w:hAnsi="Arial"/>
                <w:sz w:val="16"/>
                <w:szCs w:val="16"/>
                <w:color w:val="0000EE"/>
                <w:w w:val="91"/>
              </w:rPr>
            </w:pPr>
            <w:hyperlink w:anchor="page65">
              <w:r>
                <w:rPr>
                  <w:rFonts w:ascii="Arial" w:cs="Arial" w:eastAsia="Arial" w:hAnsi="Arial"/>
                  <w:sz w:val="16"/>
                  <w:szCs w:val="16"/>
                  <w:color w:val="0000EE"/>
                  <w:w w:val="91"/>
                </w:rPr>
                <w:t>Chapter 63 of Title 18 of the United States Code (18 U.S.C. §1350).</w:t>
              </w:r>
            </w:hyperlink>
          </w:p>
        </w:tc>
        <w:tc>
          <w:tcPr>
            <w:tcW w:w="1340" w:type="dxa"/>
            <w:vAlign w:val="bottom"/>
            <w:gridSpan w:val="7"/>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4"/>
        </w:trPr>
        <w:tc>
          <w:tcPr>
            <w:tcW w:w="780" w:type="dxa"/>
            <w:vAlign w:val="bottom"/>
          </w:tcPr>
          <w:p>
            <w:pPr>
              <w:jc w:val="right"/>
              <w:ind w:right="260"/>
              <w:spacing w:after="0"/>
              <w:rPr>
                <w:sz w:val="20"/>
                <w:szCs w:val="20"/>
                <w:color w:val="auto"/>
              </w:rPr>
            </w:pPr>
            <w:r>
              <w:rPr>
                <w:rFonts w:ascii="Arial" w:cs="Arial" w:eastAsia="Arial" w:hAnsi="Arial"/>
                <w:sz w:val="16"/>
                <w:szCs w:val="16"/>
                <w:color w:val="auto"/>
              </w:rPr>
              <w:t>32.2*</w:t>
            </w:r>
          </w:p>
        </w:tc>
        <w:tc>
          <w:tcPr>
            <w:tcW w:w="100" w:type="dxa"/>
            <w:vAlign w:val="bottom"/>
          </w:tcPr>
          <w:p>
            <w:pPr>
              <w:spacing w:after="0"/>
              <w:rPr>
                <w:sz w:val="24"/>
                <w:szCs w:val="24"/>
                <w:color w:val="auto"/>
              </w:rPr>
            </w:pPr>
          </w:p>
        </w:tc>
        <w:tc>
          <w:tcPr>
            <w:tcW w:w="5760" w:type="dxa"/>
            <w:vAlign w:val="bottom"/>
            <w:gridSpan w:val="11"/>
          </w:tcPr>
          <w:p>
            <w:pPr>
              <w:spacing w:after="0"/>
              <w:rPr>
                <w:rFonts w:ascii="Arial" w:cs="Arial" w:eastAsia="Arial" w:hAnsi="Arial"/>
                <w:sz w:val="16"/>
                <w:szCs w:val="16"/>
                <w:color w:val="0000EE"/>
              </w:rPr>
            </w:pPr>
            <w:hyperlink w:anchor="page66">
              <w:r>
                <w:rPr>
                  <w:rFonts w:ascii="Arial" w:cs="Arial" w:eastAsia="Arial" w:hAnsi="Arial"/>
                  <w:sz w:val="16"/>
                  <w:szCs w:val="16"/>
                  <w:color w:val="0000EE"/>
                </w:rPr>
                <w:t>Certification required by Rule 13a-14(b) or Rule 15d-14(b) and Section 1350 of</w:t>
              </w:r>
            </w:hyperlink>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20" w:type="dxa"/>
            <w:vAlign w:val="bottom"/>
            <w:tcBorders>
              <w:top w:val="single" w:sz="8" w:color="0000EE"/>
              <w:bottom w:val="single" w:sz="8" w:color="0000EE"/>
            </w:tcBorders>
            <w:gridSpan w:val="4"/>
          </w:tcPr>
          <w:p>
            <w:pPr>
              <w:spacing w:after="0" w:line="183" w:lineRule="exact"/>
              <w:rPr>
                <w:rFonts w:ascii="Arial" w:cs="Arial" w:eastAsia="Arial" w:hAnsi="Arial"/>
                <w:sz w:val="16"/>
                <w:szCs w:val="16"/>
                <w:color w:val="0000EE"/>
                <w:w w:val="91"/>
              </w:rPr>
            </w:pPr>
            <w:hyperlink w:anchor="page66">
              <w:r>
                <w:rPr>
                  <w:rFonts w:ascii="Arial" w:cs="Arial" w:eastAsia="Arial" w:hAnsi="Arial"/>
                  <w:sz w:val="16"/>
                  <w:szCs w:val="16"/>
                  <w:color w:val="0000EE"/>
                  <w:w w:val="91"/>
                </w:rPr>
                <w:t>Chapter 63 of Title 18 of the United States Code (18 U.S.C. §1350).</w:t>
              </w:r>
            </w:hyperlink>
          </w:p>
        </w:tc>
        <w:tc>
          <w:tcPr>
            <w:tcW w:w="760" w:type="dxa"/>
            <w:vAlign w:val="bottom"/>
            <w:tcBorders>
              <w:top w:val="single" w:sz="8" w:color="0000EE"/>
            </w:tcBorders>
            <w:gridSpan w:val="2"/>
          </w:tcPr>
          <w:p>
            <w:pPr>
              <w:spacing w:after="0"/>
              <w:rPr>
                <w:sz w:val="15"/>
                <w:szCs w:val="15"/>
                <w:color w:val="auto"/>
              </w:rPr>
            </w:pPr>
          </w:p>
        </w:tc>
        <w:tc>
          <w:tcPr>
            <w:tcW w:w="580" w:type="dxa"/>
            <w:vAlign w:val="bottom"/>
            <w:gridSpan w:val="5"/>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5"/>
        </w:trPr>
        <w:tc>
          <w:tcPr>
            <w:tcW w:w="780" w:type="dxa"/>
            <w:vAlign w:val="bottom"/>
          </w:tcPr>
          <w:p>
            <w:pPr>
              <w:spacing w:after="0"/>
              <w:rPr>
                <w:sz w:val="20"/>
                <w:szCs w:val="20"/>
                <w:color w:val="auto"/>
              </w:rPr>
            </w:pPr>
            <w:r>
              <w:rPr>
                <w:rFonts w:ascii="Arial" w:cs="Arial" w:eastAsia="Arial" w:hAnsi="Arial"/>
                <w:sz w:val="16"/>
                <w:szCs w:val="16"/>
                <w:color w:val="auto"/>
              </w:rPr>
              <w:t>101.INS</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Inline XBRL Instance Document – the instance document does not appear in the</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Interactive Date File because XBRL tags are embedded within the Inline XBRL</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document.</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Inline XBRL Taxonomy Extension Schema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Inline XBRL Taxonomy Extension Calculation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Inline XBRL Taxonomy Extension Definition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Inline XBRL Taxonomy Extension Presentation Linkbase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100" w:type="dxa"/>
            <w:vAlign w:val="bottom"/>
          </w:tcPr>
          <w:p>
            <w:pPr>
              <w:spacing w:after="0"/>
              <w:rPr>
                <w:sz w:val="24"/>
                <w:szCs w:val="24"/>
                <w:color w:val="auto"/>
              </w:rPr>
            </w:pPr>
          </w:p>
        </w:tc>
        <w:tc>
          <w:tcPr>
            <w:tcW w:w="5760" w:type="dxa"/>
            <w:vAlign w:val="bottom"/>
            <w:gridSpan w:val="11"/>
          </w:tcPr>
          <w:p>
            <w:pPr>
              <w:spacing w:after="0"/>
              <w:rPr>
                <w:sz w:val="20"/>
                <w:szCs w:val="20"/>
                <w:color w:val="auto"/>
              </w:rPr>
            </w:pPr>
            <w:r>
              <w:rPr>
                <w:rFonts w:ascii="Arial" w:cs="Arial" w:eastAsia="Arial" w:hAnsi="Arial"/>
                <w:sz w:val="16"/>
                <w:szCs w:val="16"/>
                <w:color w:val="auto"/>
              </w:rPr>
              <w:t>Cover Page Interactive Data File (embedded within the Inline XBRL document)</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color w:val="auto"/>
              </w:rPr>
              <w:t>X</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6769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676910" cy="8890"/>
                    </a:xfrm>
                    <a:prstGeom prst="rect">
                      <a:avLst/>
                    </a:prstGeom>
                    <a:noFill/>
                  </pic:spPr>
                </pic:pic>
              </a:graphicData>
            </a:graphic>
          </wp:anchor>
        </w:drawing>
      </w:r>
    </w:p>
    <w:p>
      <w:pPr>
        <w:spacing w:after="0" w:line="206" w:lineRule="exact"/>
        <w:rPr>
          <w:sz w:val="20"/>
          <w:szCs w:val="20"/>
          <w:color w:val="auto"/>
        </w:rPr>
      </w:pPr>
    </w:p>
    <w:p>
      <w:pPr>
        <w:ind w:left="500" w:right="20" w:hanging="492"/>
        <w:spacing w:after="0" w:line="273" w:lineRule="auto"/>
        <w:tabs>
          <w:tab w:leader="none" w:pos="5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certifications attached as Exhibit 32.1 and Exhibit 32.2 that accompany this Quarterly Report on Form 10-Q are not deemed filed with the Securities and Exchange Commission and are not to be incorporated by reference into any filing of Synlogic, Inc. under the Securities Act of 1933, as amended, or the Securities Exchange Act of 1934, as amended (whether made before or after the date of such Form 10-Q), irrespective of any general incorporation language contained in such filing.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SYNLOGIC, INC.</w:t>
      </w:r>
    </w:p>
    <w:p>
      <w:pPr>
        <w:spacing w:after="0" w:line="25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2"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Interim 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(Principal Financial Officer and Principal Accounting</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80"/>
          </w:cols>
          <w:pgMar w:left="320" w:top="364" w:right="3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Aoife Brennan, certify that:</w:t>
      </w:r>
    </w:p>
    <w:p>
      <w:pPr>
        <w:spacing w:after="0" w:line="225" w:lineRule="exact"/>
        <w:rPr>
          <w:sz w:val="20"/>
          <w:szCs w:val="20"/>
          <w:color w:val="auto"/>
        </w:rPr>
      </w:pPr>
    </w:p>
    <w:p>
      <w:pPr>
        <w:ind w:left="500" w:hanging="492"/>
        <w:spacing w:after="0"/>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351"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RULES 13a-14(a) OR 15d-14(a) UNDER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Gregg Beloff, certify that:</w:t>
      </w:r>
    </w:p>
    <w:p>
      <w:pPr>
        <w:spacing w:after="0" w:line="225"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Synlogic, Inc. (the “registrant”);</w:t>
      </w:r>
    </w:p>
    <w:p>
      <w:pPr>
        <w:spacing w:after="0" w:line="225" w:lineRule="exact"/>
        <w:rPr>
          <w:rFonts w:ascii="Arial" w:cs="Arial" w:eastAsia="Arial" w:hAnsi="Arial"/>
          <w:sz w:val="18"/>
          <w:szCs w:val="18"/>
          <w:color w:val="auto"/>
        </w:rPr>
      </w:pPr>
    </w:p>
    <w:p>
      <w:pPr>
        <w:jc w:val="both"/>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20" w:hanging="492"/>
        <w:spacing w:after="0" w:line="308" w:lineRule="auto"/>
        <w:tabs>
          <w:tab w:leader="none" w:pos="5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500" w:right="260" w:hanging="492"/>
        <w:spacing w:after="0" w:line="263" w:lineRule="auto"/>
        <w:tabs>
          <w:tab w:leader="none" w:pos="5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000" w:right="20" w:hanging="493"/>
        <w:spacing w:after="0" w:line="263" w:lineRule="auto"/>
        <w:tabs>
          <w:tab w:leader="none" w:pos="1000" w:val="left"/>
        </w:tabs>
        <w:numPr>
          <w:ilvl w:val="2"/>
          <w:numId w:val="4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040" w:right="320" w:hanging="573"/>
        <w:spacing w:after="0" w:line="263" w:lineRule="auto"/>
        <w:tabs>
          <w:tab w:leader="none" w:pos="1040" w:val="left"/>
        </w:tabs>
        <w:numPr>
          <w:ilvl w:val="1"/>
          <w:numId w:val="4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000" w:right="500" w:hanging="493"/>
        <w:spacing w:after="0" w:line="342" w:lineRule="auto"/>
        <w:tabs>
          <w:tab w:leader="none" w:pos="1000" w:val="left"/>
        </w:tabs>
        <w:numPr>
          <w:ilvl w:val="2"/>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00" w:right="20" w:hanging="493"/>
        <w:spacing w:after="0" w:line="263" w:lineRule="auto"/>
        <w:tabs>
          <w:tab w:leader="none" w:pos="1000" w:val="left"/>
        </w:tabs>
        <w:numPr>
          <w:ilvl w:val="2"/>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160" w:hanging="492"/>
        <w:spacing w:after="0" w:line="308" w:lineRule="auto"/>
        <w:tabs>
          <w:tab w:leader="none" w:pos="50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00" w:right="740" w:hanging="493"/>
        <w:spacing w:after="0" w:line="342" w:lineRule="auto"/>
        <w:tabs>
          <w:tab w:leader="none" w:pos="1000" w:val="left"/>
        </w:tabs>
        <w:numPr>
          <w:ilvl w:val="2"/>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000" w:right="440" w:hanging="493"/>
        <w:spacing w:after="0" w:line="277" w:lineRule="auto"/>
        <w:tabs>
          <w:tab w:leader="none" w:pos="1000" w:val="left"/>
        </w:tabs>
        <w:numPr>
          <w:ilvl w:val="2"/>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10, 2021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56616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ectPr>
          <w:pgSz w:w="11900" w:h="16838" w:orient="portrait"/>
          <w:cols w:equalWidth="0" w:num="1">
            <w:col w:w="11240"/>
          </w:cols>
          <w:pgMar w:left="320" w:top="351"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September 30, 2021 as filed with the Securities and Exchange Commission on the date hereof (the “Report”), I, Aoife Brennan, President and Chief Executive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AOIFE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Aoife Brennan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2021</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510"/>
        <w:spacing w:after="0" w:line="286" w:lineRule="auto"/>
        <w:rPr>
          <w:sz w:val="20"/>
          <w:szCs w:val="20"/>
          <w:color w:val="auto"/>
        </w:rPr>
      </w:pPr>
      <w:r>
        <w:rPr>
          <w:rFonts w:ascii="Arial" w:cs="Arial" w:eastAsia="Arial" w:hAnsi="Arial"/>
          <w:sz w:val="17"/>
          <w:szCs w:val="17"/>
          <w:color w:val="auto"/>
        </w:rPr>
        <w:t>In connection with the Quarterly Report of Synlogic, Inc. (the “Company”) on Form 10-Q for the period ended September 30, 2021 as filed with the Securities and Exchange Commission on the date hereof (the “Report”), I, Gregg Beloff, Interim Chief Financial Officer of the Company, certify, pursuant to 18 U.S.C. Section 1350, as adopted pursuant to Section 906 of the Sarbanes-Oxley Act of 2002, to my knowledge that:</w:t>
      </w:r>
    </w:p>
    <w:p>
      <w:pPr>
        <w:spacing w:after="0" w:line="57"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128" w:lineRule="exact"/>
        <w:rPr>
          <w:rFonts w:ascii="Arial" w:cs="Arial" w:eastAsia="Arial" w:hAnsi="Arial"/>
          <w:sz w:val="17"/>
          <w:szCs w:val="17"/>
          <w:color w:val="auto"/>
        </w:rPr>
      </w:pPr>
    </w:p>
    <w:p>
      <w:pPr>
        <w:ind w:left="1000" w:right="560" w:hanging="493"/>
        <w:spacing w:after="0" w:line="277" w:lineRule="auto"/>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GREGG BELOFF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88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4886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Gregg Beloff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November 10, 2021</w:t>
      </w:r>
    </w:p>
    <w:p>
      <w:pPr>
        <w:spacing w:after="0" w:line="117" w:lineRule="exact"/>
        <w:rPr>
          <w:sz w:val="20"/>
          <w:szCs w:val="20"/>
          <w:color w:val="auto"/>
        </w:rPr>
      </w:pPr>
    </w:p>
    <w:p>
      <w:pPr>
        <w:ind w:right="360" w:firstLine="51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
      <w:numFmt w:val="bullet"/>
      <w:start w:val="1"/>
    </w:lvl>
  </w:abstractNum>
  <w:abstractNum w:abstractNumId="3">
    <w:nsid w:val="B03E0C6"/>
    <w:multiLevelType w:val="hybridMultilevel"/>
    <w:lvl w:ilvl="0">
      <w:lvlJc w:val="left"/>
      <w:lvlText w:val="(%1)"/>
      <w:numFmt w:val="decimal"/>
      <w:start w:val="2"/>
    </w:lvl>
  </w:abstractNum>
  <w:abstractNum w:abstractNumId="4">
    <w:nsid w:val="189A769B"/>
    <w:multiLevelType w:val="hybridMultilevel"/>
    <w:lvl w:ilvl="0">
      <w:lvlJc w:val="left"/>
      <w:lvlText w:val="(%1)"/>
      <w:numFmt w:val="decimal"/>
      <w:start w:val="3"/>
    </w:lvl>
  </w:abstractNum>
  <w:abstractNum w:abstractNumId="5">
    <w:nsid w:val="54E49EB4"/>
    <w:multiLevelType w:val="hybridMultilevel"/>
    <w:lvl w:ilvl="0">
      <w:lvlJc w:val="left"/>
      <w:lvlText w:val="(%1)"/>
      <w:numFmt w:val="decimal"/>
      <w:start w:val="4"/>
    </w:lvl>
  </w:abstractNum>
  <w:abstractNum w:abstractNumId="6">
    <w:nsid w:val="71F32454"/>
    <w:multiLevelType w:val="hybridMultilevel"/>
    <w:lvl w:ilvl="0">
      <w:lvlJc w:val="left"/>
      <w:lvlText w:val="(%1)"/>
      <w:numFmt w:val="decimal"/>
      <w:start w:val="5"/>
    </w:lvl>
  </w:abstractNum>
  <w:abstractNum w:abstractNumId="7">
    <w:nsid w:val="2CA88611"/>
    <w:multiLevelType w:val="hybridMultilevel"/>
    <w:lvl w:ilvl="0">
      <w:lvlJc w:val="left"/>
      <w:lvlText w:val="(%1)"/>
      <w:numFmt w:val="decimal"/>
      <w:start w:val="6"/>
    </w:lvl>
  </w:abstractNum>
  <w:abstractNum w:abstractNumId="8">
    <w:nsid w:val="836C40E"/>
    <w:multiLevelType w:val="hybridMultilevel"/>
    <w:lvl w:ilvl="0">
      <w:lvlJc w:val="left"/>
      <w:lvlText w:val="(%1)"/>
      <w:numFmt w:val="decimal"/>
      <w:start w:val="7"/>
    </w:lvl>
  </w:abstractNum>
  <w:abstractNum w:abstractNumId="9">
    <w:nsid w:val="2901D82"/>
    <w:multiLevelType w:val="hybridMultilevel"/>
    <w:lvl w:ilvl="0">
      <w:lvlJc w:val="left"/>
      <w:lvlText w:val="(%1)"/>
      <w:numFmt w:val="lowerLetter"/>
      <w:start w:val="1"/>
    </w:lvl>
  </w:abstractNum>
  <w:abstractNum w:abstractNumId="10">
    <w:nsid w:val="3A95F874"/>
    <w:multiLevelType w:val="hybridMultilevel"/>
    <w:lvl w:ilvl="0">
      <w:lvlJc w:val="left"/>
      <w:lvlText w:val="(%1)"/>
      <w:numFmt w:val="decimal"/>
      <w:start w:val="9"/>
    </w:lvl>
  </w:abstractNum>
  <w:abstractNum w:abstractNumId="11">
    <w:nsid w:val="8138641"/>
    <w:multiLevelType w:val="hybridMultilevel"/>
    <w:lvl w:ilvl="0">
      <w:lvlJc w:val="left"/>
      <w:lvlText w:val="(%1)"/>
      <w:numFmt w:val="decimal"/>
      <w:start w:val="10"/>
    </w:lvl>
  </w:abstractNum>
  <w:abstractNum w:abstractNumId="12">
    <w:nsid w:val="1E7FF521"/>
    <w:multiLevelType w:val="hybridMultilevel"/>
    <w:lvl w:ilvl="0">
      <w:lvlJc w:val="left"/>
      <w:lvlText w:val="(%1)"/>
      <w:numFmt w:val="decimal"/>
      <w:start w:val="11"/>
    </w:lvl>
  </w:abstractNum>
  <w:abstractNum w:abstractNumId="13">
    <w:nsid w:val="7C3DBD3D"/>
    <w:multiLevelType w:val="hybridMultilevel"/>
    <w:lvl w:ilvl="0">
      <w:lvlJc w:val="left"/>
      <w:lvlText w:val="(%1)"/>
      <w:numFmt w:val="decimal"/>
      <w:start w:val="12"/>
    </w:lvl>
  </w:abstractNum>
  <w:abstractNum w:abstractNumId="14">
    <w:nsid w:val="737B8DDC"/>
    <w:multiLevelType w:val="hybridMultilevel"/>
    <w:lvl w:ilvl="0">
      <w:lvlJc w:val="left"/>
      <w:lvlText w:val="•"/>
      <w:numFmt w:val="bullet"/>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
      <w:numFmt w:val="bullet"/>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
      <w:numFmt w:val="bullet"/>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
      <w:numFmt w:val="bullet"/>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
      <w:numFmt w:val="bullet"/>
      <w:start w:val="1"/>
    </w:lvl>
  </w:abstractNum>
  <w:abstractNum w:abstractNumId="32">
    <w:nsid w:val="580BD78F"/>
    <w:multiLevelType w:val="hybridMultilevel"/>
    <w:lvl w:ilvl="0">
      <w:lvlJc w:val="left"/>
      <w:lvlText w:val="•"/>
      <w:numFmt w:val="bullet"/>
      <w:start w:val="1"/>
    </w:lvl>
  </w:abstractNum>
  <w:abstractNum w:abstractNumId="33">
    <w:nsid w:val="153EA438"/>
    <w:multiLevelType w:val="hybridMultilevel"/>
    <w:lvl w:ilvl="0">
      <w:lvlJc w:val="left"/>
      <w:lvlText w:val="•"/>
      <w:numFmt w:val="bullet"/>
      <w:start w:val="1"/>
    </w:lvl>
  </w:abstractNum>
  <w:abstractNum w:abstractNumId="34">
    <w:nsid w:val="3855585C"/>
    <w:multiLevelType w:val="hybridMultilevel"/>
    <w:lvl w:ilvl="0">
      <w:lvlJc w:val="left"/>
      <w:lvlText w:val="•"/>
      <w:numFmt w:val="bullet"/>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
      <w:numFmt w:val="bullet"/>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
      <w:numFmt w:val="bullet"/>
      <w:start w:val="1"/>
    </w:lvl>
  </w:abstractNum>
  <w:abstractNum w:abstractNumId="40">
    <w:nsid w:val="2CD89A3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1">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2">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3">
    <w:nsid w:val="4B588F5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4">
    <w:nsid w:val="542289E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45">
    <w:nsid w:val="6DE91B1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46">
    <w:nsid w:val="38437FDB"/>
    <w:multiLevelType w:val="hybridMultilevel"/>
    <w:lvl w:ilvl="0">
      <w:lvlJc w:val="left"/>
      <w:lvlText w:val="(%1)"/>
      <w:numFmt w:val="decimal"/>
      <w:start w:val="1"/>
    </w:lvl>
  </w:abstractNum>
  <w:abstractNum w:abstractNumId="47">
    <w:nsid w:val="7644A45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79" Type="http://schemas.openxmlformats.org/officeDocument/2006/relationships/hyperlink" Target="http://www.sec.gov/Archives/edgar/data/0001527599/000119312521223153/d84783ds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2021-11-10T05:40:12Z</dcterms:created>
  <dcterms:modified xsi:type="dcterms:W3CDTF">2021-11-10T05:40:12Z</dcterms:modified>
</cp:coreProperties>
</file>