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00" w:right="240" w:hanging="492"/>
        <w:spacing w:after="0" w:line="245"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-295910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ind w:left="500" w:hanging="492"/>
        <w:spacing w:after="0" w:line="183" w:lineRule="auto"/>
        <w:tabs>
          <w:tab w:leader="none" w:pos="5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95" w:lineRule="exact"/>
        <w:rPr>
          <w:sz w:val="24"/>
          <w:szCs w:val="24"/>
          <w:color w:val="auto"/>
        </w:rPr>
      </w:pPr>
    </w:p>
    <w:p>
      <w:pPr>
        <w:ind w:left="50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1934 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tbl>
      <w:tblPr>
        <w:tblLayout w:type="fixed"/>
        <w:tblInd w:w="10" w:type="dxa"/>
        <w:tblCellMar>
          <w:top w:w="0" w:type="dxa"/>
          <w:left w:w="0" w:type="dxa"/>
          <w:bottom w:w="0" w:type="dxa"/>
          <w:right w:w="0" w:type="dxa"/>
        </w:tblCellMar>
      </w:tblPr>
      <w:tr>
        <w:trPr>
          <w:trHeight w:val="529"/>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jc w:val="center"/>
              <w:ind w:left="15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60" w:type="dxa"/>
            <w:vAlign w:val="bottom"/>
            <w:vMerge w:val="restart"/>
          </w:tcPr>
          <w:p>
            <w:pPr>
              <w:jc w:val="right"/>
              <w:ind w:right="2060"/>
              <w:spacing w:after="0"/>
              <w:rPr>
                <w:sz w:val="20"/>
                <w:szCs w:val="20"/>
                <w:color w:val="auto"/>
              </w:rPr>
            </w:pPr>
            <w:r>
              <w:rPr>
                <w:rFonts w:ascii="Times New Roman" w:cs="Times New Roman" w:eastAsia="Times New Roman" w:hAnsi="Times New Roman"/>
                <w:sz w:val="18"/>
                <w:szCs w:val="18"/>
                <w:b w:val="1"/>
                <w:bCs w:val="1"/>
                <w:color w:val="auto"/>
              </w:rPr>
              <w:t>26-1824804</w:t>
            </w:r>
          </w:p>
        </w:tc>
        <w:tc>
          <w:tcPr>
            <w:tcW w:w="0" w:type="dxa"/>
            <w:vAlign w:val="bottom"/>
          </w:tcPr>
          <w:p>
            <w:pPr>
              <w:spacing w:after="0"/>
              <w:rPr>
                <w:sz w:val="1"/>
                <w:szCs w:val="1"/>
                <w:color w:val="auto"/>
              </w:rPr>
            </w:pPr>
          </w:p>
        </w:tc>
      </w:tr>
      <w:tr>
        <w:trPr>
          <w:trHeight w:val="185"/>
        </w:trPr>
        <w:tc>
          <w:tcPr>
            <w:tcW w:w="3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60" w:type="dxa"/>
            <w:vAlign w:val="bottom"/>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02142</w:t>
            </w:r>
          </w:p>
        </w:tc>
        <w:tc>
          <w:tcPr>
            <w:tcW w:w="0" w:type="dxa"/>
            <w:vAlign w:val="bottom"/>
          </w:tcPr>
          <w:p>
            <w:pPr>
              <w:spacing w:after="0"/>
              <w:rPr>
                <w:sz w:val="1"/>
                <w:szCs w:val="1"/>
                <w:color w:val="auto"/>
              </w:rPr>
            </w:pPr>
          </w:p>
        </w:tc>
      </w:tr>
      <w:tr>
        <w:trPr>
          <w:trHeight w:val="151"/>
        </w:trPr>
        <w:tc>
          <w:tcPr>
            <w:tcW w:w="7880" w:type="dxa"/>
            <w:vAlign w:val="bottom"/>
            <w:gridSpan w:val="6"/>
          </w:tcPr>
          <w:p>
            <w:pPr>
              <w:jc w:val="center"/>
              <w:ind w:right="2700"/>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60" w:type="dxa"/>
            <w:vAlign w:val="bottom"/>
          </w:tcPr>
          <w:p>
            <w:pPr>
              <w:jc w:val="center"/>
              <w:ind w:right="1700"/>
              <w:spacing w:after="0" w:line="151"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6"/>
                <w:szCs w:val="16"/>
                <w:color w:val="auto"/>
              </w:rPr>
              <w:t>Trading Symbol</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Times New Roman" w:cs="Times New Roman" w:eastAsia="Times New Roman" w:hAnsi="Times New Roman"/>
                <w:sz w:val="16"/>
                <w:szCs w:val="16"/>
                <w:color w:val="auto"/>
              </w:rPr>
              <w:t>Name of exchange on which registered</w:t>
            </w: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ind w:right="38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2"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66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29, 2020, there were 34,833,584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89" w:lineRule="exact"/>
        <w:rPr>
          <w:sz w:val="20"/>
          <w:szCs w:val="20"/>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17"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in manufacturing products, as well as agreements with third-party manufacturers;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00" w:right="5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major public health concerns, including the novel coronavirus outbreak or other pandemics arising globally, and the current and future impact of it and COVID-19 on our clinical trials, business operations and funding requirements;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20" w:type="dxa"/>
            <w:vAlign w:val="bottom"/>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58"/>
        </w:trPr>
        <w:tc>
          <w:tcPr>
            <w:tcW w:w="10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20" w:type="dxa"/>
            <w:vAlign w:val="bottom"/>
          </w:tcPr>
          <w:p>
            <w:pPr>
              <w:spacing w:after="0"/>
              <w:rPr>
                <w:sz w:val="24"/>
                <w:szCs w:val="24"/>
                <w:color w:val="auto"/>
              </w:rPr>
            </w:pPr>
          </w:p>
        </w:tc>
      </w:tr>
      <w:tr>
        <w:trPr>
          <w:trHeight w:val="338"/>
        </w:trPr>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020" w:type="dxa"/>
            <w:vAlign w:val="bottom"/>
          </w:tcPr>
          <w:p>
            <w:pPr>
              <w:spacing w:after="0"/>
              <w:rPr>
                <w:sz w:val="24"/>
                <w:szCs w:val="24"/>
                <w:color w:val="auto"/>
              </w:rPr>
            </w:pPr>
          </w:p>
        </w:tc>
      </w:tr>
      <w:tr>
        <w:trPr>
          <w:trHeight w:val="338"/>
        </w:trPr>
        <w:tc>
          <w:tcPr>
            <w:tcW w:w="10220" w:type="dxa"/>
            <w:vAlign w:val="bottom"/>
          </w:tcPr>
          <w:p>
            <w:pPr>
              <w:ind w:left="6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Consolidated Balance Sheets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8"/>
        </w:trPr>
        <w:tc>
          <w:tcPr>
            <w:tcW w:w="10220" w:type="dxa"/>
            <w:vAlign w:val="bottom"/>
          </w:tcPr>
          <w:p>
            <w:pPr>
              <w:ind w:left="6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Unaudited Consolidated Statements of Operations and Comprehensive Loss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38"/>
        </w:trPr>
        <w:tc>
          <w:tcPr>
            <w:tcW w:w="10220" w:type="dxa"/>
            <w:vAlign w:val="bottom"/>
          </w:tcPr>
          <w:p>
            <w:pPr>
              <w:ind w:left="60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Consolidated Statements of Stockholders’ Equity</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38"/>
        </w:trPr>
        <w:tc>
          <w:tcPr>
            <w:tcW w:w="10220" w:type="dxa"/>
            <w:vAlign w:val="bottom"/>
          </w:tcPr>
          <w:p>
            <w:pPr>
              <w:ind w:left="60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Unaudited Consolidated Statements of Cash Flows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38"/>
        </w:trPr>
        <w:tc>
          <w:tcPr>
            <w:tcW w:w="10220" w:type="dxa"/>
            <w:vAlign w:val="bottom"/>
          </w:tcPr>
          <w:p>
            <w:pPr>
              <w:ind w:left="60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Unaudited Consolidated Financial Statements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4. Controls and Procedures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38"/>
        </w:trPr>
        <w:tc>
          <w:tcPr>
            <w:tcW w:w="10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20" w:type="dxa"/>
            <w:vAlign w:val="bottom"/>
          </w:tcPr>
          <w:p>
            <w:pPr>
              <w:spacing w:after="0"/>
              <w:rPr>
                <w:sz w:val="24"/>
                <w:szCs w:val="24"/>
                <w:color w:val="auto"/>
              </w:rPr>
            </w:pP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1. Legal Proceedings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1A. Risk Factors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Item 3. Defaults Upon Senior Securities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Item 4. Mine Safety Disclosures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Item 5. Other Information</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37"/>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Item 6. Exhibits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38"/>
        </w:trPr>
        <w:tc>
          <w:tcPr>
            <w:tcW w:w="10220" w:type="dxa"/>
            <w:vAlign w:val="bottom"/>
          </w:tcPr>
          <w:p>
            <w:pPr>
              <w:ind w:left="26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Signatures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195"/>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28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148,352</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250,000,000 shares authorized as of September 30, 2020 and December 31, 2019.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34,672,052 and 32,266,814 shares issued and outstanding as of September 30, 2020 and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336,106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(215,723)</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(171,138)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120,497</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148,352</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55"/>
        </w:trPr>
        <w:tc>
          <w:tcPr>
            <w:tcW w:w="4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31"/>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120" w:type="dxa"/>
            <w:vAlign w:val="bottom"/>
            <w:shd w:val="clear" w:color="auto" w:fill="CFF0FC"/>
          </w:tcPr>
          <w:p>
            <w:pPr>
              <w:spacing w:after="0"/>
              <w:rPr>
                <w:sz w:val="19"/>
                <w:szCs w:val="19"/>
                <w:color w:val="auto"/>
              </w:rPr>
            </w:pPr>
          </w:p>
        </w:tc>
      </w:tr>
      <w:tr>
        <w:trPr>
          <w:trHeight w:val="229"/>
        </w:trPr>
        <w:tc>
          <w:tcPr>
            <w:tcW w:w="4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2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(40,930)</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Pr>
          <w:p>
            <w:pPr>
              <w:spacing w:after="0"/>
              <w:rPr>
                <w:sz w:val="19"/>
                <w:szCs w:val="19"/>
                <w:color w:val="auto"/>
              </w:rPr>
            </w:pPr>
          </w:p>
        </w:tc>
      </w:tr>
      <w:tr>
        <w:trPr>
          <w:trHeight w:val="229"/>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(44,585)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(38,575)</w:t>
            </w:r>
          </w:p>
        </w:tc>
      </w:tr>
      <w:tr>
        <w:trPr>
          <w:trHeight w:val="210"/>
        </w:trPr>
        <w:tc>
          <w:tcPr>
            <w:tcW w:w="46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r>
      <w:tr>
        <w:trPr>
          <w:trHeight w:val="211"/>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Weighted-average common stock outstanding - basic and</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36,297,780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34,213,096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35,174,203</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28,956,280</w:t>
            </w:r>
          </w:p>
        </w:tc>
        <w:tc>
          <w:tcPr>
            <w:tcW w:w="120" w:type="dxa"/>
            <w:vAlign w:val="bottom"/>
            <w:shd w:val="clear" w:color="auto" w:fill="CFF0FC"/>
          </w:tcPr>
          <w:p>
            <w:pPr>
              <w:spacing w:after="0"/>
              <w:rPr>
                <w:sz w:val="20"/>
                <w:szCs w:val="20"/>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(13,222)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(13,285)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(44,585)</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(38,575)</w:t>
            </w:r>
          </w:p>
        </w:tc>
      </w:tr>
      <w:tr>
        <w:trPr>
          <w:trHeight w:val="230"/>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SYNLOGIC, INC. AND SUBSIDIARIES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Consolidated Statements of Stockholders’ Equity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980" w:type="dxa"/>
            <w:vAlign w:val="bottom"/>
            <w:gridSpan w:val="4"/>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$0.001 par value</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5"/>
        </w:trPr>
        <w:tc>
          <w:tcPr>
            <w:tcW w:w="40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3040" w:type="dxa"/>
            <w:vAlign w:val="bottom"/>
            <w:tcBorders>
              <w:top w:val="single" w:sz="8" w:color="auto"/>
              <w:bottom w:val="single" w:sz="8" w:color="auto"/>
            </w:tcBorders>
            <w:gridSpan w:val="11"/>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2020</w:t>
            </w:r>
          </w:p>
        </w:tc>
        <w:tc>
          <w:tcPr>
            <w:tcW w:w="9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June 30, 2020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34,145,111</w:t>
            </w: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3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333,925</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(202,501)</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131,672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issuance of common stock in connection with at-the-</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market offering, net of issuance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533,711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(37,351)</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Unrealized loss on securities</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(13,222)</w:t>
            </w: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(13,222)</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September 30, 2020</w:t>
            </w: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tcBorders>
              <w:bottom w:val="single" w:sz="8" w:color="CFF0FC"/>
            </w:tcBorders>
            <w:vMerge w:val="continue"/>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34,672,052</w:t>
            </w:r>
          </w:p>
        </w:tc>
        <w:tc>
          <w:tcPr>
            <w:tcW w:w="14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336,106</w:t>
            </w:r>
          </w:p>
        </w:tc>
        <w:tc>
          <w:tcPr>
            <w:tcW w:w="1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(215,723)</w:t>
            </w: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120,497</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11"/>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11"/>
          </w:tcPr>
          <w:p>
            <w:pPr>
              <w:jc w:val="center"/>
              <w:ind w:left="53"/>
              <w:spacing w:after="0" w:line="143" w:lineRule="exact"/>
              <w:rPr>
                <w:sz w:val="20"/>
                <w:szCs w:val="20"/>
                <w:color w:val="auto"/>
              </w:rPr>
            </w:pPr>
            <w:r>
              <w:rPr>
                <w:rFonts w:ascii="Times New Roman" w:cs="Times New Roman" w:eastAsia="Times New Roman" w:hAnsi="Times New Roman"/>
                <w:sz w:val="13"/>
                <w:szCs w:val="13"/>
                <w:b w:val="1"/>
                <w:bCs w:val="1"/>
                <w:color w:val="auto"/>
              </w:rPr>
              <w:t>For the Three Months Ended September 30, 2019</w:t>
            </w: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June 30, 2019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31,719,719</w:t>
            </w: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3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325,778</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(145,055)</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180,823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585,600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(14,505)</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Adjustment to accrued common stock issuance costs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securities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(13,285)</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(13,285)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September 30, 2019</w:t>
            </w: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32,290,814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326,860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(158,340)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168,667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11"/>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11"/>
          </w:tcPr>
          <w:p>
            <w:pPr>
              <w:jc w:val="center"/>
              <w:ind w:left="33"/>
              <w:spacing w:after="0" w:line="143" w:lineRule="exact"/>
              <w:rPr>
                <w:sz w:val="20"/>
                <w:szCs w:val="20"/>
                <w:color w:val="auto"/>
              </w:rPr>
            </w:pPr>
            <w:r>
              <w:rPr>
                <w:rFonts w:ascii="Times New Roman" w:cs="Times New Roman" w:eastAsia="Times New Roman" w:hAnsi="Times New Roman"/>
                <w:sz w:val="13"/>
                <w:szCs w:val="13"/>
                <w:b w:val="1"/>
                <w:bCs w:val="1"/>
                <w:color w:val="auto"/>
              </w:rPr>
              <w:t>For the Nine Months Ended September 30, 2020</w:t>
            </w: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December 31, 2019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32,266,814</w:t>
            </w: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3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327,900</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(171,138)</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156,905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issuance of common stock in connection with at-the-</w:t>
            </w: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market offering, net of issuance costs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2,312,693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(164,371)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securities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(44,585)</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(44,585)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September 30, 2020</w:t>
            </w: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vMerge w:val="continue"/>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34,672,052</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336,106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(215,723)</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120,497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11"/>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11"/>
          </w:tcPr>
          <w:p>
            <w:pPr>
              <w:jc w:val="center"/>
              <w:ind w:left="33"/>
              <w:spacing w:after="0" w:line="143" w:lineRule="exact"/>
              <w:rPr>
                <w:sz w:val="20"/>
                <w:szCs w:val="20"/>
                <w:color w:val="auto"/>
              </w:rPr>
            </w:pPr>
            <w:r>
              <w:rPr>
                <w:rFonts w:ascii="Times New Roman" w:cs="Times New Roman" w:eastAsia="Times New Roman" w:hAnsi="Times New Roman"/>
                <w:sz w:val="13"/>
                <w:szCs w:val="13"/>
                <w:b w:val="1"/>
                <w:bCs w:val="1"/>
                <w:color w:val="auto"/>
              </w:rPr>
              <w:t>For the Nine Months Ended September 30, 2019</w:t>
            </w: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December 31, 2018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25,401,479</w:t>
            </w: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3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243,903</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(119,765)</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124,098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585,600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issuance of common stock, net of issuance costs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6,340,771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56,990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pre-funded common stock warrants, net of issuance</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costs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(37,036)</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Unrealized gain on securities</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(38,575)</w:t>
            </w: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(38,575)</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September 30, 2019</w:t>
            </w: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32,290,814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326,860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(158,340)</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168,667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unaudited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Consolidated Statements of Cash Flows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117" w:right="339" w:bottom="1440" w:gutter="0" w:footer="0" w:header="0"/>
        </w:sectPr>
      </w:pPr>
    </w:p>
    <w:p>
      <w:pPr>
        <w:spacing w:after="0" w:line="30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7620</wp:posOffset>
            </wp:positionV>
            <wp:extent cx="1062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7620</wp:posOffset>
            </wp:positionV>
            <wp:extent cx="10883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1" w:lineRule="exact"/>
        <w:rPr>
          <w:sz w:val="20"/>
          <w:szCs w:val="20"/>
          <w:color w:val="auto"/>
        </w:rPr>
      </w:pPr>
    </w:p>
    <w:p>
      <w:pPr>
        <w:sectPr>
          <w:pgSz w:w="11900" w:h="16838" w:orient="portrait"/>
          <w:cols w:equalWidth="0" w:num="2">
            <w:col w:w="8920" w:space="720"/>
            <w:col w:w="16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(44,585)</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(38,575)</w:t>
            </w: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(1,177)</w:t>
            </w:r>
          </w:p>
        </w:tc>
      </w:tr>
      <w:tr>
        <w:trPr>
          <w:trHeight w:val="229"/>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Reduction in carrying amount of operating lease right-of-use asset</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(9,444)</w:t>
            </w:r>
          </w:p>
        </w:tc>
      </w:tr>
      <w:tr>
        <w:trPr>
          <w:trHeight w:val="229"/>
        </w:trPr>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(20,571)</w:t>
            </w:r>
          </w:p>
        </w:tc>
      </w:tr>
      <w:tr>
        <w:trPr>
          <w:trHeight w:val="230"/>
        </w:trPr>
        <w:tc>
          <w:tcPr>
            <w:tcW w:w="7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(1,843)</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(1,419)</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(1,407)</w:t>
            </w:r>
          </w:p>
        </w:tc>
      </w:tr>
      <w:tr>
        <w:trPr>
          <w:trHeight w:val="230"/>
        </w:trPr>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(52,726)</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(129,517)</w:t>
            </w: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61,736</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131,146</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redemption of marketable securities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16,747</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w:t>
            </w:r>
          </w:p>
        </w:tc>
        <w:tc>
          <w:tcPr>
            <w:tcW w:w="5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w:t>
            </w: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3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r>
      <w:tr>
        <w:trPr>
          <w:trHeight w:val="211"/>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costs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employee stock purchases and exercise of stock options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56,997</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pre-funded common stock warrants, net of issuance costs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22,874</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0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3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3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92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Assets acquired under operating lease obligation</w:t>
            </w:r>
          </w:p>
        </w:tc>
        <w:tc>
          <w:tcPr>
            <w:tcW w:w="920" w:type="dxa"/>
            <w:vAlign w:val="bottom"/>
            <w:gridSpan w:val="2"/>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costs included in accounts payable and accrued expenses</w:t>
            </w:r>
          </w:p>
        </w:tc>
        <w:tc>
          <w:tcPr>
            <w:tcW w:w="920" w:type="dxa"/>
            <w:vAlign w:val="bottom"/>
            <w:gridSpan w:val="2"/>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r>
      <w:tr>
        <w:trPr>
          <w:trHeight w:val="234"/>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Synlogic, Inc., together with its wholly owned and consolidated subsidiaries (“Synlogic” or the “Company”), is a clinical-stage biopharmaceutical company focused on the discovery and development of Synthetic Biotic™ medicines. Synthetic Biotic medicines are generated from Synlogic’s proprietary drug discovery and development platform, leveraging a reproducible, modular approach to microbial engineering to develop beneficial microbes which perform or deliver critical therapeutic functions. Synthetic Biotic medicines can be designed to sense a local disease context within a patient’s body and respond by metabolizing a toxic substance, compensating for missing or damaged metabolic pathways, or by delivering combinations of therapeutic factors. Synlogic’s goal is to discover, develop, and, ultimately, commercialize Synthetic Biotic medicines. Since incorporation, the Company has devoted substantially all of its efforts to the research and development of its product candidates.</w:t>
      </w:r>
    </w:p>
    <w:p>
      <w:pPr>
        <w:spacing w:after="0" w:line="18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 xml:space="preserve">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(the “2015 Reorganization”). In conjunction with the 2015 Reorganization, Private Synlogic entered into a license, option and merger agreement with AbbVie S.à.r.l. (“AbbVie”), for the development of treatments for inflammatory bowel disease (“IBD”). See Note 9,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 AbbVie Collaboration Agreement.</w:t>
      </w:r>
    </w:p>
    <w:p>
      <w:pPr>
        <w:spacing w:after="0" w:line="19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w:t>
      </w:r>
    </w:p>
    <w:p>
      <w:pPr>
        <w:spacing w:after="0" w:line="187"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Immediately after completion of the Merger, Mirna changed its name to “Synlogic, Inc.” (NASDAQ: SYBX).</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At September 30, 2020, the Company had approximately $102.0 million in cash, cash equivalents, and short-term marketable securities, $1.1 million of restricted cash and an accumulated deficit of approximately $215.7 million. Since its inception through September 30, 2020, the Company has primarily financed its operations through the issuance of preferred stock, units and warrants, the sale of its common stock, the AbbVie collaboration,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1"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described in the Company’s audited financial statements as of and for the year ended December 31, 2019, and the notes thereto, which are included in the Company’s Annual Report on Form 10-K for the year ended December 31, 2019, filed with the Securities and Exchange Commission (“SEC”) on March 12, 2020 (the “2019 Annual Report”), have had no material changes during the three and nine months ended September 30, 2020. The updated accounting policy and the impact of adoption are discussed in the “Recently Adopted Accounting Pronouncements” section in this note.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related disclosures as of September 30, 2020 and for the three and nine months ended September 30, 2020 and 2019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2019 and 2018 audited consolidated financial statements and notes included in the Company’s 2019 Annual Report. The December 31, 2019 consolidated balance sheet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nine months ended September 30, 2020 and 2019. The results of operations for the interim periods are not necessarily indicative of the results to be expected for the year ending December 31, 2020 or any other interim period or future year or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33"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 </w:t>
      </w:r>
      <w:r>
        <w:rPr>
          <w:rFonts w:ascii="Times New Roman" w:cs="Times New Roman" w:eastAsia="Times New Roman" w:hAnsi="Times New Roman"/>
          <w:sz w:val="18"/>
          <w:szCs w:val="18"/>
          <w:i w:val="1"/>
          <w:iCs w:val="1"/>
          <w:color w:val="auto"/>
        </w:rPr>
        <w:t>Income Taxes – (Topic 740): Simplifying the Accounting for Income Taxes</w:t>
      </w:r>
      <w:r>
        <w:rPr>
          <w:rFonts w:ascii="Times New Roman" w:cs="Times New Roman" w:eastAsia="Times New Roman" w:hAnsi="Times New Roman"/>
          <w:sz w:val="18"/>
          <w:szCs w:val="18"/>
          <w:color w:val="auto"/>
        </w:rPr>
        <w:t>, which provides amended guidance on income tax accounting. The amended guidance is effective for fiscal years beginning after December 15, 2020, including interim periods within that fiscal year. Early adoption is permitted. The amended guidance, which simplifies the accounting for income taxes, includes the removal of exceptions to the general principles of ASC 740. The standard removed the exception to the incremental approach for intra-period tax allocation when there is a loss from continuing operations and income or a gain from other items. The Company adopted the new guidance effective on January 1, 2020 which had an immaterial impact on its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 </w:t>
      </w:r>
      <w:r>
        <w:rPr>
          <w:rFonts w:ascii="Times New Roman" w:cs="Times New Roman" w:eastAsia="Times New Roman" w:hAnsi="Times New Roman"/>
          <w:sz w:val="18"/>
          <w:szCs w:val="18"/>
          <w:i w:val="1"/>
          <w:iCs w:val="1"/>
          <w:color w:val="auto"/>
        </w:rPr>
        <w:t>Measurement of Credit Losses on Financial Statements</w:t>
      </w:r>
      <w:r>
        <w:rPr>
          <w:rFonts w:ascii="Times New Roman" w:cs="Times New Roman" w:eastAsia="Times New Roman" w:hAnsi="Times New Roman"/>
          <w:sz w:val="18"/>
          <w:szCs w:val="18"/>
          <w:color w:val="auto"/>
        </w:rPr>
        <w:t xml:space="preserve">.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In November 2019, the FASB issued ASU 2019-10 – </w:t>
      </w:r>
      <w:r>
        <w:rPr>
          <w:rFonts w:ascii="Times New Roman" w:cs="Times New Roman" w:eastAsia="Times New Roman" w:hAnsi="Times New Roman"/>
          <w:sz w:val="18"/>
          <w:szCs w:val="18"/>
          <w:i w:val="1"/>
          <w:iCs w:val="1"/>
          <w:color w:val="auto"/>
        </w:rPr>
        <w:t>Financial Instruments – Credit Losses (Topic 326), Derivatives and Hedging (Topic 815), and Leases (Topic 842): Effective Dates</w:t>
      </w:r>
      <w:r>
        <w:rPr>
          <w:rFonts w:ascii="Times New Roman" w:cs="Times New Roman" w:eastAsia="Times New Roman" w:hAnsi="Times New Roman"/>
          <w:sz w:val="18"/>
          <w:szCs w:val="18"/>
          <w:color w:val="auto"/>
        </w:rPr>
        <w:t>, which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for certain companies. The standard is effective for public companies eligible to be smaller reporting companies for annual and interim periods beginning after December 15, 2022. Early adoption is available. The Company is currently evaluating the potential impact ASU 2016-13, and related updates, will have on its consolidated financial statements and disclosures.</w:t>
      </w:r>
    </w:p>
    <w:p>
      <w:pPr>
        <w:spacing w:after="0" w:line="185"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 xml:space="preserve">In October 2020, the FASB issued an amendment, ASU 2020-08- </w:t>
      </w:r>
      <w:r>
        <w:rPr>
          <w:rFonts w:ascii="Times New Roman" w:cs="Times New Roman" w:eastAsia="Times New Roman" w:hAnsi="Times New Roman"/>
          <w:sz w:val="18"/>
          <w:szCs w:val="18"/>
          <w:i w:val="1"/>
          <w:iCs w:val="1"/>
          <w:color w:val="auto"/>
        </w:rPr>
        <w:t>Codification Improvements to Subtopic 310-20, Receivables – Nonrefundable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Costs, </w:t>
      </w:r>
      <w:r>
        <w:rPr>
          <w:rFonts w:ascii="Times New Roman" w:cs="Times New Roman" w:eastAsia="Times New Roman" w:hAnsi="Times New Roman"/>
          <w:sz w:val="18"/>
          <w:szCs w:val="18"/>
          <w:color w:val="auto"/>
        </w:rPr>
        <w:t>to the guidance in ASU 2017-08,</w:t>
      </w:r>
      <w:r>
        <w:rPr>
          <w:rFonts w:ascii="Times New Roman" w:cs="Times New Roman" w:eastAsia="Times New Roman" w:hAnsi="Times New Roman"/>
          <w:sz w:val="18"/>
          <w:szCs w:val="18"/>
          <w:i w:val="1"/>
          <w:iCs w:val="1"/>
          <w:color w:val="auto"/>
        </w:rPr>
        <w:t xml:space="preserve"> Receivables-Nonrefundable Fees and Other Costs (Subtopic 310-20): Premium Amortization on Purchased Callable Debt Securities. </w:t>
      </w:r>
      <w:r>
        <w:rPr>
          <w:rFonts w:ascii="Times New Roman" w:cs="Times New Roman" w:eastAsia="Times New Roman" w:hAnsi="Times New Roman"/>
          <w:sz w:val="18"/>
          <w:szCs w:val="18"/>
          <w:color w:val="auto"/>
        </w:rPr>
        <w:t>The amendment requires companies to reevaluate whether a callable debt security that has multiple call dates is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scope of paragraph 310-20-65-2. The amendment shall be effective for fiscal years, and interim periods within those fiscal years, beginning after December 15, 2020. Early application is not permitted. The Company is currently evaluating the potential impact that ASU 2020-08 will have on its consolidated financial statements and disclosures.</w:t>
      </w:r>
    </w:p>
    <w:p>
      <w:pPr>
        <w:spacing w:after="0" w:line="329"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right="320" w:firstLine="510"/>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the audited financial statements included in the Company’s 2019 Annual Report.</w:t>
      </w:r>
    </w:p>
    <w:p>
      <w:pPr>
        <w:spacing w:after="0" w:line="176"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3"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At September 30, 2020 and December 31, 2019, the Company has classified assets measured at fair value on a recurring basis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 (included in cash and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 (included in marketable securities)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(included in marketable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32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 (included in cash and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 (included in marketable securities)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(included in cash and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 (included in marketable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71,383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71,383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September 30, 2020 and December 31, 2019 are carried at amounts that approximate fair value due to their short-term maturities. Finance lease obligations at September 30, 2020 and December 31, 2019 approximate fair value as they bear interest at a rate approximating a market interest rate.</w:t>
      </w:r>
    </w:p>
    <w:p>
      <w:pPr>
        <w:spacing w:after="0" w:line="280"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Investments</w:t>
      </w:r>
    </w:p>
    <w:p>
      <w:pPr>
        <w:spacing w:after="0" w:line="13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September 30, 2020 and December 31, 2019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1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FF0FC"/>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24"/>
                <w:szCs w:val="24"/>
                <w:color w:val="auto"/>
              </w:rPr>
            </w:pPr>
          </w:p>
        </w:tc>
        <w:tc>
          <w:tcPr>
            <w:tcW w:w="11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FF0FC"/>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contractual maturity of all securities held at September 30, 2020 was nine months or less. There were four and nine investments in an unrealized loss position at September 30, 2020 and December 31, 2019, respectively, none of which had been in an unrealized loss position for more than twelve months. The aggregate fair value of the securities in an unrealized loss position at September 30, 2020 and December 31, 2019 was $10.0 million and $24.8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September 30, 2020.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397"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(5,631)</w:t>
            </w:r>
          </w:p>
        </w:tc>
      </w:tr>
      <w:tr>
        <w:trPr>
          <w:trHeight w:val="223"/>
        </w:trPr>
        <w:tc>
          <w:tcPr>
            <w:tcW w:w="5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9"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60" w:type="dxa"/>
            <w:vAlign w:val="bottom"/>
            <w:tcBorders>
              <w:bottom w:val="single" w:sz="8" w:color="CFF0FC"/>
            </w:tcBorders>
          </w:tcPr>
          <w:p>
            <w:pPr>
              <w:spacing w:after="0"/>
              <w:rPr>
                <w:sz w:val="15"/>
                <w:szCs w:val="15"/>
                <w:color w:val="auto"/>
              </w:rPr>
            </w:pPr>
          </w:p>
        </w:tc>
        <w:tc>
          <w:tcPr>
            <w:tcW w:w="17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FF0FC"/>
            </w:tcBorders>
          </w:tcPr>
          <w:p>
            <w:pPr>
              <w:spacing w:after="0"/>
              <w:rPr>
                <w:sz w:val="19"/>
                <w:szCs w:val="19"/>
                <w:color w:val="auto"/>
              </w:rPr>
            </w:pP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right="220" w:firstLine="510"/>
        <w:spacing w:after="0" w:line="289" w:lineRule="auto"/>
        <w:rPr>
          <w:sz w:val="20"/>
          <w:szCs w:val="20"/>
          <w:color w:val="auto"/>
        </w:rPr>
      </w:pPr>
      <w:r>
        <w:rPr>
          <w:rFonts w:ascii="Times New Roman" w:cs="Times New Roman" w:eastAsia="Times New Roman" w:hAnsi="Times New Roman"/>
          <w:sz w:val="17"/>
          <w:szCs w:val="17"/>
          <w:color w:val="auto"/>
        </w:rPr>
        <w:t>In June 2019, the Company issued to Ginkgo Bioworks, Inc.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w:t>
      </w:r>
    </w:p>
    <w:p>
      <w:pPr>
        <w:spacing w:after="0" w:line="158"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None of the Pre-Funded Warrants have been exercised as of September 30, 2020.</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70" w:lineRule="exact"/>
        <w:rPr>
          <w:sz w:val="20"/>
          <w:szCs w:val="20"/>
          <w:color w:val="auto"/>
        </w:rPr>
      </w:pPr>
    </w:p>
    <w:p>
      <w:pPr>
        <w:ind w:right="80" w:firstLine="510"/>
        <w:spacing w:after="0" w:line="277" w:lineRule="auto"/>
        <w:rPr>
          <w:sz w:val="20"/>
          <w:szCs w:val="20"/>
          <w:color w:val="auto"/>
        </w:rPr>
      </w:pPr>
      <w:r>
        <w:rPr>
          <w:rFonts w:ascii="Times New Roman" w:cs="Times New Roman" w:eastAsia="Times New Roman" w:hAnsi="Times New Roman"/>
          <w:sz w:val="17"/>
          <w:szCs w:val="17"/>
          <w:color w:val="auto"/>
        </w:rPr>
        <w:t>On October 13, 2017 the Company entered into a sales agreement with Cowen and Company, LLC (“Cowen”) with respect to an at-the-market (“ATM”) offering program under which the Company may offer and sell, from time to time at its sole discretion, shares of its common stock, through Cowen as its sales agent. In an ATM offering, exchange-listed companies incrementally sell newly issued shares into the secondary trading market through a designated broker-dealer at prevailing market prices. During the three and nine months ended September 30, 2020, 533,711 and 2,312,693 shares of common stock were sold pursuant to the ATM, respectively, resulting in net proceeds of approximately $1.2 million and $5.1 million, respectively.</w:t>
      </w:r>
    </w:p>
    <w:p>
      <w:pPr>
        <w:spacing w:after="0" w:line="247" w:lineRule="exact"/>
        <w:rPr>
          <w:sz w:val="20"/>
          <w:szCs w:val="20"/>
          <w:color w:val="auto"/>
        </w:rPr>
      </w:pPr>
    </w:p>
    <w:p>
      <w:pPr>
        <w:ind w:left="500" w:hanging="492"/>
        <w:spacing w:after="0" w:line="207" w:lineRule="exact"/>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and Equity Incentive Plans</w:t>
      </w:r>
    </w:p>
    <w:p>
      <w:pPr>
        <w:spacing w:after="0" w:line="14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displaying all equity in its post-Merger amounts.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currently has three active equity plans.</w:t>
      </w:r>
    </w:p>
    <w:p>
      <w:pPr>
        <w:spacing w:after="0" w:line="225" w:lineRule="exact"/>
        <w:rPr>
          <w:sz w:val="20"/>
          <w:szCs w:val="20"/>
          <w:color w:val="auto"/>
        </w:rPr>
      </w:pPr>
    </w:p>
    <w:p>
      <w:pPr>
        <w:ind w:firstLine="510"/>
        <w:spacing w:after="0" w:line="220" w:lineRule="exact"/>
        <w:rPr>
          <w:sz w:val="20"/>
          <w:szCs w:val="20"/>
          <w:color w:val="auto"/>
        </w:rPr>
      </w:pPr>
      <w:r>
        <w:rPr>
          <w:rFonts w:ascii="Times New Roman" w:cs="Times New Roman" w:eastAsia="Times New Roman" w:hAnsi="Times New Roman"/>
          <w:sz w:val="18"/>
          <w:szCs w:val="18"/>
          <w:color w:val="auto"/>
        </w:rPr>
        <w:t>The 2015 Equity Incentive Award Plan (the “2015 Plan”) was adopted by Mirna in 2015 and remains active after the Merger, now functioning as the primary equity plan for the Company. The 2015 Plan provides for the granting of a variety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Pursuant to the evergreen provision of the 2015 Plan, which allows for an annual increase in the number of shares of common stock available for issuance, the Company added 1,613,340 shares to the 2015 Plan on January 1, 2020.</w:t>
      </w:r>
    </w:p>
    <w:p>
      <w:pPr>
        <w:spacing w:after="0" w:line="201"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2017 Stock Incentive Plan (the “2017 Plan”) was adopted by Private Synlogic in 2017 at the time of the 2017 Reorganization and assumed by the Company during the Merger. The 2017 Plan provides for the grant of incentive stock options, non-qualified stock options, restricted and unrestricted stock awards and other stock-based awards.</w:t>
      </w:r>
    </w:p>
    <w:p>
      <w:pPr>
        <w:spacing w:after="0" w:line="176"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2015 Employee Stock Purchase Plan (“ESPP”) was adopted by Mirna in 2015 and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 In December 2019, the Board reactivated the ESPP and approved an amendment to the ESPP to (i) reduce the permitted aggregate yearly payroll deduction and maximum number of shares of the Company’s common stock that a participant may purchase per offering period under the ESPP and (ii) establish a period for enrollment for eligible participants. The reactivation of the ESPP was effective immediately. The Company’s executive officers are eligible to participate in the ESPP. There were 29,857 options exercised to purchase shares of common stock under the ESPP during the three and nine months ended September 30, 2020.</w:t>
      </w:r>
    </w:p>
    <w:p>
      <w:pPr>
        <w:spacing w:after="0" w:line="188"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As of September 30, 2020, there were an aggregate of 1,128,752 shares available for future grant under the 2017 Plan and the 2015 Plan, and 345,662 shares available for future grant under the ESPP.</w:t>
      </w:r>
    </w:p>
    <w:p>
      <w:pPr>
        <w:spacing w:after="0" w:line="160" w:lineRule="exact"/>
        <w:rPr>
          <w:sz w:val="20"/>
          <w:szCs w:val="20"/>
          <w:color w:val="auto"/>
        </w:rPr>
      </w:pPr>
    </w:p>
    <w:p>
      <w:pPr>
        <w:ind w:right="400" w:firstLine="510"/>
        <w:spacing w:after="0" w:line="284" w:lineRule="auto"/>
        <w:rPr>
          <w:sz w:val="20"/>
          <w:szCs w:val="20"/>
          <w:color w:val="auto"/>
        </w:rPr>
      </w:pPr>
      <w:r>
        <w:rPr>
          <w:rFonts w:ascii="Times New Roman" w:cs="Times New Roman" w:eastAsia="Times New Roman" w:hAnsi="Times New Roman"/>
          <w:sz w:val="18"/>
          <w:szCs w:val="18"/>
          <w:color w:val="auto"/>
        </w:rPr>
        <w:t xml:space="preserve">For a full description of the Company’s equity plans, refer to Note 9, </w:t>
      </w:r>
      <w:r>
        <w:rPr>
          <w:rFonts w:ascii="Times New Roman" w:cs="Times New Roman" w:eastAsia="Times New Roman" w:hAnsi="Times New Roman"/>
          <w:sz w:val="18"/>
          <w:szCs w:val="18"/>
          <w:i w:val="1"/>
          <w:iCs w:val="1"/>
          <w:color w:val="auto"/>
        </w:rPr>
        <w:t>Equity-based Compensation and Equity Incentive Plans</w:t>
      </w:r>
      <w:r>
        <w:rPr>
          <w:rFonts w:ascii="Times New Roman" w:cs="Times New Roman" w:eastAsia="Times New Roman" w:hAnsi="Times New Roman"/>
          <w:sz w:val="18"/>
          <w:szCs w:val="18"/>
          <w:color w:val="auto"/>
        </w:rPr>
        <w:t xml:space="preserve"> in the Company’s 2019 Annual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2020 under the 2015 Plan and the 2017 Plan.</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0"/>
        </w:trPr>
        <w:tc>
          <w:tcPr>
            <w:tcW w:w="4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15"/>
        </w:trPr>
        <w:tc>
          <w:tcPr>
            <w:tcW w:w="48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8"/>
                <w:szCs w:val="18"/>
                <w:color w:val="auto"/>
              </w:rPr>
            </w:pPr>
          </w:p>
        </w:tc>
        <w:tc>
          <w:tcPr>
            <w:tcW w:w="80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2"/>
                <w:szCs w:val="12"/>
                <w:b w:val="1"/>
                <w:bCs w:val="1"/>
                <w:color w:val="auto"/>
              </w:rPr>
              <w:t>(a)</w:t>
            </w:r>
          </w:p>
        </w:tc>
      </w:tr>
      <w:tr>
        <w:trPr>
          <w:trHeight w:val="173"/>
        </w:trPr>
        <w:tc>
          <w:tcPr>
            <w:tcW w:w="488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80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2,286,419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9.24</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1.89</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1.70</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(440,645)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7.94</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3,399,954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expected to vest at September 30,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3,399,954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6.05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9"/>
                <w:szCs w:val="19"/>
                <w:color w:val="auto"/>
              </w:rPr>
            </w:pPr>
          </w:p>
        </w:tc>
      </w:tr>
      <w:tr>
        <w:trPr>
          <w:trHeight w:val="223"/>
        </w:trPr>
        <w:tc>
          <w:tcPr>
            <w:tcW w:w="48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1,267,259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9.51</w:t>
            </w: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right="36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options and the fair market value of the underlying common stock for the options that were in the money at September 30, 2020 and December 31, 2019.</w:t>
      </w:r>
    </w:p>
    <w:p>
      <w:pPr>
        <w:spacing w:after="0" w:line="162"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$5.2 million of unrecognized share-based compensation related to unvested stock option grants which is expected to be recognized over a weighted average period of 2.2 years. The total unrecognized share-based compensation cost will be adjusted for actual forfeitures as they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restricted stock activity during the nine months ended September 30, 2020:</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390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r>
      <w:tr>
        <w:trPr>
          <w:trHeight w:val="144"/>
        </w:trPr>
        <w:tc>
          <w:tcPr>
            <w:tcW w:w="620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237"/>
              <w:spacing w:after="0" w:line="14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r>
      <w:tr>
        <w:trPr>
          <w:trHeight w:val="162"/>
        </w:trPr>
        <w:tc>
          <w:tcPr>
            <w:tcW w:w="6200" w:type="dxa"/>
            <w:vAlign w:val="bottom"/>
          </w:tcPr>
          <w:p>
            <w:pPr>
              <w:spacing w:after="0"/>
              <w:rPr>
                <w:sz w:val="14"/>
                <w:szCs w:val="14"/>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6200" w:type="dxa"/>
            <w:vAlign w:val="bottom"/>
          </w:tcPr>
          <w:p>
            <w:pPr>
              <w:spacing w:after="0"/>
              <w:rPr>
                <w:sz w:val="15"/>
                <w:szCs w:val="15"/>
                <w:color w:val="auto"/>
              </w:rPr>
            </w:pPr>
          </w:p>
        </w:tc>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586,929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(24,041)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r>
      <w:tr>
        <w:trPr>
          <w:trHeight w:val="223"/>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2020</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approximately $0.6 million of unrecognized share-based compensation related to restricted stock awards granted, which is expected to be recognized over a weighted average period of 1.9 years. The total unrecognized share-based compensation cost will be adjusted for actual forfeitures as they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ESPP is considered a compensatory plan with the related compensation cost expensed over the six-month offering period starting on April 1 and ending on October 1. The compensation cost for the three and nine months ended September 30, 2020 was $6,000 and $18,000, respectively. There was no compensation expense related to the ESPP for the three and nine months ended September 30, 2019.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The Company has recorded total equity-based compensation expense of approximately $0.9 million and $3.1 million during the three and nine months ended September 30, 2020, respectively and $1.1 million and $3.1 million during the three and nine months ended September 30, 2019, respectively.</w:t>
      </w:r>
    </w:p>
    <w:p>
      <w:pPr>
        <w:spacing w:after="0" w:line="147" w:lineRule="exact"/>
        <w:rPr>
          <w:sz w:val="20"/>
          <w:szCs w:val="20"/>
          <w:color w:val="auto"/>
        </w:rPr>
      </w:pPr>
    </w:p>
    <w:p>
      <w:pPr>
        <w:ind w:right="1060" w:firstLine="510"/>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three and nine months ended September 30, 2020 and 2019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r>
      <w:tr>
        <w:trPr>
          <w:trHeight w:val="223"/>
        </w:trPr>
        <w:tc>
          <w:tcPr>
            <w:tcW w:w="2860" w:type="dxa"/>
            <w:vAlign w:val="bottom"/>
          </w:tcPr>
          <w:p>
            <w:pPr>
              <w:spacing w:after="0"/>
              <w:rPr>
                <w:sz w:val="19"/>
                <w:szCs w:val="19"/>
                <w:color w:val="auto"/>
              </w:rPr>
            </w:pPr>
          </w:p>
        </w:tc>
        <w:tc>
          <w:tcPr>
            <w:tcW w:w="188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7" w:lineRule="exact"/>
        <w:rPr>
          <w:sz w:val="20"/>
          <w:szCs w:val="20"/>
          <w:color w:val="auto"/>
        </w:rPr>
      </w:pPr>
    </w:p>
    <w:p>
      <w:pPr>
        <w:ind w:right="60" w:firstLine="510"/>
        <w:spacing w:after="0" w:line="239"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three and nine months ended September 30, 2020 and 2019 (in thousands):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940" w:type="dxa"/>
            <w:vAlign w:val="bottom"/>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30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shd w:val="clear" w:color="auto" w:fill="CFF0FC"/>
          </w:tcPr>
          <w:p>
            <w:pPr>
              <w:spacing w:after="0"/>
              <w:rPr>
                <w:sz w:val="19"/>
                <w:szCs w:val="19"/>
                <w:color w:val="auto"/>
              </w:rPr>
            </w:pP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r>
      <w:tr>
        <w:trPr>
          <w:trHeight w:val="2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Ginkgo Collaboration</w:t>
      </w:r>
    </w:p>
    <w:p>
      <w:pPr>
        <w:spacing w:after="0" w:line="13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2017, the Company established a technology collaboration with Ginkgo Bioworks, Inc. (“Ginkgo”). In June 2019, in connection with the issuance to Ginkgo of an aggregate of 6,340,771 shares of common stock and Pre-Funded warrants to purchase an aggregate of 2,548,117 common stock (See Note 7), the Company expanded its collaboration and entered into an agreement with Ginkgo for the research and development of engineered microbial therapeutic products.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September 30, 2020 consolidated balance sheet. At September 30, 2020, the Company had remaining balances of $7.2 million and $8.6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Collaboration Agreement</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In July 2015, the Company entered into the AbbVie Agreement under which the Company granted AbbVie an exclusive option to purchase IBDCo and, in exchange, agreed to collaborate in researching and developing an Investigational New Drug (“IND”) candidate for the treatment of IBD. The AbbVie Agreement sets forth the Company’s and AbbVie’s respective obligations for development and delivery of an IND candidate package using reasonable commercial efforts.</w:t>
      </w:r>
    </w:p>
    <w:p>
      <w:pPr>
        <w:spacing w:after="0" w:line="180" w:lineRule="exact"/>
        <w:rPr>
          <w:sz w:val="20"/>
          <w:szCs w:val="20"/>
          <w:color w:val="auto"/>
        </w:rPr>
      </w:pPr>
    </w:p>
    <w:p>
      <w:pPr>
        <w:jc w:val="both"/>
        <w:ind w:right="160" w:firstLine="510"/>
        <w:spacing w:after="0" w:line="261" w:lineRule="auto"/>
        <w:rPr>
          <w:sz w:val="20"/>
          <w:szCs w:val="20"/>
          <w:color w:val="auto"/>
        </w:rPr>
      </w:pPr>
      <w:r>
        <w:rPr>
          <w:rFonts w:ascii="Times New Roman" w:cs="Times New Roman" w:eastAsia="Times New Roman" w:hAnsi="Times New Roman"/>
          <w:sz w:val="18"/>
          <w:szCs w:val="18"/>
          <w:color w:val="auto"/>
        </w:rPr>
        <w:t>In May 2020, we announced the termination of our collaboration with AbbVie to develop Synthetic Biotic medicines for the treatment of types of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Under the now terminated collaboration, in exchange for the exclusive option to acquire IBDCo, initial research and development services for drug discovery and pre-clinical development, and participation on the joint research committee (“JRC”), AbbVie agreed to pay IBDCo an upfront, non-refundable cash payment of $2.0 million, which IBDCo received in December 2015. AbbVie also agreed to pay IBDCo up to $16.5 million in milestone payments associated with specified research and pre-clinical events, which were determined to represent customer options for accounting purposes, as well as an option exercise fee upon the execution of their option to buy IBDCo and other royalty and milestone payments. The upfront cash payment and any payments for option fees and royalties are non-refundable, non-creditable and not subject to set-off.</w:t>
      </w:r>
    </w:p>
    <w:p>
      <w:pPr>
        <w:spacing w:after="0" w:line="18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research and development was performed by the Company over four phases of research defined in the research plan. The Company was eligible to receive payments from AbbVie upon the election to continue the research and development at the achievement of certain milestone events. The JRC was tasked with making a determination as to the continuation of the collaboration at the achievement of research and pre-clinical milestones, except for the final milestone, which AbbVie had the discretion to determine achievement without the approval of the JRC. If the parties make the determination to continue on with the AbbVie Agreement upon achievement of each milestone event, then AbbVie would have had to pay the consideration associated with that milestone and the collaboration would have continued through the remaining term of the option to purchase IBDCo, which was initially considered to be approximately 54 months.</w:t>
      </w:r>
    </w:p>
    <w:p>
      <w:pPr>
        <w:spacing w:after="0" w:line="18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and concluded that the contract counterparty, AbbVie, was considered a customer. The Company identified the following material promises at the outset of the arrangement: (1) a non-exclusive royalty-free research and development license; (2) research and development services for pre-clinical activities under the research plan through to the first research and development phase (or an estimated 17 months); (3) three option rights for AbbVie to continue the collaboration as related to three phases of research and development;</w:t>
      </w:r>
    </w:p>
    <w:p>
      <w:pPr>
        <w:spacing w:after="0" w:line="3" w:lineRule="exact"/>
        <w:rPr>
          <w:sz w:val="20"/>
          <w:szCs w:val="20"/>
          <w:color w:val="auto"/>
        </w:rPr>
      </w:pPr>
    </w:p>
    <w:p>
      <w:pPr>
        <w:ind w:right="80" w:firstLine="8"/>
        <w:spacing w:after="0" w:line="253"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on the JRC; and (5) the transfer of ownership of IBDCo upon exercise of the option to buy IBDCo. The Company determined that the license and research and development activities were not distinct from one another. Participation on the JRC to oversee the research and development activities was determined to be quantitatively and qualitatively immaterial and therefore is excluded from performance obligations. As such, the Company determined that the license and research and development services should be combined into a single performance obligation.</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Company evaluated the milestone payments, which represent customer options as described above, and the option to purchase IBDCo, to determine whether they provide AbbVie with any material rights. The Company concluded that the options were not issued at a significant and incremental discount, and therefore do not provide material rights. As such, they were excluded as performance obligations at the outset of the arrangement. If AbbVie elected to exercise the options, the additional consideration would have been added to the transaction price and allocated to the resulting performance obligations.</w:t>
      </w:r>
    </w:p>
    <w:p>
      <w:pPr>
        <w:spacing w:after="0" w:line="183"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AbbVie Agreement, which consists of: (1) the non-exclusive license and (2) the research and development activities through the first research and development phase.</w:t>
      </w:r>
    </w:p>
    <w:p>
      <w:pPr>
        <w:spacing w:after="0" w:line="16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At the outset of the arrangement, the transaction price included only the $2.0 million up-front consideration received which was allocated to the single performance obligation. The option exercise fees ($16.5 million for the milestones and the IBDCo purchase option exercise fee) that may have been received were excluded from the transaction price until each customer option was exercised. The Company reevaluated the transaction price at the end of each reporting period and as uncertain events were resolved or other changes in circumstances occurred, and, if necessary, adjusted our estimate of the transaction price.</w:t>
      </w:r>
    </w:p>
    <w:p>
      <w:pPr>
        <w:spacing w:after="0" w:line="183"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In May 2017, the Company completed the research and development services for the first phase of the research plan and was paid $2.0 million to commence the second phase of the research plan. At this time, the $2.0 million was added to the transaction price and allocated to a new performance obligation consisting of the underlying license and research and development services to be performed over the second phase of the research plan.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On September 27, 2018, AbbVie and the Company signed an amendment (the “Second Amendment”) to the AbbVie Agreement. The Second Amendment clarified the requirements necessary to complete the second phase which resulted in additional time and effort in the second phase of the research plan. Additionally, the Second Amendment split the next milestone payment under the AbbVie Agreement into two payments: a milestone payment of $2.0 million earned by the Company upon execution of the Second Amendment and the remaining milestone payment of the balance due upon the successful achievement of specified research and pre-clinical events and the advancement to the third phase of the research plan.</w:t>
      </w:r>
    </w:p>
    <w:p>
      <w:pPr>
        <w:spacing w:after="0" w:line="183"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On December 18, 2018, AbbVie and the Company signed an amendment (the “Third Amendment”) to the AbbVie Agreement. The Third Amendment provided that in the event AbbVie determined that it was necessary to enter into license agreements with certain third parties in a particular country or other jurisdiction which, but for such license, would be infringed by the manufacture, use or sale of any product governed by the AbbVie Agreement, AbbVie would have been entitled to deduct certain expenses related to such license agreements from particular payments made to the Company.</w:t>
      </w:r>
    </w:p>
    <w:p>
      <w:pPr>
        <w:spacing w:after="0" w:line="18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Company determined that the Amendment represented a modification to the AbbVie Agreement. The additional research and development services were not distinct from the remaining research and development services under the second phase of the research plan of the AbbVie Agreement. The Amendment was accounted for as part of the original AbbVie Agreement and the services form part of the single performance obligation that was partially satisfied as of the date of the contract modification. As a result, the transaction price for the current performance obligation associated with the second phase of the research plan increased by $2.0 million. The impact of the contract modification on the transaction price and the measure of progress toward completion of the performance obligation was recognized as an adjustment to revenue upon execution of the Amendment on a cumulative catch-up basis. The cumulative catch-up adjustment to revenue, as a result of the contract modification, was $1.8 million during 2018.</w:t>
      </w:r>
    </w:p>
    <w:p>
      <w:pPr>
        <w:spacing w:after="0" w:line="189"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On February 28, 2019, the JRC concluded that the remaining milestone of $2.5 million under the Second Amendment was achieved upon the achievement of specified research and pre-clinical events under the second phase of the research plan and the advancement to the third phase of the research plan. Revenue associated with performance obligations under the AbbVie Agreement is recognized as the research and development services are provided using an input method, according to the full-time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8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Revenue associated with performance obligations under the AbbVie Agreement was recognized as the research and development services were provided using an input method, according to the full-time equivalents incurred. The research and development activities were expected to be performed over a period of approximately 54 months. The transfer of control occurs over time and, in management’s judgment, was the best measure of progress towards satisfying the performance obligation. The amounts received that had not yet been recognized as revenue were recorded in deferred revenue on the Company’s consolidated balance sheet.</w:t>
      </w:r>
    </w:p>
    <w:p>
      <w:pPr>
        <w:spacing w:after="0" w:line="183"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Company recognized no revenue for the three months ended September 30, 2020 and $0.3 million for the corresponding period in 2019. The Company recognized revenue of $0.5 million and $1.0 million for the nine months ended September 30, 2020 and 2019, respectively, as collaboration revenue in the Company’s consolidated statements of operations and comprehensive loss. There is no deferred revenue on the Company’s consolidated balance sheet as of September 30, 2020, as the remainder of the revenue was recognized when the agreement was terminated.</w:t>
      </w:r>
    </w:p>
    <w:p>
      <w:pPr>
        <w:spacing w:after="0" w:line="284"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Times New Roman" w:cs="Times New Roman" w:eastAsia="Times New Roman" w:hAnsi="Times New Roman"/>
          <w:sz w:val="18"/>
          <w:szCs w:val="18"/>
          <w:i w:val="1"/>
          <w:iCs w:val="1"/>
          <w:color w:val="auto"/>
        </w:rPr>
        <w:t>, Ginkgo Collaboration,</w:t>
      </w:r>
      <w:r>
        <w:rPr>
          <w:rFonts w:ascii="Times New Roman" w:cs="Times New Roman" w:eastAsia="Times New Roman" w:hAnsi="Times New Roman"/>
          <w:sz w:val="18"/>
          <w:szCs w:val="18"/>
          <w:color w:val="auto"/>
        </w:rPr>
        <w:t xml:space="preserve"> in the audited financial statements included in the Company’s 2019 Annual Report). The shares of common stock into which the warrants may be exercised are considered outstanding for the purposes of computing net loss per share.</w:t>
      </w:r>
    </w:p>
    <w:p>
      <w:pPr>
        <w:spacing w:after="0" w:line="189"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2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7620</wp:posOffset>
            </wp:positionV>
            <wp:extent cx="18942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7" w:lineRule="exact"/>
        <w:rPr>
          <w:sz w:val="20"/>
          <w:szCs w:val="20"/>
          <w:color w:val="auto"/>
        </w:rPr>
      </w:pPr>
    </w:p>
    <w:p>
      <w:pPr>
        <w:ind w:left="7000"/>
        <w:spacing w:after="0"/>
        <w:tabs>
          <w:tab w:leader="none" w:pos="85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tbl>
      <w:tblPr>
        <w:tblLayout w:type="fixed"/>
        <w:tblInd w:w="1700" w:type="dxa"/>
        <w:tblCellMar>
          <w:top w:w="0" w:type="dxa"/>
          <w:left w:w="0" w:type="dxa"/>
          <w:bottom w:w="0" w:type="dxa"/>
          <w:right w:w="0" w:type="dxa"/>
        </w:tblCellMar>
      </w:tblP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624,852</w:t>
            </w: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620,637</w:t>
            </w:r>
          </w:p>
        </w:tc>
        <w:tc>
          <w:tcPr>
            <w:tcW w:w="80" w:type="dxa"/>
            <w:vAlign w:val="bottom"/>
            <w:tcBorders>
              <w:top w:val="single" w:sz="8" w:color="CFF0FC"/>
            </w:tcBorders>
            <w:shd w:val="clear" w:color="auto" w:fill="CFF0FC"/>
          </w:tcPr>
          <w:p>
            <w:pPr>
              <w:spacing w:after="0"/>
              <w:rPr>
                <w:sz w:val="19"/>
                <w:szCs w:val="19"/>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3,399,954</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2,401,999</w:t>
            </w:r>
          </w:p>
        </w:tc>
        <w:tc>
          <w:tcPr>
            <w:tcW w:w="80" w:type="dxa"/>
            <w:vAlign w:val="bottom"/>
          </w:tcPr>
          <w:p>
            <w:pPr>
              <w:spacing w:after="0"/>
              <w:rPr>
                <w:sz w:val="20"/>
                <w:szCs w:val="20"/>
                <w:color w:val="auto"/>
              </w:rPr>
            </w:pPr>
          </w:p>
        </w:tc>
      </w:tr>
    </w:tbl>
    <w:p>
      <w:pPr>
        <w:spacing w:after="0" w:line="337"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0"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Company’s commitments described in the Company’s consolidated financial statements as of and for the year ended December 31, 2019 and the notes thereto included in the Company’s Annual Report on Form 10-K filed with the SEC on March 12, 2020, have had no material changes during the nine months ended September 30, 2020.</w:t>
      </w:r>
    </w:p>
    <w:p>
      <w:pPr>
        <w:spacing w:after="0" w:line="280"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 xml:space="preserve">In June 2019, the Company expanded its collaboration and entered into an agreement with Ginkgo for the research and development of engineered microbial therapeutic products. As of June 30, 2020, Ginkgo owns 6,340,771 shares of the Company’s outstanding common stock. See Note 10, </w:t>
      </w:r>
      <w:r>
        <w:rPr>
          <w:rFonts w:ascii="Times New Roman" w:cs="Times New Roman" w:eastAsia="Times New Roman" w:hAnsi="Times New Roman"/>
          <w:sz w:val="18"/>
          <w:szCs w:val="18"/>
          <w:i w:val="1"/>
          <w:iCs w:val="1"/>
          <w:color w:val="auto"/>
        </w:rPr>
        <w:t>Ginkgo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in the audited financial statements included in the Company’s 2019 Annual Report.</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Under the agreement the Company made a prepayment to Ginkgo of $30.0 million for its foundry services that will be provided to the Company over an initial term of five years. At September 30, 2020, the Company had remaining balances of $7.2 million and $8.6 million of current and non-current pre-paid research and development costs related to this transaction, respectively. The Company used $2.6 million and $11.5 million of the pre-paid research and development expenses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2019 and 2018 included in our Annual Report on Form 10-K filed with the SEC on March 12, 2020 (the “2019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[27] of this Quarterly Report on Form 10-Q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3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Synlogic is a clinical-stage biopharmaceutical company focused on the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compensate for missing or damaged metabolic pathways, or deliver combinations of therapeutic factors. Synlogic’s goal is to discover, develop, and ultimately commercialize Synthetic Biotic medicines. Synlogic’s proprietary pipeline includes Synthetic Biotic medicines for the treatment of metabolic disorders including Phenylketonuria (“PKU”) and Enteric Hyperoxaluria. The company is also building a portfolio of partner-able assets in immunology and oncology.</w:t>
      </w:r>
    </w:p>
    <w:p>
      <w:pPr>
        <w:spacing w:after="0" w:line="216"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a clinical trial with our lead program SYNB1618, we have demonstrated consumption of phenylalanine (Phe), an amino acid that accumulates in a rare metabolic disorder known as PKU and are expanding our pipeline based on learnings from this program. We have also demonstrated that our pre-clinical candidate SYNB8802 can consume dietary oxalate and reduce hyperoxaluria in animal models. We are designing SYNB8802 to be tested in patients with Enteric Hyperoxaluria, a disease which leads to dangerously high levels of urinary oxalate and for which patients have few treatment options today.</w:t>
      </w:r>
    </w:p>
    <w:p>
      <w:pPr>
        <w:spacing w:after="0" w:line="18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believe we have the core competencies in synthetic biology and manufacturing, as well as translational medicine, regulatory experience and clinical development to successfully discover and develop our Synthetic Biotic medicines. In June 2019, we announced an expanded collaboration with Ginkgo Bioworks, Inc. (Ginkgo) to complement our in-house expertise in strain design and development. Ginkgo uses software and automation to program and optimize microbial strains at a large scale. Ginkgo’s technology provides us with a synthetic biology-based cell programming platform for testing thousands of microbial strains to accelerate progression of early preclinical leads to drug candidates optimized for clinical development.</w:t>
      </w:r>
    </w:p>
    <w:p>
      <w:pPr>
        <w:spacing w:after="0" w:line="183"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While we believe that our Synthetic Biotic platform has potential to address a broad range of diseases, our initial pipeline focus is on metabolic diseases. We will consider leveraging partnerships to advance programs for other diseases including oncology and inflammatory disorders. Our most advanced programs target metabolic diseases that could potentially be treated by oral delivery of Synthetic Biotic medicines. These includes conditions caused by a genetic mutation characterized by a dysfunctional metabolic pathway including PKU, as well as acquired metabolic diseases caused by organ dysfunction, such as Enteric Hyperoxaluria. When delivered orally, Synthetic Biotic medicines are designed to function in the gut to consume a disease-causing toxic metabolite with the intended consequence of reducing its systemic or urinary levels. We believe that success in our metabolic disease programs will enable us to demonstrate the potential of our Synthetic Biotic medicines while bringing meaningful change to the lives of patients suffering from these debilitating conditions.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 on our business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December 2019, an outbreak of a novel strain of coronavirus was identified in Wuhan, China. This virus continues to spread globally, has been declared a pandemic by the World Health Organization and has spread to over 100 countries, including the United States. The impact of this pandemic has been and will likely continue to be extensive in many aspects of society, which has resulted in and will likely continue to result in significant disruptions to businesses and capital markets around the world.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Our ability to enroll our clinical trials will be dependent on many factors, including the progression of the pandemic and its impact on patients and the investigators at our clinical trial sites. We are actively working with sites and investigators to mitigate these risks. Over the coming weeks and months, we will continue to carefully monitor the situation with respect to each of our clinical trials and follow guidance from local and federal health authorities.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Phenylketonuria</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Our most advanced product candidate is SYNB1618, an oral therapy intended for the treatment of PKU, a rare metabolic disease in which Phe accumulates in the body as a result of genetic defects. Elevated levels of Phe are toxic to the brain and can lead to neurological dysfunction. SYNB1618 is designed to function in the gut of patients to reduce excess Phe, with the goal of lowering levels in the blood and other tissues. SYNB1618 has received both Fast Track designation and orphan drug designation for PKU from the U.S. Food and Drug Administration (FDA). We initiated a Phase 1/2a clinical trial of an early liquid formulation of SYNB1618 in April 2018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w:t>
      </w:r>
    </w:p>
    <w:p>
      <w:pPr>
        <w:spacing w:after="0" w:line="18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SYNB1618 is a member of a family of SYNB strains which consume Phe. We have additional Phe consuming strains for PKU in preclinical development. We have evaluated a lyophilized formulation of SYNB1618 in a bridging study in healthy volunteers. The study of this more patient- and commercialization-appropriate presentation of SYNB1618 demonstrated improved tolerability over the early liquid formulation. The next step for SYNB1618 is to conduct a Phase 2 clinical trial. The Phase 2 trial, referred to as the SynPheny-1 Study, is designed to evaluate safety and tolerability of a solid formulation of SYNB1618 as well as its potential to lower blood Phe levels in adult PKU patients.</w:t>
      </w:r>
    </w:p>
    <w:p>
      <w:pPr>
        <w:spacing w:after="0" w:line="183"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We continue to evaluate our clinical program progress as a result of the ongoing COVID-19 pandemic. The SynPheny-1 Study is designed to be flexible, with subjects physically coming to the clinic or participating from the patient's home utilizing home healthcare services. We initiated this study in the third quarter of 2020.</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Enteric Hyperoxaluria</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Enteric Hyperoxaluria is an acquired metabolic disorder with no approved treatment options. It is caused by increased absorption of dietary oxalate, which is present in many common foods including leafy greens, nuts, and chocolate. Enteric Hyperoxaluria often occurs as a result of a primary insult to the bowel, such as inflammatory bowel disease, short bowel syndrome, or surgical procedures such as Roux-en-Y bariatric weight-loss surgery. The disorder may cause dangerously high levels of urinary oxalate and progressive kidney damage.</w:t>
      </w:r>
    </w:p>
    <w:p>
      <w:pPr>
        <w:spacing w:after="0" w:line="180"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disorder can lead to high levels of urinary oxalate, which causes progressive kidney damage, kidney stone formation, and nephrocalcinosis. In May 2020, we announced the nomination of a clinical candidate for Enteric Hyperoxaluria, SYNB8802. We are conducting IND-enabling studies with SYNB8802 and expect to file an IND upon completion of those studies. We expect to initiate a Phase 1 clinical trial of SYNB8802 in the fourth quarter of 2020.</w:t>
      </w:r>
    </w:p>
    <w:p>
      <w:pPr>
        <w:spacing w:after="0" w:line="18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SYNB8802 will be assessed for safety and tolerability, strain kinetics, changes in plasma and urine biomarkers of strain activity, and the potential to reduce urinary oxalate in the Phase 1 clinical study. The study has two parts: Part A is a multiple ascending dose study in healthy volunteers; Part B is a placebo controlled, cross-over design study in patients with Enteric Hyperoxaluria following Roux-n-Y gastric bypass surgery. We anticipate data from the study will be available in 2021.</w:t>
      </w:r>
    </w:p>
    <w:p>
      <w:pPr>
        <w:spacing w:after="0" w:line="3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 xml:space="preserve">We have also developed a portfolio of Synthetic Biotic medicines to treat certain cancers which are designed to modify the tumor microenvironment, activate the immune system and result in tumor reduction. These Synthetic Biotic medicines could be used in combination with other cancer therapies such as checkpoint inhibitors. Our first Synthetic Biotic clinical immuno-oncology (“IO”) candidate is SYNB1891, an intratumorally administered Synthetic Biotic medicine engineered to act as a dual innate and adaptive immune activator. SYNB1891 has been designed to activate the immune response in tumors via the </w:t>
      </w:r>
      <w:r>
        <w:rPr>
          <w:rFonts w:ascii="Times New Roman" w:cs="Times New Roman" w:eastAsia="Times New Roman" w:hAnsi="Times New Roman"/>
          <w:sz w:val="18"/>
          <w:szCs w:val="18"/>
          <w:i w:val="1"/>
          <w:iCs w:val="1"/>
          <w:color w:val="auto"/>
        </w:rPr>
        <w:t>E.coli</w:t>
      </w:r>
      <w:r>
        <w:rPr>
          <w:rFonts w:ascii="Times New Roman" w:cs="Times New Roman" w:eastAsia="Times New Roman" w:hAnsi="Times New Roman"/>
          <w:sz w:val="18"/>
          <w:szCs w:val="18"/>
          <w:color w:val="auto"/>
        </w:rPr>
        <w:t xml:space="preserve"> Nissle chassis and production of cyclic di-AMP, an activator of the Stimulator of Interferon Genes, also referred to as the STING pathway.</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20" w:name="page21"/>
    <w:bookmarkEnd w:id="20"/>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In January 2020, we treated the first subject in a Phase 1 clinical trial of SYNB1891 in patients with advanced solid tumors and lymphoma. The clinical trial is designed to identify a maximum tolerated dose (MTD) of SYNB1891 delivered as a monotherapy. Once an MTD is identified, we will evaluate treatment of patients with a combination of SYNB1891 and the checkpoint inhibitor atezolizumab (Tecentriq), provided through a supply agreement with Roche. Despite the COVID-19 pandemic, the Phase 1 clinical trial has remained open and currently enrolled patients are continuing on trial. New patient enrollment in the study is also continuing. We expect to release interim data from the ongoing monotherapy arm of this trial in the fourth quarter of 2020.</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Programs</w:t>
      </w:r>
    </w:p>
    <w:p>
      <w:pPr>
        <w:spacing w:after="0" w:line="12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Maple Syrup Urine Disease (“MSUD”) is an inherited, rare metabolic disease characterized by a deficiency of enzymes required to break down certain amino acids. We have been conducting studies to advance a pre-clinical candidate for MSUD. Prototype strains did not meet pre-specified criteria for candidate declaration. Therefore, we discontinued efforts in MSUD in the third quarter of 2020 to prioritize other metabolic disorders.</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August 2019, we announced that we were discontinuing the development of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a Phase 1b/2a study, the study showed it did not lower blood ammonia in patients with cirrhosis.</w:t>
      </w:r>
    </w:p>
    <w:p>
      <w:pPr>
        <w:spacing w:after="0" w:line="180"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are also leveraging our proprietary technology platform to develop Synthetic Biotic medicines to treat a broader range of human diseases. To achieve this goal, we collaborate with key disease experts who have developed robust models of relevant diseases and to inform our translational medicine strategy. These collaborators bring complementary expertise in preclinical development, clinical development and commercialization. In May 2020, we announced the termination of our collaboration with AbbVie S.à.r.l. (“AbbVie”) to develop Synthetic Biotic medicines for the treatment of types of inflammatory bowel diseases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 We may enter into additional strategic partnerships in the future to maximize the value of our programs and our Synthetic Biotic platform.</w:t>
      </w:r>
    </w:p>
    <w:p>
      <w:pPr>
        <w:spacing w:after="0" w:line="19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 medicines. To date, we have dedicated substantially all of our activities to the research and development of our product candidates. As of September 30, 2020, we have received approximately $327.9 million in proceeds as we financed our operations primarily through the sale of preferred stock, common stock, preferred units, warrants, payments received under the AbbVie collaboration agreement, interest earned on investments, and cash received in the Merger.</w:t>
      </w:r>
    </w:p>
    <w:p>
      <w:pPr>
        <w:spacing w:after="0" w:line="180"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We have incurred net losses of approximately $13.2 million and $44.6 million for the three and nine months ended September 30, 2020, respectively and $13.3 million and $38.6 million for the three and nine months ended September 30, 2019, respectively. As of September 30, 2020, we had an accumulated deficit of approximately $215.7 million, and we expect to incur losses for the foreseeable future as we develop our product candidates. We expect our expenses and capital requirements will increase substantially in connection with our ongoing activities, as we:</w:t>
      </w:r>
    </w:p>
    <w:p>
      <w:pPr>
        <w:spacing w:after="0" w:line="75"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preclinical studies, initiate and complete clinical trials for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 xml:space="preserve">Revenue to date was generated from our collaboration agreement with AbbVie. In May 2020, we announced the termination of our collaboration with AbbVie. Upon termination of the collaboration with AbbVie, we regained all rights to develop the IBD Synthetic Biotic medicines previously developed with AbbVie as well as new IBD Synthetic Biotic medicines for all effectors targeting IBD. Due to the termination of this Agreement, we do not expect further revenue from AbbVie. See Note 9, </w:t>
      </w:r>
      <w:r>
        <w:rPr>
          <w:rFonts w:ascii="Times New Roman" w:cs="Times New Roman" w:eastAsia="Times New Roman" w:hAnsi="Times New Roman"/>
          <w:sz w:val="18"/>
          <w:szCs w:val="18"/>
          <w:i w:val="1"/>
          <w:iCs w:val="1"/>
          <w:color w:val="auto"/>
        </w:rPr>
        <w:t>Collaboration Agreements: AbbVie Collaboration</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 for a full discussion of the arrangement.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8" w:lineRule="exact"/>
        <w:rPr>
          <w:sz w:val="20"/>
          <w:szCs w:val="20"/>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manufacturing space;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22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80"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Risks Related to the Development of Our Product Candidates</w:t>
      </w:r>
      <w:r>
        <w:rPr>
          <w:rFonts w:ascii="Times New Roman" w:cs="Times New Roman" w:eastAsia="Times New Roman" w:hAnsi="Times New Roman"/>
          <w:sz w:val="18"/>
          <w:szCs w:val="18"/>
          <w:color w:val="auto"/>
        </w:rPr>
        <w:t xml:space="preserve"> in Part II, Item 1A, found elsewhere in this Quarterly Report on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SYNB1618, SYNB1891 and SYNB8802 programs to increase as the programs progress through clinical trials and new programs progress toward IND and into development.</w:t>
      </w:r>
    </w:p>
    <w:p>
      <w:pPr>
        <w:spacing w:after="0" w:line="18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ectPr>
          <w:pgSz w:w="11900" w:h="16838" w:orient="portrait"/>
          <w:cols w:equalWidth="0" w:num="1">
            <w:col w:w="11220"/>
          </w:cols>
          <w:pgMar w:left="320" w:top="580" w:right="359" w:bottom="1440" w:gutter="0" w:footer="0" w:header="0"/>
        </w:sectPr>
      </w:pPr>
    </w:p>
    <w:p>
      <w:pPr>
        <w:spacing w:after="0" w:line="262"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7620</wp:posOffset>
            </wp:positionV>
            <wp:extent cx="1448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-635</wp:posOffset>
            </wp:positionV>
            <wp:extent cx="1448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ind w:left="6160"/>
        <w:spacing w:after="0"/>
        <w:tabs>
          <w:tab w:leader="none" w:pos="740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wp:posOffset>
            </wp:positionV>
            <wp:extent cx="1457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-635</wp:posOffset>
            </wp:positionV>
            <wp:extent cx="1457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60"/>
        <w:spacing w:after="0"/>
        <w:tabs>
          <w:tab w:leader="none" w:pos="12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p>
    <w:p>
      <w:pPr>
        <w:sectPr>
          <w:pgSz w:w="11900" w:h="16838" w:orient="portrait"/>
          <w:cols w:equalWidth="0" w:num="2">
            <w:col w:w="7880" w:space="720"/>
            <w:col w:w="2620"/>
          </w:cols>
          <w:pgMar w:left="320" w:top="580" w:right="35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48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3"/>
        </w:trPr>
        <w:tc>
          <w:tcPr>
            <w:tcW w:w="48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SYNB1020</w:t>
            </w:r>
          </w:p>
        </w:tc>
        <w:tc>
          <w:tcPr>
            <w:tcW w:w="680" w:type="dxa"/>
            <w:vAlign w:val="bottom"/>
            <w:gridSpan w:val="2"/>
            <w:shd w:val="clear" w:color="auto" w:fill="CFF0FC"/>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540" w:type="dxa"/>
            <w:vAlign w:val="bottom"/>
            <w:gridSpan w:val="2"/>
            <w:shd w:val="clear" w:color="auto" w:fill="CFF0FC"/>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498</w:t>
            </w:r>
          </w:p>
        </w:tc>
        <w:tc>
          <w:tcPr>
            <w:tcW w:w="520" w:type="dxa"/>
            <w:vAlign w:val="bottom"/>
            <w:gridSpan w:val="2"/>
            <w:shd w:val="clear" w:color="auto" w:fill="CFF0FC"/>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2,476</w:t>
            </w:r>
          </w:p>
        </w:tc>
        <w:tc>
          <w:tcPr>
            <w:tcW w:w="100" w:type="dxa"/>
            <w:vAlign w:val="bottom"/>
            <w:shd w:val="clear" w:color="auto" w:fill="CFF0FC"/>
          </w:tcPr>
          <w:p>
            <w:pPr>
              <w:spacing w:after="0"/>
              <w:rPr>
                <w:sz w:val="17"/>
                <w:szCs w:val="17"/>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SYNB1618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SYNB1891</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SYNB8802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pre-development candidate expenses and unallocated</w:t>
            </w: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FF0FC"/>
          </w:tcPr>
          <w:p>
            <w:pPr>
              <w:spacing w:after="0"/>
              <w:rPr>
                <w:sz w:val="20"/>
                <w:szCs w:val="20"/>
                <w:color w:val="auto"/>
              </w:rPr>
            </w:pPr>
          </w:p>
        </w:tc>
      </w:tr>
      <w:tr>
        <w:trPr>
          <w:trHeight w:val="229"/>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00" w:type="dxa"/>
            <w:vAlign w:val="bottom"/>
            <w:tcBorders>
              <w:bottom w:val="single" w:sz="8" w:color="CFF0FC"/>
            </w:tcBorders>
          </w:tcPr>
          <w:p>
            <w:pPr>
              <w:spacing w:after="0"/>
              <w:rPr>
                <w:sz w:val="19"/>
                <w:szCs w:val="19"/>
                <w:color w:val="auto"/>
              </w:rPr>
            </w:pPr>
          </w:p>
        </w:tc>
      </w:tr>
      <w:tr>
        <w:trPr>
          <w:trHeight w:val="223"/>
        </w:trPr>
        <w:tc>
          <w:tcPr>
            <w:tcW w:w="4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primarily of income earned on investments. Interest expense consists of expense related to our finance leases. Other expense consists primarily of gains and losses on foreign currency invoices.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in our 2019 Annual Report. During the nine months ended September 30, 2020, there were no material changes to our critical accounting policies. We believe that these identified policies are critical to fully understanding and evaluating our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type w:val="continuous"/>
        </w:sectPr>
      </w:pPr>
    </w:p>
    <w:bookmarkStart w:id="23" w:name="page24"/>
    <w:bookmarkEnd w:id="23"/>
    <w:p>
      <w:pPr>
        <w:ind w:firstLine="510"/>
        <w:spacing w:after="0" w:line="255" w:lineRule="auto"/>
        <w:rPr>
          <w:sz w:val="20"/>
          <w:szCs w:val="20"/>
          <w:color w:val="auto"/>
        </w:rPr>
      </w:pPr>
      <w:r>
        <w:rPr>
          <w:rFonts w:ascii="Times New Roman" w:cs="Times New Roman" w:eastAsia="Times New Roman" w:hAnsi="Times New Roman"/>
          <w:sz w:val="18"/>
          <w:szCs w:val="18"/>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Three Months Ended September 30, 2019</w:t>
      </w:r>
    </w:p>
    <w:p>
      <w:pPr>
        <w:spacing w:after="0" w:line="30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1"/>
        </w:trPr>
        <w:tc>
          <w:tcPr>
            <w:tcW w:w="428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35"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There was no revenue for the three months ended September 30, 2020 and $0.3 for the three months ended September 30, 2019. Revenue for the three months ended September 30, 2019 was related to the recognition of deferred revenue from services performed and payments received under the AbbVie collaboration. In May 2020, we announced the termination of our collaboration with AbbVie.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was $10.5 million for the three months ended September 30, 2020 compared to $10.6 million in the corresponding period in 2019. The decrease in research and development expense was primarily due to a decrease of $1.7 million of clinical development costs, $1.3 million for our SYNB1618 program and $0.4 million for our SYNB1020 program. There was a $0.5 million decrease of compensation, benefits and other employee-related expenses, a $0.3 million decrease of professional services and research and development support costs. These decreases were partially offset by increases of $2.1 million of nonclinical development costs, mostly for our new early development programs and SYNB1618 program, $0.2 million of clinical development costs for our SYNB1891 program, and $0.1 million of clinical development costs for our SYNB8802 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$3.0 million for the three months ended September 30, 2020 compared to $3.9 million for the corresponding period in 2019. The decrease was primarily due to decreases in compensation, benefits and other employee-related expenses, decreases in legal and consulting expenses, and slight decreases in headcount-related expenses.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Other income (expense) was $0.2 million for the three months ended September 30, 2020, compared to $0.9 million for the corresponding period in 2019. The decrease in other income (expense) of $0.6 million was related to a decrease in interest and investment income resulting from lower cash balances and lower interest income generated by our investment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Nine Months Ended September 30, 2019</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35"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Revenue was $0.5 million for the nine months ended September 30, 2020 as compared to $1.0 million for the nine months ended September 30, 2019. Revenue for both periods was related to the recognition of deferred revenue from services performed and payments received under the AbbVie collaboration. In May 2020, we announced the termination of our collaboration with AbbVie.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was $36.1 million for the nine months ended September 30, 2020 as compared to $30.7 million for the corresponding period in 2019. The increase in research and development expense was primarily due to an increase of $9.6 million of nonclinical development costs, mostly for our new early development programs and SYNB1618 program, an increase of $0.9 million of clinical development costs, $0.8 for our SYNB1891 program and $0.1 million for our SYNB8802 program. These increases were partially offset by decreases of $2.7 million of clinical development costs, $1.9 million for our SYNB1020 program and $0.8 million for our SYNB1618 program, $1.2 million of compensation, benefits and other employee-related expenses, $0.8 million of manufacturing costs, and $0.4 million of professional services.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$10.3 million for the nine months ended September 30, 2020 compared to $11.3 million for the corresponding period in 2019. The decrease was primarily due to decreases in compensation, benefits, other employee-related expenses, headcount-related expenses and professional services.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was $1.2 million for the nine months ended September 30, 2020, compared to $2.4 million for the corresponding period in</w:t>
      </w:r>
    </w:p>
    <w:p>
      <w:pPr>
        <w:spacing w:after="0" w:line="27"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2019. The decrease in other income (expense) of $1.2 million was related to a decrease in interest and investment income resulting from lower cash balances and lower interest rates generated by our investment account.</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September 30, 2020 we had an accumulated deficit of approximately $215.7 million. We have financed our operations to date primarily through the sale of preferred stock, common stock, preferred units, warrants, payments received under the AbbVie collaboration agreement, interest earned on investments, and cash received in the Merger. In June 2019, we issued to Ginkgo 6,340,771 shares of common stock and accompanying Pre-Funded warrants to purchase an aggregate of 2,548,117 shares of common stock, at a combined purchase price per share and Pre-Funded Warrant of $9.00. The Pre-Funded Warrants have an exercise price of $9.00 per share, with $8.99 of such exercise price paid at the closing of the offering. The net proceeds to us were approximately $79.9 million. At September 30, 2020, we had approximately $102.0 million in cash, cash equivalents, and short-term marketable securities. Our cash and cash equivalents include amounts held in money market funds and corporate debt securities, stated at cost plus unrealized gain and loss, which approximates fair market value. Our available-for-sale securities include amounts held in corporate debt securities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92"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our cash, cash equivalents and marketable securities balance decreased approximately $25.1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 We also made capital purchases and made payments on our finance leases.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 (in thousands):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(29,665)</w:t>
            </w:r>
          </w:p>
        </w:tc>
        <w:tc>
          <w:tcPr>
            <w:tcW w:w="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(64,254)</w:t>
            </w:r>
          </w:p>
        </w:tc>
      </w:tr>
      <w:tr>
        <w:trPr>
          <w:trHeight w:val="230"/>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FF0FC"/>
          </w:tcPr>
          <w:p>
            <w:pPr>
              <w:spacing w:after="0"/>
              <w:rPr>
                <w:sz w:val="19"/>
                <w:szCs w:val="19"/>
                <w:color w:val="auto"/>
              </w:rPr>
            </w:pPr>
          </w:p>
        </w:tc>
      </w:tr>
      <w:tr>
        <w:trPr>
          <w:trHeight w:val="229"/>
        </w:trPr>
        <w:tc>
          <w:tcPr>
            <w:tcW w:w="49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8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$29.7 million for the nine months ended September 30,</w:t>
      </w:r>
    </w:p>
    <w:p>
      <w:pPr>
        <w:spacing w:after="0" w:line="2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2020. The primary use of cash was our net loss of $44.6 million, which was partially offset by $6.3 million of non-cash items primarily including depreciation and equity-based compensation. There was an increase in working capital of $8.6 million, primarily related to decreases in prepaid research and development expenses, as result of our June 2019 services agreement with Ginkgo, decreases in prepaid expenses and other current assets, offset by decreases in accounts payable, accrued expenses, operating lease liability and right of use asset and deferred revenue.</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approximately $64.3 million for the nine months ended September 30,</w:t>
      </w:r>
    </w:p>
    <w:p>
      <w:pPr>
        <w:spacing w:after="0" w:line="27" w:lineRule="exact"/>
        <w:rPr>
          <w:sz w:val="20"/>
          <w:szCs w:val="20"/>
          <w:color w:val="auto"/>
        </w:rPr>
      </w:pPr>
    </w:p>
    <w:p>
      <w:pPr>
        <w:jc w:val="both"/>
        <w:ind w:right="380"/>
        <w:spacing w:after="0" w:line="253" w:lineRule="auto"/>
        <w:rPr>
          <w:sz w:val="20"/>
          <w:szCs w:val="20"/>
          <w:color w:val="auto"/>
        </w:rPr>
      </w:pPr>
      <w:r>
        <w:rPr>
          <w:rFonts w:ascii="Times New Roman" w:cs="Times New Roman" w:eastAsia="Times New Roman" w:hAnsi="Times New Roman"/>
          <w:sz w:val="18"/>
          <w:szCs w:val="18"/>
          <w:color w:val="auto"/>
        </w:rPr>
        <w:t>2019. The primary use of cash was our net loss of $38.6 million and a decrease in working capital of $30.6 million, primarily related to increases in prepaid research and development expenses, as a result of our June 2019 services agreement with Ginkgo (See Note 12 of the unaudited consolidated financial statements), an increase in prepaid expenses and other current assets, decreases in accounts payable and accrued expenses, and an increase in operating lease liability and right of use asset, offset by an increase in deferred revenue. Net loss was partially offset by $4.9 million of non-cash items primarily including depreciation and equity-based compensation.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2020 was $25.4 million and resulted primarily from the proceeds from maturity of marketable securities of $61.7 million and proceeds from redemption of marketable securities of $16.7 million. This was offset by the purchases of marketable securities of $52.7 million and property and equipment of $0.4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6" w:name="page27"/>
    <w:bookmarkEnd w:id="26"/>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2019 was $0.8 million and resulted primarily from the purchases of marketable securities of $129.5 million and purchases of property and equipment of $0.8 million. These uses were partially offset by the proceeds from maturity of marketable securities of $131.1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2020 totaled $4.9 million, primarily related to net proceeds of $5.1 million from the sale of our common stock in the ATM offering program, offset by payments on our finance leases.</w:t>
      </w:r>
    </w:p>
    <w:p>
      <w:pPr>
        <w:spacing w:after="0" w:line="162"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2019 totaled $79.7 million related to net proceeds of $79.9 million from the sale of our common stock and Pre-Funded Warrants in June 2019 offset by payments on our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7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have historically generated revenue from our AbbVie collaboration, but have not generated any product revenue since our inception and do not expect to generate any product revenue unless we receive regulatory approval for our product candidates. We believe that our cash, cash equivalents, and short-term marketable securities as of September 30, 2020,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89"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68"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or by other health epidemics or pandemics.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7" w:name="page28"/>
    <w:bookmarkEnd w:id="27"/>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2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and commitments set forth under the heading “Management’s Discussion and Analysis of Financial Condition and Results of Operations- Contractual Obligations and Commitments” in our 2019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For a description of transactions with related parties which may fall outside of the reporting period of this section, please see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xml:space="preserve"> in our proxy statement filed with the SEC on April 17,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 xml:space="preserve">For detailed information regarding recently issued accounting pronouncements and the expected impact on our consolidated financial statements,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this information required under this item.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8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September 30, 2020 that have materially affected, or are reasonably likely to materially affect, our internal controls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 Risk Factors.</w:t>
      </w:r>
    </w:p>
    <w:p>
      <w:pPr>
        <w:spacing w:after="0" w:line="119" w:lineRule="exact"/>
        <w:rPr>
          <w:sz w:val="20"/>
          <w:szCs w:val="20"/>
          <w:color w:val="auto"/>
        </w:rPr>
      </w:pPr>
    </w:p>
    <w:p>
      <w:pPr>
        <w:ind w:right="1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84"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5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of Synthetic Biotic medicines and we have incurred significant operating losses since our inception. Our net loss was approximately $13.2 million and $44.6 million for the three and nine months ended September 30, 2020, respectively and $13.3 million and $38.6 million for the three and nine months ended September 30, 2019, respectively. As of September 30, 2020, we had an accumulated deficit of approximately $215.7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8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0" w:name="page31"/>
    <w:bookmarkEnd w:id="30"/>
    <w:p>
      <w:pPr>
        <w:ind w:firstLine="510"/>
        <w:spacing w:after="0" w:line="253"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94" w:lineRule="exact"/>
        <w:rPr>
          <w:sz w:val="20"/>
          <w:szCs w:val="20"/>
          <w:color w:val="auto"/>
        </w:rPr>
      </w:pPr>
    </w:p>
    <w:p>
      <w:pPr>
        <w:ind w:right="460" w:firstLine="510"/>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68" w:lineRule="exact"/>
        <w:rPr>
          <w:sz w:val="20"/>
          <w:szCs w:val="20"/>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w:t>
      </w:r>
    </w:p>
    <w:p>
      <w:pPr>
        <w:spacing w:after="0" w:line="225"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72" w:lineRule="exact"/>
        <w:rPr>
          <w:sz w:val="20"/>
          <w:szCs w:val="20"/>
          <w:color w:val="auto"/>
        </w:rPr>
      </w:pPr>
    </w:p>
    <w:p>
      <w:pPr>
        <w:ind w:left="1000" w:right="60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 w:name="page32"/>
    <w:bookmarkEnd w:id="31"/>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earthquakes or other natural disasters;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25"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announced that we dosed the first patient in our Phase 1b/2a clinical trial of SYNB1020 for treatment of hyperammonemia in patients with cirrhosis. Based on the data obtained in this clinical trial, the SYNB1020 program was discontinued in August 2019.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All of our other therapeutic programs are still in the preclinical development stage.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1" w:lineRule="exact"/>
        <w:rPr>
          <w:sz w:val="20"/>
          <w:szCs w:val="20"/>
          <w:color w:val="auto"/>
        </w:rPr>
      </w:pPr>
    </w:p>
    <w:p>
      <w:pPr>
        <w:ind w:right="60" w:firstLine="510"/>
        <w:spacing w:after="0" w:line="289" w:lineRule="auto"/>
        <w:rPr>
          <w:sz w:val="20"/>
          <w:szCs w:val="20"/>
          <w:color w:val="auto"/>
        </w:rPr>
      </w:pPr>
      <w:r>
        <w:rPr>
          <w:rFonts w:ascii="Times New Roman" w:cs="Times New Roman" w:eastAsia="Times New Roman" w:hAnsi="Times New Roman"/>
          <w:sz w:val="17"/>
          <w:szCs w:val="17"/>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50" w:lineRule="exact"/>
        <w:rPr>
          <w:sz w:val="20"/>
          <w:szCs w:val="20"/>
          <w:color w:val="auto"/>
        </w:rPr>
      </w:pPr>
    </w:p>
    <w:p>
      <w:pPr>
        <w:ind w:left="1000" w:right="14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53" w:lineRule="exact"/>
        <w:rPr>
          <w:rFonts w:ascii="Times New Roman" w:cs="Times New Roman" w:eastAsia="Times New Roman" w:hAnsi="Times New Roman"/>
          <w:sz w:val="18"/>
          <w:szCs w:val="18"/>
          <w:color w:val="auto"/>
        </w:rPr>
      </w:pPr>
    </w:p>
    <w:p>
      <w:pPr>
        <w:ind w:left="1000" w:right="80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53" w:lineRule="exact"/>
        <w:rPr>
          <w:rFonts w:ascii="Times New Roman" w:cs="Times New Roman" w:eastAsia="Times New Roman" w:hAnsi="Times New Roman"/>
          <w:sz w:val="18"/>
          <w:szCs w:val="18"/>
          <w:color w:val="auto"/>
        </w:rPr>
      </w:pPr>
    </w:p>
    <w:p>
      <w:pPr>
        <w:ind w:left="1000" w:right="60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7" w:lineRule="exact"/>
        <w:rPr>
          <w:rFonts w:ascii="Times New Roman" w:cs="Times New Roman" w:eastAsia="Times New Roman" w:hAnsi="Times New Roman"/>
          <w:sz w:val="18"/>
          <w:szCs w:val="18"/>
          <w:color w:val="auto"/>
        </w:rPr>
      </w:pPr>
    </w:p>
    <w:p>
      <w:pPr>
        <w:ind w:left="1000" w:right="160" w:hanging="493"/>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3" w:name="page34"/>
    <w:bookmarkEnd w:id="3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5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0"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76"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34" w:name="page35"/>
    <w:bookmarkEnd w:id="34"/>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2"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2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Some of our product candidates have produced results in preclinical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2"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On August 20, 2019, we announced that we were discontinuing our first therapeutic program to enter clinical trials,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 As a result, we have become more dependent on the success of our SYNB1618 and SYNB1891 programs and new early development programs, including SYNB8802.</w:t>
      </w:r>
    </w:p>
    <w:p>
      <w:pPr>
        <w:spacing w:after="0" w:line="18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5" w:name="page36"/>
    <w:bookmarkEnd w:id="35"/>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9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 w:name="page37"/>
    <w:bookmarkEnd w:id="36"/>
    <w:p>
      <w:pPr>
        <w:ind w:right="40"/>
        <w:spacing w:after="0" w:line="258" w:lineRule="auto"/>
        <w:rPr>
          <w:sz w:val="20"/>
          <w:szCs w:val="20"/>
          <w:color w:val="auto"/>
        </w:rPr>
      </w:pPr>
      <w:r>
        <w:rPr>
          <w:rFonts w:ascii="Times New Roman" w:cs="Times New Roman" w:eastAsia="Times New Roman" w:hAnsi="Times New Roman"/>
          <w:sz w:val="18"/>
          <w:szCs w:val="18"/>
          <w:color w:val="auto"/>
        </w:rPr>
        <w:t>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84" w:lineRule="exact"/>
        <w:rPr>
          <w:sz w:val="20"/>
          <w:szCs w:val="20"/>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225" w:lineRule="exact"/>
        <w:rPr>
          <w:sz w:val="20"/>
          <w:szCs w:val="20"/>
          <w:color w:val="auto"/>
        </w:rPr>
      </w:pPr>
    </w:p>
    <w:p>
      <w:pPr>
        <w:ind w:right="580" w:firstLine="510"/>
        <w:spacing w:after="0" w:line="282"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26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earthquakes or other natural disasters and our business continuity and disaster recovery plans may not adequately protect us from a serious disaster.</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7" w:name="page38"/>
    <w:bookmarkEnd w:id="37"/>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A pandemic, epidemic, or outbreak of an infectious disease, such as COVID-19 may materially and adversely affect our business and our financial results.</w:t>
      </w:r>
    </w:p>
    <w:p>
      <w:pPr>
        <w:spacing w:after="0" w:line="5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212529"/>
        </w:rPr>
        <w:t>The coronavirus outbreak has affected segments of the global economy and may materially affect our operations, including potentially significant interruption of our clinical trial activities and pre-commercial launch activities. COVID-19 originated in Wuhan, China, in December 2019 the virus has since spread to multiple countries, including the United States, where we are currently conducting our clinical trials.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w:t>
      </w:r>
    </w:p>
    <w:p>
      <w:pPr>
        <w:spacing w:after="0" w:line="187"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212529"/>
        </w:rPr>
        <w:t>The continued spread globally could also have a material adverse effect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7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212529"/>
        </w:rPr>
        <w:t>We are closely monitoring the potential impact of the coronavirus outbreak, and the associated restrictions on travel and work that have been implemented, on our business and pre-clinical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Over the coming weeks and months, we will continue to carefully monitor the situation with respect to each of our clinical trials and follow guidance from local and federal health authorities.</w:t>
      </w:r>
    </w:p>
    <w:p>
      <w:pPr>
        <w:spacing w:after="0" w:line="183"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212529"/>
        </w:rPr>
        <w:t xml:space="preserve">COVID-19 may also affect employees of third-party contract research organizations and </w:t>
      </w:r>
      <w:r>
        <w:rPr>
          <w:rFonts w:ascii="Times New Roman" w:cs="Times New Roman" w:eastAsia="Times New Roman" w:hAnsi="Times New Roman"/>
          <w:sz w:val="18"/>
          <w:szCs w:val="18"/>
          <w:color w:val="000000"/>
        </w:rPr>
        <w:t>contract manufacturing organizations</w:t>
      </w:r>
      <w:r>
        <w:rPr>
          <w:rFonts w:ascii="Times New Roman" w:cs="Times New Roman" w:eastAsia="Times New Roman" w:hAnsi="Times New Roman"/>
          <w:sz w:val="18"/>
          <w:szCs w:val="18"/>
          <w:color w:val="212529"/>
        </w:rPr>
        <w:t xml:space="preserve"> located in affected geographies that we rely upon to carry out our clinical trials. In addition, we have taken precautionary measures, and may take additional</w:t>
      </w:r>
    </w:p>
    <w:p>
      <w:pPr>
        <w:ind w:right="20"/>
        <w:spacing w:after="0" w:line="255" w:lineRule="auto"/>
        <w:rPr>
          <w:sz w:val="20"/>
          <w:szCs w:val="20"/>
          <w:color w:val="auto"/>
        </w:rPr>
      </w:pPr>
      <w:r>
        <w:rPr>
          <w:rFonts w:ascii="Times New Roman" w:cs="Times New Roman" w:eastAsia="Times New Roman" w:hAnsi="Times New Roman"/>
          <w:sz w:val="18"/>
          <w:szCs w:val="18"/>
          <w:color w:val="212529"/>
        </w:rPr>
        <w:t>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8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212529"/>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right="40" w:firstLine="510"/>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8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38" w:name="page39"/>
    <w:bookmarkEnd w:id="38"/>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5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0"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80"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Times New Roman" w:cs="Times New Roman" w:eastAsia="Times New Roman" w:hAnsi="Times New Roman"/>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0"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25"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9" w:name="page40"/>
    <w:bookmarkEnd w:id="39"/>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260" w:firstLine="510"/>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financial condition or results of operations.</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8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5" w:lineRule="exact"/>
        <w:rPr>
          <w:sz w:val="20"/>
          <w:szCs w:val="20"/>
          <w:color w:val="auto"/>
        </w:rPr>
      </w:pPr>
    </w:p>
    <w:p>
      <w:pPr>
        <w:jc w:val="both"/>
        <w:ind w:left="1000" w:right="120" w:hanging="493"/>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0" w:name="page41"/>
    <w:bookmarkEnd w:id="40"/>
    <w:p>
      <w:pPr>
        <w:jc w:val="both"/>
        <w:ind w:left="1000" w:right="120" w:hanging="493"/>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67"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1" w:lineRule="exact"/>
        <w:rPr>
          <w:rFonts w:ascii="Times New Roman" w:cs="Times New Roman" w:eastAsia="Times New Roman" w:hAnsi="Times New Roman"/>
          <w:sz w:val="18"/>
          <w:szCs w:val="18"/>
          <w:color w:val="auto"/>
        </w:rPr>
      </w:pPr>
    </w:p>
    <w:p>
      <w:pPr>
        <w:ind w:left="1000" w:right="20" w:hanging="493"/>
        <w:spacing w:after="0" w:line="255"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9"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2"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1" w:name="page42"/>
    <w:bookmarkEnd w:id="41"/>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80" w:lineRule="exact"/>
        <w:rPr>
          <w:sz w:val="20"/>
          <w:szCs w:val="20"/>
          <w:color w:val="auto"/>
        </w:rPr>
      </w:pPr>
    </w:p>
    <w:p>
      <w:pPr>
        <w:jc w:val="both"/>
        <w:ind w:right="40" w:firstLine="510"/>
        <w:spacing w:after="0" w:line="261"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9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225"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76"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83"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addition, the European Parliament and the Council of the European Union adopted a comprehensive general data privacy regulation ("GDPR") in 2016 to replace the current European Union Data Protection Directive and related country-specific legislation. The GDPR took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w:t>
      </w:r>
    </w:p>
    <w:p>
      <w:pPr>
        <w:spacing w:after="0" w:line="19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 w:name="page43"/>
    <w:bookmarkEnd w:id="42"/>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In the United States, California recently adopted the California Consumer Privacy Act of 2018, or CCPA, which came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0"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8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83"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3"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9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83"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0"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5" w:name="page46"/>
    <w:bookmarkEnd w:id="45"/>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6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92"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6" w:name="page47"/>
    <w:bookmarkEnd w:id="46"/>
    <w:p>
      <w:pPr>
        <w:ind w:right="140"/>
        <w:spacing w:after="0" w:line="258" w:lineRule="auto"/>
        <w:rPr>
          <w:sz w:val="20"/>
          <w:szCs w:val="20"/>
          <w:color w:val="auto"/>
        </w:rPr>
      </w:pPr>
      <w:r>
        <w:rPr>
          <w:rFonts w:ascii="Times New Roman" w:cs="Times New Roman" w:eastAsia="Times New Roman" w:hAnsi="Times New Roman"/>
          <w:sz w:val="18"/>
          <w:szCs w:val="18"/>
          <w:color w:val="auto"/>
        </w:rPr>
        <w:t>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83"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8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67"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jc w:val="both"/>
        <w:ind w:right="200" w:firstLine="510"/>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9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5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80"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0"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0"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3"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7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79" w:lineRule="exact"/>
        <w:rPr>
          <w:sz w:val="20"/>
          <w:szCs w:val="20"/>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29"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180" w:firstLine="510"/>
        <w:spacing w:after="0" w:line="289" w:lineRule="auto"/>
        <w:rPr>
          <w:sz w:val="20"/>
          <w:szCs w:val="20"/>
          <w:color w:val="auto"/>
        </w:rPr>
      </w:pPr>
      <w:r>
        <w:rPr>
          <w:rFonts w:ascii="Times New Roman" w:cs="Times New Roman" w:eastAsia="Times New Roman" w:hAnsi="Times New Roman"/>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1" w:name="page52"/>
    <w:bookmarkEnd w:id="51"/>
    <w:p>
      <w:pPr>
        <w:ind w:left="1000" w:right="20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00" w:right="50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3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51"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right="240" w:firstLine="510"/>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6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PTC Therapeutics, Nestlé Health Science S.A. / Codexis, Inc., Homology Medicines, Inc., American Gene Technologies International Inc., Sangamo Therapeutics, Inc., Sanofi S.A., Generation Bio Co., Agios, Inc., Trucode Gene Repair, Inc., SOM Biotech SL and other discovery stage companies have developed or are developing product candidates for the treatment of PKU. Allena Pharmaceuticals, Inc, Novome Biotechnologies, Inc., Oxidien Pharmaceuticals L.L.C., Federation Bio and others are developing product candidates for Enteric Hyperoxaluria. Chinook Therapeutics, Inc. (formerly Aduro Biotech, Inc.), Merck &amp; Co. Inc., Spring Bank Pharmaceuticals, Inc., GlaxoSmithKline plc., Bristol Myers Squibb Company have STING agonists in clinical development.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87"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62"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2" w:lineRule="exact"/>
        <w:rPr>
          <w:sz w:val="20"/>
          <w:szCs w:val="20"/>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3" w:name="page54"/>
    <w:bookmarkEnd w:id="53"/>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9" w:lineRule="exact"/>
        <w:rPr>
          <w:sz w:val="20"/>
          <w:szCs w:val="20"/>
          <w:color w:val="auto"/>
        </w:rPr>
      </w:pPr>
    </w:p>
    <w:p>
      <w:pPr>
        <w:ind w:left="1000" w:right="52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5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4" w:name="page55"/>
    <w:bookmarkEnd w:id="54"/>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87" w:lineRule="exact"/>
        <w:rPr>
          <w:sz w:val="20"/>
          <w:szCs w:val="20"/>
          <w:color w:val="auto"/>
        </w:rPr>
      </w:pPr>
    </w:p>
    <w:p>
      <w:pPr>
        <w:ind w:right="280" w:firstLine="51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5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3"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51"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5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Our executive officers are parties to employment agreements providing for aggregate cash payments of up to approximately $1.4 million at September 30, 2020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October 29, 2020, our executive officers and directors, together with holders of 5% or more of our common stock outstanding and their respective affiliates, beneficially own approximately 44.3%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October 29, 2020, there were a total of 34,833,584 shares of our common stock outstanding.</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ind w:left="1000" w:right="220" w:hanging="493"/>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under these arrangements;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25"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2" w:lineRule="exact"/>
        <w:rPr>
          <w:sz w:val="20"/>
          <w:szCs w:val="20"/>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117" w:lineRule="exact"/>
        <w:rPr>
          <w:rFonts w:ascii="Times New Roman" w:cs="Times New Roman" w:eastAsia="Times New Roman" w:hAnsi="Times New Roman"/>
          <w:sz w:val="18"/>
          <w:szCs w:val="18"/>
          <w:color w:val="auto"/>
        </w:rPr>
      </w:pPr>
    </w:p>
    <w:p>
      <w:pPr>
        <w:ind w:left="1000" w:right="42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6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80"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7" w:name="page58"/>
    <w:bookmarkEnd w:id="57"/>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0"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5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80" w:type="dxa"/>
            <w:vAlign w:val="bottom"/>
            <w:gridSpan w:val="4"/>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1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8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433"/>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4"/>
                <w:szCs w:val="24"/>
                <w:color w:val="auto"/>
              </w:rPr>
            </w:pPr>
          </w:p>
        </w:tc>
        <w:tc>
          <w:tcPr>
            <w:tcW w:w="5760" w:type="dxa"/>
            <w:vAlign w:val="bottom"/>
            <w:gridSpan w:val="7"/>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u w:val="single" w:color="auto"/>
                  <w:color w:val="0000EE"/>
                </w:rPr>
                <w:t>Certification of Chief Executive Officer required by Rule 13a-14(a) or Rule 15d-14(a)</w:t>
              </w:r>
              <w:r>
                <w:rPr>
                  <w:rFonts w:ascii="Times New Roman" w:cs="Times New Roman" w:eastAsia="Times New Roman" w:hAnsi="Times New Roman"/>
                  <w:sz w:val="16"/>
                  <w:szCs w:val="16"/>
                  <w:color w:val="0000EE"/>
                </w:rPr>
                <w:t>.</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4"/>
                <w:szCs w:val="24"/>
                <w:color w:val="auto"/>
              </w:rPr>
            </w:pPr>
          </w:p>
        </w:tc>
        <w:tc>
          <w:tcPr>
            <w:tcW w:w="5760" w:type="dxa"/>
            <w:vAlign w:val="bottom"/>
            <w:gridSpan w:val="7"/>
          </w:tcPr>
          <w:p>
            <w:pPr>
              <w:spacing w:after="0"/>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Certification of Interim Chief Financial Officer required by Rule 13a-14(a) or Rule</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80" w:type="dxa"/>
            <w:vAlign w:val="bottom"/>
            <w:tcBorders>
              <w:top w:val="single" w:sz="8" w:color="0000EE"/>
            </w:tcBorders>
            <w:gridSpan w:val="5"/>
          </w:tcPr>
          <w:p>
            <w:pPr>
              <w:spacing w:after="0" w:line="183" w:lineRule="exact"/>
              <w:rPr>
                <w:rFonts w:ascii="Times New Roman" w:cs="Times New Roman" w:eastAsia="Times New Roman" w:hAnsi="Times New Roman"/>
                <w:sz w:val="16"/>
                <w:szCs w:val="16"/>
                <w:color w:val="0000EE"/>
              </w:rPr>
            </w:pPr>
            <w:hyperlink w:anchor="page62">
              <w:r>
                <w:rPr>
                  <w:rFonts w:ascii="Times New Roman" w:cs="Times New Roman" w:eastAsia="Times New Roman" w:hAnsi="Times New Roman"/>
                  <w:sz w:val="16"/>
                  <w:szCs w:val="16"/>
                  <w:color w:val="0000EE"/>
                </w:rPr>
                <w:t>15d-14(a).</w:t>
              </w:r>
            </w:hyperlink>
          </w:p>
        </w:tc>
        <w:tc>
          <w:tcPr>
            <w:tcW w:w="3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4"/>
                <w:szCs w:val="24"/>
                <w:color w:val="auto"/>
              </w:rPr>
            </w:pPr>
          </w:p>
        </w:tc>
        <w:tc>
          <w:tcPr>
            <w:tcW w:w="520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Certification required by Rule 13a-14(b) or Rule 15d-14(b) and Section 1350 of</w:t>
              </w:r>
            </w:hyperlink>
          </w:p>
        </w:tc>
        <w:tc>
          <w:tcPr>
            <w:tcW w:w="560" w:type="dxa"/>
            <w:vAlign w:val="bottom"/>
            <w:gridSpan w:val="3"/>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gridSpan w:val="7"/>
          </w:tcPr>
          <w:p>
            <w:pPr>
              <w:spacing w:after="0"/>
              <w:rPr>
                <w:rFonts w:ascii="Times New Roman" w:cs="Times New Roman" w:eastAsia="Times New Roman" w:hAnsi="Times New Roman"/>
                <w:sz w:val="16"/>
                <w:szCs w:val="16"/>
                <w:u w:val="single" w:color="auto"/>
                <w:color w:val="0000EE"/>
              </w:rPr>
            </w:pPr>
            <w:hyperlink w:anchor="page63">
              <w:r>
                <w:rPr>
                  <w:rFonts w:ascii="Times New Roman" w:cs="Times New Roman" w:eastAsia="Times New Roman" w:hAnsi="Times New Roman"/>
                  <w:sz w:val="16"/>
                  <w:szCs w:val="16"/>
                  <w:u w:val="single" w:color="auto"/>
                  <w:color w:val="0000EE"/>
                </w:rPr>
                <w:t>Chapter 63 of Title 18 of the United States Code (18 U.S.C. §1350).</w:t>
              </w:r>
            </w:hyperlink>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4"/>
                <w:szCs w:val="24"/>
                <w:color w:val="auto"/>
              </w:rPr>
            </w:pPr>
          </w:p>
        </w:tc>
        <w:tc>
          <w:tcPr>
            <w:tcW w:w="5760" w:type="dxa"/>
            <w:vAlign w:val="bottom"/>
            <w:gridSpan w:val="7"/>
          </w:tcPr>
          <w:p>
            <w:pPr>
              <w:spacing w:after="0"/>
              <w:rPr>
                <w:rFonts w:ascii="Times New Roman" w:cs="Times New Roman" w:eastAsia="Times New Roman" w:hAnsi="Times New Roman"/>
                <w:sz w:val="16"/>
                <w:szCs w:val="16"/>
                <w:color w:val="0000EE"/>
              </w:rPr>
            </w:pPr>
            <w:hyperlink w:anchor="page64">
              <w:r>
                <w:rPr>
                  <w:rFonts w:ascii="Times New Roman" w:cs="Times New Roman" w:eastAsia="Times New Roman" w:hAnsi="Times New Roman"/>
                  <w:sz w:val="16"/>
                  <w:szCs w:val="16"/>
                  <w:color w:val="0000EE"/>
                </w:rPr>
                <w:t>Certification required by Rule 13a-14(b) or Rule 15d-14(b) and Section 1350 of</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tcBorders>
              <w:top w:val="single" w:sz="8" w:color="0000EE"/>
            </w:tcBorders>
            <w:gridSpan w:val="3"/>
          </w:tcPr>
          <w:p>
            <w:pPr>
              <w:spacing w:after="0"/>
              <w:rPr>
                <w:rFonts w:ascii="Times New Roman" w:cs="Times New Roman" w:eastAsia="Times New Roman" w:hAnsi="Times New Roman"/>
                <w:sz w:val="16"/>
                <w:szCs w:val="16"/>
                <w:u w:val="single" w:color="auto"/>
                <w:color w:val="0000EE"/>
              </w:rPr>
            </w:pPr>
            <w:hyperlink w:anchor="page64">
              <w:r>
                <w:rPr>
                  <w:rFonts w:ascii="Times New Roman" w:cs="Times New Roman" w:eastAsia="Times New Roman" w:hAnsi="Times New Roman"/>
                  <w:sz w:val="16"/>
                  <w:szCs w:val="16"/>
                  <w:u w:val="single" w:color="auto"/>
                  <w:color w:val="0000EE"/>
                </w:rPr>
                <w:t>Chapter 63 of Title 18 of the United States Code (18 U.S.C. §1350).</w:t>
              </w:r>
            </w:hyperlink>
          </w:p>
        </w:tc>
        <w:tc>
          <w:tcPr>
            <w:tcW w:w="580" w:type="dxa"/>
            <w:vAlign w:val="bottom"/>
            <w:gridSpan w:val="4"/>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Interactive Date File because XBRL tags are embedded within the Inline XBRL</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5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951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00" w:right="20" w:hanging="492"/>
        <w:spacing w:after="0" w:line="275" w:lineRule="auto"/>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59" w:name="page60"/>
    <w:bookmarkEnd w:id="59"/>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SYNLOGIC, INC.</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546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Aoife Brennan</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546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Gregg Beloff</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860"/>
          </w:cols>
          <w:pgMar w:left="320" w:top="360" w:right="7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Aoife Brennan, certify that:</w:t>
      </w:r>
    </w:p>
    <w:p>
      <w:pPr>
        <w:spacing w:after="0" w:line="225"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40" w:right="320" w:hanging="573"/>
        <w:spacing w:after="0" w:line="266"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AOIFE BRENNAN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4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Gregg Beloff, certify that:</w:t>
      </w:r>
    </w:p>
    <w:p>
      <w:pPr>
        <w:spacing w:after="0" w:line="225"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 (the “registrant”);</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40" w:right="320" w:hanging="573"/>
        <w:spacing w:after="0" w:line="266" w:lineRule="auto"/>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GREGG BELOFF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34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September 30, 2020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68" w:lineRule="exact"/>
        <w:rPr>
          <w:sz w:val="20"/>
          <w:szCs w:val="20"/>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8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Aoife Brennan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117"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September 30, 2020 as filed with the Securities and Exchange Commission on the date hereof (the “Report”), I, Gregg Beloff, Interim Chief Financial Officer of the Company, certify, pursuant to 18 U.S.C. Section 1350, as adopted pursuant to Section 906 of the Sarbanes-Oxley Act of 2002, to my knowledge that:</w:t>
      </w:r>
    </w:p>
    <w:p>
      <w:pPr>
        <w:spacing w:after="0" w:line="68" w:lineRule="exact"/>
        <w:rPr>
          <w:sz w:val="20"/>
          <w:szCs w:val="20"/>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88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Gregg Beloff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117"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4"/>
    </w:lvl>
  </w:abstractNum>
  <w:abstractNum w:abstractNumId="13">
    <w:nsid w:val="1E7FF521"/>
    <w:multiLevelType w:val="hybridMultilevel"/>
    <w:lvl w:ilvl="0">
      <w:lvlJc w:val="left"/>
      <w:lvlText w:val="(%1)"/>
      <w:numFmt w:val="decimal"/>
      <w:start w:val="10"/>
    </w:lvl>
  </w:abstractNum>
  <w:abstractNum w:abstractNumId="14">
    <w:nsid w:val="7C3DBD3D"/>
    <w:multiLevelType w:val="hybridMultilevel"/>
    <w:lvl w:ilvl="0">
      <w:lvlJc w:val="left"/>
      <w:lvlText w:val="(%1)"/>
      <w:numFmt w:val="decimal"/>
      <w:start w:val="11"/>
    </w:lvl>
  </w:abstractNum>
  <w:abstractNum w:abstractNumId="15">
    <w:nsid w:val="737B8DDC"/>
    <w:multiLevelType w:val="hybridMultilevel"/>
    <w:lvl w:ilvl="0">
      <w:lvlJc w:val="left"/>
      <w:lvlText w:val="(%1)"/>
      <w:numFmt w:val="decimal"/>
      <w:start w:val="12"/>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1">
    <w:nsid w:val="2CD89A3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4">
    <w:nsid w:val="4B588F5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2020-11-05T05:35:09Z</dcterms:created>
  <dcterms:modified xsi:type="dcterms:W3CDTF">2020-11-05T05:35:09Z</dcterms:modified>
</cp:coreProperties>
</file>