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SYNLOGIC,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26-1824804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PO Box 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Winchester,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01890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659-2802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SYBX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November 21, 2025, Synlogic, Inc. (the “Company”) received a letter (the “Notice”) from the Listing Qualifications Department (the “Staff”) of The Nasdaq Stock Market LLC (“Nasdaq”) that stated the Staff’s belief that the Company is a “public shell” and that, therefore, the continued listing of its securities is no longer warranted in the view of the Staff. In the Notice, the Staff explained that it based this belief on its review of the Company’s public disclosures and materials submitted to the Staff by the Company. The Notice further advised that, unless the Company timely requested a hearing before a Hearings Panel (the “Panel”), it would be subject to suspension/delisting on December 2, 2025. On November 28, 2025, the Company timely requested a hearing before the Panel, which temporarily stayed the suspension of trading and delisting of the Company’s common stock from Nasdaq. The hearing was scheduled for January 20,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additional consideration, the Company has determined that it is no longer in its best interest to pursue continued listing of its common stock on The Nasdaq Capital Market and withdrew its request for a hearing on January 16, 2026. As a result, on January 16, 2026, the Company received notice from Nasdaq that its shares will be suspended at the open of business on January 21, 2026. Nasdaq is expected to file a Form 25 Notification of Delisting with the Securities Exchange Commission when all internal procedural periods have run.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and plans for its shares of common stock to be quoted by the OTC Markets Group, Inc. (“OTC”) upon being delisted from Nasdaq.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continue to remain a reporting company under the Securities Exchange Act of 1934, as amended, and the transition to OTC is not expected to affect the Company’s business operations. The Company will make additional disclosures relating to post-suspension trading as that information becomes available.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federal and state securities laws. Such statements can be identified by words such as “will likely result,” “expect,” “anticipate,” “estimate,” “believe,” “intend,” “plan,” “project,” “outlook,” “should,” “could,” “may” or words of similar meaning and include, but are not limited to, statements regarding our future business and financial performance and prospects, including our expectations regarding the transactions described in this Current Report on Form 8-K.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included in such forward-looking statements. Investors are cautioned not to place undue reliance on the forward-looking statements in this Current Report on Form 8-K, which information set forth herein speaks only as of the date hereof. The Company does not undertake, and it expressly disclaims, any intention or obligation to update any forward-looking statements made in this Current Report on Form 8-K, whether as a result of new information, future events or otherwise, except as required by law. A list and description of risks, uncertainties and other factors that could cause or contribute to differences in the Company’s results can be found in its filings with the SEC, including its most recent Annual Report on Form 10-K and subsequent filings. The Company qualifies all of its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3239770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20, 2026</w:t>
      </w:r>
      <w:r>
        <w:rPr>
          <w:sz w:val="20"/>
          <w:szCs w:val="20"/>
          <w:color w:val="auto"/>
        </w:rPr>
        <w:tab/>
      </w:r>
      <w:r>
        <w:rPr>
          <w:rFonts w:ascii="Times New Roman" w:cs="Times New Roman" w:eastAsia="Times New Roman" w:hAnsi="Times New Roman"/>
          <w:sz w:val="17"/>
          <w:szCs w:val="17"/>
          <w:color w:val="auto"/>
        </w:rPr>
        <w:t>Synlogic,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Beth Dooley</w:t>
            </w:r>
          </w:p>
        </w:tc>
      </w:tr>
      <w:tr>
        <w:trPr>
          <w:trHeight w:val="191"/>
        </w:trPr>
        <w:tc>
          <w:tcPr>
            <w:tcW w:w="64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Mary Beth Dooley</w:t>
            </w:r>
          </w:p>
        </w:tc>
      </w:tr>
      <w:tr>
        <w:trPr>
          <w:trHeight w:val="248"/>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357"/>
        </w:trPr>
        <w:tc>
          <w:tcPr>
            <w:tcW w:w="6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2026-01-20T08:05:46Z</dcterms:created>
  <dcterms:modified xsi:type="dcterms:W3CDTF">2026-01-20T08:05:46Z</dcterms:modified>
</cp:coreProperties>
</file>