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1010d8k.htm"/>
      <w:bookmarkStart w:id="1" w:name="ksd9101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27,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SYNLOGIC,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615" w:type="dxa"/>
        <w:jc w:val="left"/>
        <w:tblInd w:w="0" w:type="dxa"/>
        <w:tblLayout w:type="fixed"/>
        <w:tblCellMar>
          <w:top w:w="0" w:type="dxa"/>
          <w:left w:w="0" w:type="dxa"/>
          <w:bottom w:w="0" w:type="dxa"/>
          <w:right w:w="0" w:type="dxa"/>
        </w:tblCellMar>
      </w:tblPr>
      <w:tblGrid>
        <w:gridCol w:w="4070"/>
        <w:gridCol w:w="60"/>
        <w:gridCol w:w="1055"/>
        <w:gridCol w:w="60"/>
        <w:gridCol w:w="137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001-37566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26-1824804</w:t>
            </w:r>
          </w:p>
        </w:tc>
      </w:tr>
      <w:tr>
        <w:trPr/>
        <w:tc>
          <w:tcPr>
            <w:tcW w:w="40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PO Box 30</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Winchester, Massachusetts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01890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(617) 659-2802</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3915" w:type="dxa"/>
        <w:jc w:val="left"/>
        <w:tblInd w:w="0" w:type="dxa"/>
        <w:tblLayout w:type="fixed"/>
        <w:tblCellMar>
          <w:top w:w="0" w:type="dxa"/>
          <w:left w:w="0" w:type="dxa"/>
          <w:bottom w:w="0" w:type="dxa"/>
          <w:right w:w="0" w:type="dxa"/>
        </w:tblCellMar>
      </w:tblPr>
      <w:tblGrid>
        <w:gridCol w:w="1310"/>
        <w:gridCol w:w="60"/>
        <w:gridCol w:w="740"/>
        <w:gridCol w:w="60"/>
        <w:gridCol w:w="174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131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N/A</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 230.405) or Rule 12b-2 of the Securities Exchange Act of 1934 (17 CFR § 240.12b-2).</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05" w:type="dxa"/>
        <w:jc w:val="left"/>
        <w:tblInd w:w="0" w:type="dxa"/>
        <w:tblLayout w:type="fixed"/>
        <w:tblCellMar>
          <w:top w:w="0" w:type="dxa"/>
          <w:left w:w="0" w:type="dxa"/>
          <w:bottom w:w="0" w:type="dxa"/>
          <w:right w:w="0" w:type="dxa"/>
        </w:tblCellMar>
      </w:tblPr>
      <w:tblGrid>
        <w:gridCol w:w="965"/>
        <w:gridCol w:w="3740"/>
      </w:tblGrid>
      <w:tr>
        <w:trPr/>
        <w:tc>
          <w:tcPr>
            <w:tcW w:w="965" w:type="dxa"/>
            <w:tcBorders/>
            <w:vAlign w:val="center"/>
          </w:tcPr>
          <w:p>
            <w:pPr>
              <w:pStyle w:val="TableContents"/>
              <w:bidi w:val="0"/>
              <w:spacing w:before="0" w:after="283"/>
              <w:jc w:val="left"/>
              <w:rPr>
                <w:b/>
              </w:rPr>
            </w:pPr>
            <w:r>
              <w:rPr>
                <w:b/>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On July 28, 2026, Synlogic, Inc., a Delaware corporation (“</w:t>
      </w:r>
      <w:r>
        <w:rPr>
          <w:rFonts w:ascii="Times New Roman" w:hAnsi="Times New Roman"/>
          <w:b/>
          <w:i/>
          <w:sz w:val="20"/>
        </w:rPr>
        <w:t>Synlogic</w:t>
      </w:r>
      <w:r>
        <w:rPr>
          <w:rFonts w:ascii="Times New Roman" w:hAnsi="Times New Roman"/>
          <w:sz w:val="20"/>
        </w:rPr>
        <w:t>”), entered into an Agreement and Plan of Merger (the “</w:t>
      </w:r>
      <w:r>
        <w:rPr>
          <w:rFonts w:ascii="Times New Roman" w:hAnsi="Times New Roman"/>
          <w:b/>
          <w:i/>
          <w:sz w:val="20"/>
        </w:rPr>
        <w:t>Merger Agreement</w:t>
      </w:r>
      <w:r>
        <w:rPr>
          <w:rFonts w:ascii="Times New Roman" w:hAnsi="Times New Roman"/>
          <w:sz w:val="20"/>
        </w:rPr>
        <w:t>”) by and among Synlogic, Caldera Therapeutics, Inc., a Delaware corporation (“</w:t>
      </w:r>
      <w:r>
        <w:rPr>
          <w:rFonts w:ascii="Times New Roman" w:hAnsi="Times New Roman"/>
          <w:b/>
          <w:i/>
          <w:sz w:val="20"/>
        </w:rPr>
        <w:t>Caldera</w:t>
      </w:r>
      <w:r>
        <w:rPr>
          <w:rFonts w:ascii="Times New Roman" w:hAnsi="Times New Roman"/>
          <w:sz w:val="20"/>
        </w:rPr>
        <w:t>”), Sonic Holdco, Inc., a Delaware corporation (“</w:t>
      </w:r>
      <w:r>
        <w:rPr>
          <w:rFonts w:ascii="Times New Roman" w:hAnsi="Times New Roman"/>
          <w:b/>
          <w:i/>
          <w:sz w:val="20"/>
        </w:rPr>
        <w:t>Parent</w:t>
      </w:r>
      <w:r>
        <w:rPr>
          <w:rFonts w:ascii="Times New Roman" w:hAnsi="Times New Roman"/>
          <w:sz w:val="20"/>
        </w:rPr>
        <w:t>”), Yellowstone Merger Sub, Inc., a Delaware corporation and a direct, wholly owned subsidiary of Parent (“</w:t>
      </w:r>
      <w:r>
        <w:rPr>
          <w:rFonts w:ascii="Times New Roman" w:hAnsi="Times New Roman"/>
          <w:b/>
          <w:i/>
          <w:sz w:val="20"/>
        </w:rPr>
        <w:t>Caldera Merger Sub</w:t>
      </w:r>
      <w:r>
        <w:rPr>
          <w:rFonts w:ascii="Times New Roman" w:hAnsi="Times New Roman"/>
          <w:sz w:val="20"/>
        </w:rPr>
        <w:t>”), and Sonic Merger Sub, Inc., a Delaware corporation and a direct, wholly owned subsidiary of Parent (“</w:t>
      </w:r>
      <w:r>
        <w:rPr>
          <w:rFonts w:ascii="Times New Roman" w:hAnsi="Times New Roman"/>
          <w:b/>
          <w:i/>
          <w:sz w:val="20"/>
        </w:rPr>
        <w:t>Synlogic Merger Sub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Pursuant to the Merger Agreement, and upon the terms and subject to the satisfaction of the conditions described therein, Synlogic will be merged with and into Synlogic Merger Sub, with Synlogic surviving as a wholly owned subsidiary of Parent (the “</w:t>
      </w:r>
      <w:r>
        <w:rPr>
          <w:rFonts w:ascii="Times New Roman" w:hAnsi="Times New Roman"/>
          <w:b/>
          <w:i/>
          <w:sz w:val="20"/>
        </w:rPr>
        <w:t>Synlogic Merger</w:t>
      </w:r>
      <w:r>
        <w:rPr>
          <w:rFonts w:ascii="Times New Roman" w:hAnsi="Times New Roman"/>
          <w:sz w:val="20"/>
        </w:rPr>
        <w:t>”), and Caldera will be merged with and into Caldera Merger Sub, with Caldera surviving as a wholly owned subsidiary of Parent (the “</w:t>
      </w:r>
      <w:r>
        <w:rPr>
          <w:rFonts w:ascii="Times New Roman" w:hAnsi="Times New Roman"/>
          <w:b/>
          <w:i/>
          <w:sz w:val="20"/>
        </w:rPr>
        <w:t>Caldera Merger</w:t>
      </w:r>
      <w:r>
        <w:rPr>
          <w:rFonts w:ascii="Times New Roman" w:hAnsi="Times New Roman"/>
          <w:sz w:val="20"/>
        </w:rPr>
        <w:t>” and, together with the Synlogic Merger, the “</w:t>
      </w:r>
      <w:r>
        <w:rPr>
          <w:rFonts w:ascii="Times New Roman" w:hAnsi="Times New Roman"/>
          <w:b/>
          <w:i/>
          <w:sz w:val="20"/>
        </w:rPr>
        <w:t>Mergers</w:t>
      </w:r>
      <w:r>
        <w:rPr>
          <w:rFonts w:ascii="Times New Roman" w:hAnsi="Times New Roman"/>
          <w:sz w:val="20"/>
        </w:rPr>
        <w:t>” and, together with all of the other transactions contemplated by the Merger Agreement, the “</w:t>
      </w:r>
      <w:r>
        <w:rPr>
          <w:rFonts w:ascii="Times New Roman" w:hAnsi="Times New Roman"/>
          <w:b/>
          <w:i/>
          <w:sz w:val="20"/>
        </w:rPr>
        <w:t>Contemplated Transactions</w:t>
      </w:r>
      <w:r>
        <w:rPr>
          <w:rFonts w:ascii="Times New Roman" w:hAnsi="Times New Roman"/>
          <w:sz w:val="20"/>
        </w:rPr>
        <w:t xml:space="preserve">”). The Mergers are intended to qualify as a tax-free reorganization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Subject to the terms and conditions of the Merger Agreement, (a) at the effective time of the Caldera Merger (the “</w:t>
      </w:r>
      <w:r>
        <w:rPr>
          <w:rFonts w:ascii="Times New Roman" w:hAnsi="Times New Roman"/>
          <w:b/>
          <w:i/>
          <w:sz w:val="20"/>
        </w:rPr>
        <w:t>Caldera Effective Time</w:t>
      </w:r>
      <w:r>
        <w:rPr>
          <w:rFonts w:ascii="Times New Roman" w:hAnsi="Times New Roman"/>
          <w:sz w:val="20"/>
        </w:rPr>
        <w:t>”) and following the conversion into shares of common stock of Caldera, $0.0001 par value per share (“</w:t>
      </w:r>
      <w:r>
        <w:rPr>
          <w:rFonts w:ascii="Times New Roman" w:hAnsi="Times New Roman"/>
          <w:b/>
          <w:i/>
          <w:sz w:val="20"/>
        </w:rPr>
        <w:t>Caldera Common Stock</w:t>
      </w:r>
      <w:r>
        <w:rPr>
          <w:rFonts w:ascii="Times New Roman" w:hAnsi="Times New Roman"/>
          <w:sz w:val="20"/>
        </w:rPr>
        <w:t>”) of Caldera’s (i) Series A Preferred Stock, $0.00001 par value per share, and (ii) Series A-1 Preferred Stock, $0.00001 par value per share, each then-outstanding share of Caldera Common Stock, including shares of Caldera Common Stock issued in connection with the Concurrent Financing (as defined below) (excluding any shares of Caldera Common Stock held by stockholders who have exercised and perfected appraisal rights for such shares) will be converted into the right to receive a number of shares of common stock of Parent, $0.001 par value per share (“</w:t>
      </w:r>
      <w:r>
        <w:rPr>
          <w:rFonts w:ascii="Times New Roman" w:hAnsi="Times New Roman"/>
          <w:b/>
          <w:i/>
          <w:sz w:val="20"/>
        </w:rPr>
        <w:t>Parent Common Stock</w:t>
      </w:r>
      <w:r>
        <w:rPr>
          <w:rFonts w:ascii="Times New Roman" w:hAnsi="Times New Roman"/>
          <w:sz w:val="20"/>
        </w:rPr>
        <w:t>”), calculated in accordance with the applicable exchange ratio as set forth in the Merger Agreement and (b) immediately following the Caldera Effective Time, at the effective time of the Synlogic Merger (the “</w:t>
      </w:r>
      <w:r>
        <w:rPr>
          <w:rFonts w:ascii="Times New Roman" w:hAnsi="Times New Roman"/>
          <w:b/>
          <w:i/>
          <w:sz w:val="20"/>
        </w:rPr>
        <w:t>Synlogic Effective Time</w:t>
      </w:r>
      <w:r>
        <w:rPr>
          <w:rFonts w:ascii="Times New Roman" w:hAnsi="Times New Roman"/>
          <w:sz w:val="20"/>
        </w:rPr>
        <w:t>”), each then-outstanding share of common stock of Synlogic, $0.001 par value per share (the “</w:t>
      </w:r>
      <w:r>
        <w:rPr>
          <w:rFonts w:ascii="Times New Roman" w:hAnsi="Times New Roman"/>
          <w:b/>
          <w:i/>
          <w:sz w:val="20"/>
        </w:rPr>
        <w:t>Synlogic Common Stock</w:t>
      </w:r>
      <w:r>
        <w:rPr>
          <w:rFonts w:ascii="Times New Roman" w:hAnsi="Times New Roman"/>
          <w:sz w:val="20"/>
        </w:rPr>
        <w:t xml:space="preserve">”) (excluding any shares of Synlogic Common Stock held by stockholders who have exercised and perfected appraisal rights for such shares) will be converted into the right to receive a number of shares of Parent Common Stock, calculated in accordance with the applicable exchange ratio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At the Synlogic Effective Time, each then-outstanding option to purchase shares of Synlogic Common Stock (a “</w:t>
      </w:r>
      <w:r>
        <w:rPr>
          <w:rFonts w:ascii="Times New Roman" w:hAnsi="Times New Roman"/>
          <w:b/>
          <w:i/>
          <w:sz w:val="20"/>
        </w:rPr>
        <w:t>Synlogic Option</w:t>
      </w:r>
      <w:r>
        <w:rPr>
          <w:rFonts w:ascii="Times New Roman" w:hAnsi="Times New Roman"/>
          <w:sz w:val="20"/>
        </w:rPr>
        <w:t xml:space="preserve">”) with an exercise price per share less than the closing trading price of a share of Synlogic Common Stock, on the last full trading day on which the Synlogic Common Stock is traded prior to the date on which the Synlogic Effective Time occurs, will become fully vested and converted into net-exercised shares of Parent Common Stock, subject to adjustment as set forth in the Merger Agreement. At the Synlogic Effective Time, each then-outstanding option to purchase Synlogic Common Stock with an exercise price per share greater than the closing trading price of a share of Synlogic Common Stock, on the last full trading day on which the Synlogic Common Stock is traded prior to the date on which the Synlogic Effective Time occurs, will be immediately prior to the Synlogic Effective Time, assumed and converted into an option to purchase Parent Common Stock, on the same terms and conditions (including the same vesting and exercisability terms and conditions) as were applicable to such Synlogic Option immediately prior to the Synlogic Effective Time,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Each then-outstanding option to purchase Caldera Common Stock (a “</w:t>
      </w:r>
      <w:r>
        <w:rPr>
          <w:rFonts w:ascii="Times New Roman" w:hAnsi="Times New Roman"/>
          <w:b/>
          <w:i/>
          <w:sz w:val="20"/>
        </w:rPr>
        <w:t>Caldera Option</w:t>
      </w:r>
      <w:r>
        <w:rPr>
          <w:rFonts w:ascii="Times New Roman" w:hAnsi="Times New Roman"/>
          <w:sz w:val="20"/>
        </w:rPr>
        <w:t xml:space="preserve">”) will be immediately prior to the Caldera Effective Time, assumed and converted into an option to purchase Parent Common Stock, on the same terms and conditions (including the same vesting and exercisability terms and conditions) as were applicable to such Caldera Option immediately prior to the Caldera Effective Time,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At the Closing (as defined below), on a pro forma basis and based upon the number of shares of Parent Common Stock expected to be issued in connection with the Mergers and the Concurrent Financing, pre-merger equityholders of Caldera (other than the Investors (as defined below) in the Concurrent Financing) are expected to own approximately 62.8% of the combined company, pre-merger equityholders of Synlogic are expected to own approximately 2.3% of the combined company and the Investors in the Concurrent Financing are expected to own approximately 34.9% (assuming proceeds from the Concurrent Financing of $278.0 million), in each case, calculated on a fully diluted basis, using the treasury stock method, and subject to certain assumptions, including (i) a valuation for Synlogic of $18.0 million, assuming Synlogic has net cash of $6.0 million as of the closing of the Mergers (the “</w:t>
      </w:r>
      <w:r>
        <w:rPr>
          <w:rFonts w:ascii="Times New Roman" w:hAnsi="Times New Roman"/>
          <w:b/>
          <w:i/>
          <w:sz w:val="20"/>
        </w:rPr>
        <w:t>Closing</w:t>
      </w:r>
      <w:r>
        <w:rPr>
          <w:rFonts w:ascii="Times New Roman" w:hAnsi="Times New Roman"/>
          <w:sz w:val="20"/>
        </w:rPr>
        <w:t>” and such date, the “</w:t>
      </w:r>
      <w:r>
        <w:rPr>
          <w:rFonts w:ascii="Times New Roman" w:hAnsi="Times New Roman"/>
          <w:b/>
          <w:i/>
          <w:sz w:val="20"/>
        </w:rPr>
        <w:t>Closing Date</w:t>
      </w:r>
      <w:r>
        <w:rPr>
          <w:rFonts w:ascii="Times New Roman" w:hAnsi="Times New Roman"/>
          <w:sz w:val="20"/>
        </w:rPr>
        <w:t xml:space="preserve">”), (ii) a valuation for Caldera of $500.0 million, and (iii) the relative capitalization of Synlogic and Caldera. The percentage of the combined company that each party’s equity holders will own following the Closing is subject to certain adjustments as described in the Merger Agreement, including the amount of the Final Synlogic Net Cash at Closing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representations and warranties of the parties regarding their respective businesses. The Merger Agreement also contains certain covenants made by each of Synlogic and Caldera, including non-solicitation restrictions binding each party (and subject to certain exceptions as further described in the Merger Agreement) and its representatives and restrictions on the operation of each party’s business between the date of the Merger Agreement and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connection with the Mergers, Parent will prepare and file a registration statement on Form S-4, which will contain a prospectus to register the shares of Parent Common Stock issued pursuant to the Merger Agreement (the “</w:t>
      </w:r>
      <w:r>
        <w:rPr>
          <w:rFonts w:ascii="Times New Roman" w:hAnsi="Times New Roman"/>
          <w:b/>
          <w:i/>
          <w:sz w:val="20"/>
        </w:rPr>
        <w:t>Form S-4</w:t>
      </w:r>
      <w:r>
        <w:rPr>
          <w:rFonts w:ascii="Times New Roman" w:hAnsi="Times New Roman"/>
          <w:sz w:val="20"/>
        </w:rPr>
        <w:t>”). Promptly after the Form S-4 is declared effective, Synlogic shall hold a stockholder meeting to seek the vote of Synlogic’s stockholders of, among other matters, the approval of the Merger Agreement and the Contemplated Transactions, including the Synlogic Merger (the “</w:t>
      </w:r>
      <w:r>
        <w:rPr>
          <w:rFonts w:ascii="Times New Roman" w:hAnsi="Times New Roman"/>
          <w:b/>
          <w:i/>
          <w:sz w:val="20"/>
        </w:rPr>
        <w:t>Synlogic Stockholder Approval</w:t>
      </w:r>
      <w:r>
        <w:rPr>
          <w:rFonts w:ascii="Times New Roman" w:hAnsi="Times New Roman"/>
          <w:sz w:val="20"/>
        </w:rPr>
        <w:t>”) and Caldera shall solicit written consents from the Caldera stockholders (the “</w:t>
      </w:r>
      <w:r>
        <w:rPr>
          <w:rFonts w:ascii="Times New Roman" w:hAnsi="Times New Roman"/>
          <w:b/>
          <w:i/>
          <w:sz w:val="20"/>
        </w:rPr>
        <w:t>Caldera Stockholder Written Consent</w:t>
      </w:r>
      <w:r>
        <w:rPr>
          <w:rFonts w:ascii="Times New Roman" w:hAnsi="Times New Roman"/>
          <w:sz w:val="20"/>
        </w:rPr>
        <w:t xml:space="preserve">”) to seek approval of the Merger Agreement and the Contemplated Transactions, including the Caldera Merger. </w:t>
      </w:r>
    </w:p>
    <w:p>
      <w:pPr>
        <w:pStyle w:val="TextBody"/>
        <w:bidi w:val="0"/>
        <w:spacing w:before="240" w:after="0"/>
        <w:jc w:val="left"/>
        <w:rPr>
          <w:rFonts w:ascii="Times New Roman" w:hAnsi="Times New Roman"/>
          <w:sz w:val="20"/>
        </w:rPr>
      </w:pPr>
      <w:r>
        <w:rPr>
          <w:rFonts w:ascii="Times New Roman" w:hAnsi="Times New Roman"/>
          <w:sz w:val="20"/>
        </w:rPr>
        <w:t xml:space="preserve">The Closing is subject to certain closing conditions, including: (i) the Synlogic Stockholder Approval; (ii) approval by the requisite Caldera stockholders of the adoption and approval of the Merger Agreement and the transactions contemplated thereby; (iii) the approval of the listing of the shares of Parent Common Stock to be issued in the Mergers on The Nasdaq Stock Market; (iv) the Securities Purchase Agreement (as defined below) being in full force and effect with cash proceeds of no less than $278.0 million having been received by Caldera; (v) the existing shares of Synlogic Common Stock having remained quoted on the OTC Pink Limited Market as of and from the date of the Merger Agreement through the Closing Date; and (vi) the effectiveness of the Form S-4. The Closing is also subject to other specified customary closing conditions of each party, including the accuracy of each party’s representations and warranties, subject to applicable materiality qualifications, compliance by each party with its covenants under the Merger Agreement in all material respects, respectively, delivery of certain customary closing documents by each of Synlogic and Caldera, and no Synlogic material adverse effect or Caldera material adverse effect having occurred since the date of the Merger Agreement that is continuing, respectively. </w:t>
      </w:r>
    </w:p>
    <w:p>
      <w:pPr>
        <w:pStyle w:val="TextBody"/>
        <w:bidi w:val="0"/>
        <w:spacing w:before="240" w:after="0"/>
        <w:jc w:val="left"/>
        <w:rPr>
          <w:rFonts w:ascii="Times New Roman" w:hAnsi="Times New Roman"/>
          <w:sz w:val="20"/>
        </w:rPr>
      </w:pPr>
      <w:r>
        <w:rPr>
          <w:rFonts w:ascii="Times New Roman" w:hAnsi="Times New Roman"/>
          <w:sz w:val="20"/>
        </w:rPr>
        <w:t>Either party may be required to pay a termination fee in the event of termination of the Merger Agreement in certain circumstances. A termination fee of $5.0 million (the “</w:t>
      </w:r>
      <w:r>
        <w:rPr>
          <w:rFonts w:ascii="Times New Roman" w:hAnsi="Times New Roman"/>
          <w:b/>
          <w:i/>
          <w:sz w:val="20"/>
        </w:rPr>
        <w:t>Caldera Termination Fee</w:t>
      </w:r>
      <w:r>
        <w:rPr>
          <w:rFonts w:ascii="Times New Roman" w:hAnsi="Times New Roman"/>
          <w:sz w:val="20"/>
        </w:rPr>
        <w:t>”) may become payable by Caldera to Synlogic if the Merger Agreement is terminated by (a) Synlogic if a Caldera Triggering Event (as defined in the Merger Agreement) shall have occurred, which includes (i) the board of directors of Caldera or a committee thereof makes a Caldera Board Adverse Recommendation Change (as defined in the Merger Agreement), or (ii) Caldera’s entry into a letter of intent or other agreement relating to an alternative acquisition proposal, or (b) by Caldera concurrently with Caldera’s entry into any Permitted Alternative Agreement (as defined in the Merger Agreement), subject to certain requirements set forth in the Merger Agreement. In addition, the Caldera Termination Fee may also become payable by Caldera to Synlogic on a “tail” basis if the Merger Agreement is terminated (i) because the Mergers were not consummated by six months from the date of the Merger Agreement (the “</w:t>
      </w:r>
      <w:r>
        <w:rPr>
          <w:rFonts w:ascii="Times New Roman" w:hAnsi="Times New Roman"/>
          <w:b/>
          <w:i/>
          <w:sz w:val="20"/>
        </w:rPr>
        <w:t>Outside Date</w:t>
      </w:r>
      <w:r>
        <w:rPr>
          <w:rFonts w:ascii="Times New Roman" w:hAnsi="Times New Roman"/>
          <w:sz w:val="20"/>
        </w:rPr>
        <w:t xml:space="preserve">”) or Caldera fails to obtain the approval of its stockholders for the Contemplated Transactions and deliver such approval to Synlogic within 15 days after the Form S-4 becomes effective, or (ii) upon Caldera’s uncured material breach of the Merger Agreement and consummation of an alternative acquisition transaction within twelve months after such termination. </w:t>
      </w:r>
    </w:p>
    <w:p>
      <w:pPr>
        <w:pStyle w:val="TextBody"/>
        <w:bidi w:val="0"/>
        <w:spacing w:before="240" w:after="0"/>
        <w:jc w:val="left"/>
        <w:rPr>
          <w:rFonts w:ascii="Times New Roman" w:hAnsi="Times New Roman"/>
          <w:sz w:val="20"/>
        </w:rPr>
      </w:pPr>
      <w:r>
        <w:rPr>
          <w:rFonts w:ascii="Times New Roman" w:hAnsi="Times New Roman"/>
          <w:sz w:val="20"/>
        </w:rPr>
        <w:t>A termination fee of $1.0 million (the “</w:t>
      </w:r>
      <w:r>
        <w:rPr>
          <w:rFonts w:ascii="Times New Roman" w:hAnsi="Times New Roman"/>
          <w:b/>
          <w:i/>
          <w:sz w:val="20"/>
        </w:rPr>
        <w:t>Synlogic Termination Fee</w:t>
      </w:r>
      <w:r>
        <w:rPr>
          <w:rFonts w:ascii="Times New Roman" w:hAnsi="Times New Roman"/>
          <w:sz w:val="20"/>
        </w:rPr>
        <w:t xml:space="preserve">”) may become payable by Synlogic to Caldera if the Merger Agreement is terminated (a) by Caldera if a Synlogic Triggering Event (as defined in the Merger Agreement) shall have occurred, which includes (i) the failure of Synlogic to include the Synlogic Board Recommendation (as defined in the Merger Agreement) in its proxy statement, (ii) the board of directors of Synlogic or a committee thereof makes a Synlogic Board Adverse Recommendation Change (as defined in the Merger Agreement), or (iii) Synlogic’s entry into a letter of intent or other agreement relating to an alternative acquisition proposal, or (b) by Synlogic concurrently with Synlogic’s entry into any Permitted Alternative Agreement, subject to certain requirements set forth in the Merger Agreement. In addition, the Synlogic Termination Fee may also become payable by Synlogic to Caldera on a “tail” basis if the Merger Agreement is terminated (i) because the Mergers were not consummated by the Outside Date or Synlogic fails to obtain the approval of its stockholders for the Contemplated Transactions, or (ii) by Caldera upon Synlogic’s uncured material breach of the Merger Agreement and consummation of an alternative acquisition transaction within twelve months after such 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Concurrently with the execution of the Merger Agreement, certain stockholders of Synlogic holding approximately 50.9% of the outstanding Synlogic capital stock entered into support agreements (the “</w:t>
      </w:r>
      <w:r>
        <w:rPr>
          <w:rFonts w:ascii="Times New Roman" w:hAnsi="Times New Roman"/>
          <w:b/>
          <w:i/>
          <w:sz w:val="20"/>
        </w:rPr>
        <w:t>Synlogic Support Agreements</w:t>
      </w:r>
      <w:r>
        <w:rPr>
          <w:rFonts w:ascii="Times New Roman" w:hAnsi="Times New Roman"/>
          <w:sz w:val="20"/>
        </w:rPr>
        <w:t xml:space="preserve">”) in favor of Caldera, providing among other things, that such stockholders will vote all of their eligible shares of Synlogic capital stock, among other things: (i) in favor of approving the Mergers, the Synlogic Stockholder Approval and the other actions contemplated by the Merger Agreement and (ii) against any proposal made in opposition to, or in competition with, the Merger Agreement or the Mergers.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Concurrently with the execution of the Merger Agreement, certain stockholders of Caldera holding approximately 72.6% of the outstanding Caldera capital stock entered into support agreements (the “</w:t>
      </w:r>
      <w:r>
        <w:rPr>
          <w:rFonts w:ascii="Times New Roman" w:hAnsi="Times New Roman"/>
          <w:b/>
          <w:i/>
          <w:sz w:val="20"/>
        </w:rPr>
        <w:t>Caldera Support Agreements</w:t>
      </w:r>
      <w:r>
        <w:rPr>
          <w:rFonts w:ascii="Times New Roman" w:hAnsi="Times New Roman"/>
          <w:sz w:val="20"/>
        </w:rPr>
        <w:t>” and, together with the Synlogic Support Agreements, the “</w:t>
      </w:r>
      <w:r>
        <w:rPr>
          <w:rFonts w:ascii="Times New Roman" w:hAnsi="Times New Roman"/>
          <w:b/>
          <w:i/>
          <w:sz w:val="20"/>
        </w:rPr>
        <w:t>Support Agreements</w:t>
      </w:r>
      <w:r>
        <w:rPr>
          <w:rFonts w:ascii="Times New Roman" w:hAnsi="Times New Roman"/>
          <w:sz w:val="20"/>
        </w:rPr>
        <w:t xml:space="preserve">”) in favor of Caldera, providing among other things, that such stockholders will vote all of their shares of Caldera capital stock, among other things: (i) in favor of approving the Mergers, the Caldera Stockholder Written Consent and the other actions contemplated by the Merger Agreement and (ii) against any proposal made in opposition to, or in competition with, the Merger Agreement or the Mergers.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Concurrently with the execution of the Merger Agreement, the executive officers, directors and certain stockholders of Caldera entered into lock-up agreements (the “</w:t>
      </w:r>
      <w:r>
        <w:rPr>
          <w:rFonts w:ascii="Times New Roman" w:hAnsi="Times New Roman"/>
          <w:b/>
          <w:i/>
          <w:sz w:val="20"/>
        </w:rPr>
        <w:t>Lock-Up Agreements</w:t>
      </w:r>
      <w:r>
        <w:rPr>
          <w:rFonts w:ascii="Times New Roman" w:hAnsi="Times New Roman"/>
          <w:sz w:val="20"/>
        </w:rPr>
        <w:t xml:space="preserve">”), pursuant to which, subject to specified exceptions, such persons accepted certain restrictions on transfers of the shares of Parent Common Stock beneficially held by such persons or such persons’ family members (other than shares received as a result of the conversion of shares received in the Concurrent Financing) for the 180-day period following the Synlogic Effective Time. </w:t>
      </w:r>
    </w:p>
    <w:p>
      <w:pPr>
        <w:pStyle w:val="TextBody"/>
        <w:bidi w:val="0"/>
        <w:spacing w:before="240" w:after="0"/>
        <w:jc w:val="left"/>
        <w:rPr>
          <w:rFonts w:ascii="Times New Roman" w:hAnsi="Times New Roman"/>
          <w:sz w:val="20"/>
        </w:rPr>
      </w:pPr>
      <w:r>
        <w:rPr>
          <w:rFonts w:ascii="Times New Roman" w:hAnsi="Times New Roman"/>
          <w:sz w:val="20"/>
        </w:rPr>
        <w:t>The foregoing descriptions of the Merger Agreement, the form of Synlogic Support Agreement, the form of the Caldera Support Agreement and the form of Lock-Up Agreement (collectively, the “</w:t>
      </w:r>
      <w:r>
        <w:rPr>
          <w:rFonts w:ascii="Times New Roman" w:hAnsi="Times New Roman"/>
          <w:b/>
          <w:i/>
          <w:sz w:val="20"/>
        </w:rPr>
        <w:t>Agreements</w:t>
      </w:r>
      <w:r>
        <w:rPr>
          <w:rFonts w:ascii="Times New Roman" w:hAnsi="Times New Roman"/>
          <w:sz w:val="20"/>
        </w:rPr>
        <w:t xml:space="preserve">”), do not purport to be complete and are qualified in their entirety by reference to those Agreements, which are filed as Exhibits 2.1, 10.1, 10.2 and 10.3, respectively, to this Current Report on Form 8-K and incorporated herein by reference. In particular, the assertions embodied in the representations and warranties contained in the Merger Agreement are qualified by information in confidential disclosure schedules provided by each of Parent, Synlogic and Caldera in connection with the signing of the Merger Agreement. These confidential disclosure schedules contain information that modifies, qualifies and creates exceptions to the representations and warranties and certain covenants set forth in the Merger Agreement. Moreover, certain representations and warranties in the Agreements were used for the purpose of allocating risk between the parties thereto rather than establishing matters as facts. Accordingly, the representations and warranties may not describe the actual state of affairs at the date they were made or at any other time, and investors should not rely on them as statements of fact.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Concurrent Financing </w:t>
      </w:r>
    </w:p>
    <w:p>
      <w:pPr>
        <w:pStyle w:val="TextBody"/>
        <w:bidi w:val="0"/>
        <w:spacing w:before="120" w:after="0"/>
        <w:jc w:val="left"/>
        <w:rPr>
          <w:rFonts w:ascii="Times New Roman" w:hAnsi="Times New Roman"/>
          <w:sz w:val="20"/>
        </w:rPr>
      </w:pPr>
      <w:r>
        <w:rPr>
          <w:rFonts w:ascii="Times New Roman" w:hAnsi="Times New Roman"/>
          <w:sz w:val="20"/>
        </w:rPr>
        <w:t>Concurrently with entering into the Merger Agreement, Caldera entered into a securities purchase agreement (the “</w:t>
      </w:r>
      <w:r>
        <w:rPr>
          <w:rFonts w:ascii="Times New Roman" w:hAnsi="Times New Roman"/>
          <w:b/>
          <w:i/>
          <w:sz w:val="20"/>
        </w:rPr>
        <w:t>Securities Purchase Agreement</w:t>
      </w:r>
      <w:r>
        <w:rPr>
          <w:rFonts w:ascii="Times New Roman" w:hAnsi="Times New Roman"/>
          <w:sz w:val="20"/>
        </w:rPr>
        <w:t>”) with certain qualified institutional buyers and/or accredited investors (the “</w:t>
      </w:r>
      <w:r>
        <w:rPr>
          <w:rFonts w:ascii="Times New Roman" w:hAnsi="Times New Roman"/>
          <w:b/>
          <w:i/>
          <w:sz w:val="20"/>
        </w:rPr>
        <w:t>Investors</w:t>
      </w:r>
      <w:r>
        <w:rPr>
          <w:rFonts w:ascii="Times New Roman" w:hAnsi="Times New Roman"/>
          <w:sz w:val="20"/>
        </w:rPr>
        <w:t>”). Pursuant to the Securities Purchase Agreement, and subject to the terms and conditions therein, Caldera agreed to sell, and the Investors agreed to purchase, an aggregate of approximately $278.0 million worth of shares of Caldera Common Stock (the “</w:t>
      </w:r>
      <w:r>
        <w:rPr>
          <w:rFonts w:ascii="Times New Roman" w:hAnsi="Times New Roman"/>
          <w:b/>
          <w:i/>
          <w:sz w:val="20"/>
        </w:rPr>
        <w:t>Concurrent Financing</w:t>
      </w:r>
      <w:r>
        <w:rPr>
          <w:rFonts w:ascii="Times New Roman" w:hAnsi="Times New Roman"/>
          <w:sz w:val="20"/>
        </w:rPr>
        <w:t xml:space="preserve">”). The price per share is equal to the Caldera Equity Value (as defined in the Merger Agreement) divided by the number of shares of Caldera Common Stock outstanding as of immediately prior to the Closing. Shares of Caldera Common Stock issued pursuant to the Concurrent Financing will be converted into shares of Parent Common Stock, in accordance with the terms of the Merger Agreement. The closing of the Concurrent Financing is anticipated to occur on or about the date of the Closing of the Mergers, subject to the satisfaction of customary closing conditions, including (i) Caldera’s receipt of aggregate proceeds under the Securities Purchase Agreement of not less than $278.0 million, (ii) that the closing of the Mergers shall be set to occur substantially concurrently with the closing under the Securities Purchase Agreement, and (iii) that Synlogic shall have obtained the stockholder approval required under the Merger Agreement. The Securities Purchase Agreement contains customary representations and warranties of Caldera, on the one hand, and the Investors, on the other hand, and customary indemnification provisions. </w:t>
      </w:r>
    </w:p>
    <w:p>
      <w:pPr>
        <w:pStyle w:val="TextBody"/>
        <w:bidi w:val="0"/>
        <w:spacing w:before="240" w:after="0"/>
        <w:jc w:val="left"/>
        <w:rPr>
          <w:rFonts w:ascii="Times New Roman" w:hAnsi="Times New Roman"/>
          <w:sz w:val="20"/>
        </w:rPr>
      </w:pPr>
      <w:r>
        <w:rPr>
          <w:rFonts w:ascii="Times New Roman" w:hAnsi="Times New Roman"/>
          <w:sz w:val="20"/>
        </w:rPr>
        <w:t>Parent and Caldera have also entered into a registration rights agreement (the “</w:t>
      </w:r>
      <w:r>
        <w:rPr>
          <w:rFonts w:ascii="Times New Roman" w:hAnsi="Times New Roman"/>
          <w:b/>
          <w:i/>
          <w:sz w:val="20"/>
        </w:rPr>
        <w:t>Registration Rights Agreement</w:t>
      </w:r>
      <w:r>
        <w:rPr>
          <w:rFonts w:ascii="Times New Roman" w:hAnsi="Times New Roman"/>
          <w:sz w:val="20"/>
        </w:rPr>
        <w:t>”) with the Investors in connection with the Concurrent Financing. Pursuant to the Registration Rights Agreement, the combined company will prepare and file a resale registration statement with the Securities and Exchange Commission (the “</w:t>
      </w:r>
      <w:r>
        <w:rPr>
          <w:rFonts w:ascii="Times New Roman" w:hAnsi="Times New Roman"/>
          <w:b/>
          <w:i/>
          <w:sz w:val="20"/>
        </w:rPr>
        <w:t>SEC</w:t>
      </w:r>
      <w:r>
        <w:rPr>
          <w:rFonts w:ascii="Times New Roman" w:hAnsi="Times New Roman"/>
          <w:sz w:val="20"/>
        </w:rPr>
        <w:t xml:space="preserve">”) within 30 calendar days following the Closing Date. The combined company will use its reasonable best efforts to cause such registration statement to become effective at the earliest possible date.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will also agree to, among other things, indemnify the Investors, their members, shareholders, directors, officers, partners, employees, managers, agents, representatives and advisors under the Registration Rights Agreement from certain liabilities and pay all fees and expenses (excluding underwriting discounts and selling commissions and all similar fees and commissions relating to an Investor’s disposition of its Registrable Securities (as defined in the Registration Rights Agreement)) incident to the combined company’s obligations under the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descriptions of the Securities Purchase Agreement and Registration Rights Agreement do not purport to be complete and are qualified in their entirety by reference to the Securities Purchase Agreement, as well as the Registration Rights Agreement, forms of which are filed as Exhibits 10.4 and 10.5, respectively, to this Current Report on Form 8-K and are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Amending Agreements </w:t>
      </w:r>
    </w:p>
    <w:p>
      <w:pPr>
        <w:pStyle w:val="TextBody"/>
        <w:bidi w:val="0"/>
        <w:spacing w:before="120" w:after="0"/>
        <w:jc w:val="left"/>
        <w:rPr>
          <w:rFonts w:ascii="Times New Roman" w:hAnsi="Times New Roman"/>
          <w:sz w:val="20"/>
        </w:rPr>
      </w:pPr>
      <w:r>
        <w:rPr>
          <w:rFonts w:ascii="Times New Roman" w:hAnsi="Times New Roman"/>
          <w:sz w:val="20"/>
        </w:rPr>
        <w:t>In October 2023, in an underwritten public offering, Synlogic issued to certain purchasers (the “</w:t>
      </w:r>
      <w:r>
        <w:rPr>
          <w:rFonts w:ascii="Times New Roman" w:hAnsi="Times New Roman"/>
          <w:b/>
          <w:i/>
          <w:sz w:val="20"/>
        </w:rPr>
        <w:t>Holders</w:t>
      </w:r>
      <w:r>
        <w:rPr>
          <w:rFonts w:ascii="Times New Roman" w:hAnsi="Times New Roman"/>
          <w:sz w:val="20"/>
        </w:rPr>
        <w:t>”) common warrants (the “</w:t>
      </w:r>
      <w:r>
        <w:rPr>
          <w:rFonts w:ascii="Times New Roman" w:hAnsi="Times New Roman"/>
          <w:b/>
          <w:i/>
          <w:sz w:val="20"/>
        </w:rPr>
        <w:t>Warrants</w:t>
      </w:r>
      <w:r>
        <w:rPr>
          <w:rFonts w:ascii="Times New Roman" w:hAnsi="Times New Roman"/>
          <w:sz w:val="20"/>
        </w:rPr>
        <w:t>”) to purchase up to an aggregate of 7,394,363 shares of Synlogic Common Stock (the “</w:t>
      </w:r>
      <w:r>
        <w:rPr>
          <w:rFonts w:ascii="Times New Roman" w:hAnsi="Times New Roman"/>
          <w:b/>
          <w:i/>
          <w:sz w:val="20"/>
        </w:rPr>
        <w:t>Warrant Shares</w:t>
      </w:r>
      <w:r>
        <w:rPr>
          <w:rFonts w:ascii="Times New Roman" w:hAnsi="Times New Roman"/>
          <w:sz w:val="20"/>
        </w:rPr>
        <w:t>”) exercisable at $3.408 per share, subject to adjustment (the “</w:t>
      </w:r>
      <w:r>
        <w:rPr>
          <w:rFonts w:ascii="Times New Roman" w:hAnsi="Times New Roman"/>
          <w:b/>
          <w:i/>
          <w:sz w:val="20"/>
        </w:rPr>
        <w:t>Exercise Price</w:t>
      </w:r>
      <w:r>
        <w:rPr>
          <w:rFonts w:ascii="Times New Roman" w:hAnsi="Times New Roman"/>
          <w:sz w:val="20"/>
        </w:rPr>
        <w:t>”). On July 27, 2026, Synlogic entered into warrant amending agreements (collectively, the “</w:t>
      </w:r>
      <w:r>
        <w:rPr>
          <w:rFonts w:ascii="Times New Roman" w:hAnsi="Times New Roman"/>
          <w:b/>
          <w:i/>
          <w:sz w:val="20"/>
        </w:rPr>
        <w:t>Warrant Amending Agreements</w:t>
      </w:r>
      <w:r>
        <w:rPr>
          <w:rFonts w:ascii="Times New Roman" w:hAnsi="Times New Roman"/>
          <w:sz w:val="20"/>
        </w:rPr>
        <w:t xml:space="preserve">”) with all the Holders that (i) reduced the Exercise Price of the Warrants to $0.70 per Warrant Share and (ii) removed the Holders’ right to require Synlogic or a successor entity to redeem the Warrants for cash in an amount equal to the Black-Scholes Value (as defined in the Warrants) of the unexercised portion thereof, concurrently with or within 30 days following the consummation of a fundamental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Warrant Amending Agreements does not purport to be complete and is qualified in its entirety by reference to the form of Warrant Amending Agreement, which is filed as Exhibit 10.6 to this Current Report on Form 8-K and is incorporated herein by reference. </w:t>
      </w:r>
    </w:p>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965"/>
        <w:gridCol w:w="4520"/>
      </w:tblGrid>
      <w:tr>
        <w:trPr/>
        <w:tc>
          <w:tcPr>
            <w:tcW w:w="965" w:type="dxa"/>
            <w:tcBorders/>
            <w:vAlign w:val="center"/>
          </w:tcPr>
          <w:p>
            <w:pPr>
              <w:pStyle w:val="TableContents"/>
              <w:bidi w:val="0"/>
              <w:spacing w:before="0" w:after="283"/>
              <w:jc w:val="left"/>
              <w:rPr>
                <w:b/>
              </w:rPr>
            </w:pPr>
            <w:r>
              <w:rPr>
                <w:b/>
              </w:rPr>
              <w:t>Item 3.03</w:t>
            </w:r>
          </w:p>
        </w:tc>
        <w:tc>
          <w:tcPr>
            <w:tcW w:w="45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Modifications to Rights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this Item, the information included in Item 1.01 of this Current Report on Form 8-K is incorporated by reference herein. </w:t>
      </w:r>
    </w:p>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965"/>
        <w:gridCol w:w="2855"/>
      </w:tblGrid>
      <w:tr>
        <w:trPr/>
        <w:tc>
          <w:tcPr>
            <w:tcW w:w="965" w:type="dxa"/>
            <w:tcBorders/>
            <w:vAlign w:val="center"/>
          </w:tcPr>
          <w:p>
            <w:pPr>
              <w:pStyle w:val="TableContents"/>
              <w:bidi w:val="0"/>
              <w:spacing w:before="0" w:after="283"/>
              <w:jc w:val="left"/>
              <w:rPr>
                <w:b/>
              </w:rPr>
            </w:pPr>
            <w:r>
              <w:rPr>
                <w:b/>
              </w:rPr>
              <w:t>Item 5.01</w:t>
            </w:r>
          </w:p>
        </w:tc>
        <w:tc>
          <w:tcPr>
            <w:tcW w:w="28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Changes in Control of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this Item, the information included in Item 1.01 of this Current Report on Form 8-K is incorporated herein by reference. </w:t>
      </w:r>
    </w:p>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965"/>
        <w:gridCol w:w="2240"/>
      </w:tblGrid>
      <w:tr>
        <w:trPr/>
        <w:tc>
          <w:tcPr>
            <w:tcW w:w="96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29, 2026, Synlogic and Caldera issued a joint press release announcing the execution of the Merger Agreement and the Securities Purchase Agreement. A copy of the press release is attached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The information in Item 7.01 of this Current Report on Form 8-K, including the information in the press release attached as Exhibit 99.1, is furnished pursuant to Item 7.01 of Form 8-K and shall not be deemed “filed” for the purposes of Section 18 of the Securities Exchange Act of 1934, as amended, or otherwise subject to the liabilities of that section. Furthermore, the information in Item 7.01 of this Current Report on Form 8-K, including Exhibit 99.1 to this Current Report on Form 8-K, shall not be deemed to be incorporated by reference in the filings of Synlogic under the Securities Act of 1933, as amended (the “</w:t>
      </w:r>
      <w:r>
        <w:rPr>
          <w:rFonts w:ascii="Times New Roman" w:hAnsi="Times New Roman"/>
          <w:b/>
          <w:i/>
          <w:sz w:val="20"/>
        </w:rPr>
        <w:t>Securities Act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Use of Website to Distribute Material Non-Public Information </w:t>
      </w:r>
    </w:p>
    <w:p>
      <w:pPr>
        <w:pStyle w:val="TextBody"/>
        <w:bidi w:val="0"/>
        <w:spacing w:before="120" w:after="0"/>
        <w:jc w:val="left"/>
        <w:rPr>
          <w:rFonts w:ascii="Times New Roman" w:hAnsi="Times New Roman"/>
          <w:sz w:val="20"/>
        </w:rPr>
      </w:pPr>
      <w:r>
        <w:rPr>
          <w:rFonts w:ascii="Times New Roman" w:hAnsi="Times New Roman"/>
          <w:sz w:val="20"/>
        </w:rPr>
        <w:t xml:space="preserve">Synlogic’s Investor Relations website is www.investor.synlogictx.com. Synlogic uses its Investor Relations website as a means of disclosing material non-public information and for the purpose of complying with its disclosure obligations under Regulation FD. Therefore, Synlogic encourages investors, the media and others interested in Synlogic to review the information it posts on its Investor Relations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Contemplated Transactions between Caldera and Synlogic, Synlogic and the Parent will file relevant materials with the SEC. The Parent will file a registration statement on Form S-4 that will include a proxy statement and prospectus relating to the Contemplated Transactions, which will constitute a proxy statement of Synlogic and a prospectus of the Parent (the “</w:t>
      </w:r>
      <w:r>
        <w:rPr>
          <w:rFonts w:ascii="Times New Roman" w:hAnsi="Times New Roman"/>
          <w:b/>
          <w:i/>
          <w:sz w:val="20"/>
        </w:rPr>
        <w:t>Prospectus</w:t>
      </w:r>
      <w:r>
        <w:rPr>
          <w:rFonts w:ascii="Times New Roman" w:hAnsi="Times New Roman"/>
          <w:sz w:val="20"/>
        </w:rPr>
        <w:t xml:space="preserve">”). Synlogic and the Parent may also file other documents with the SEC regarding the Contemplated Transactions. This document is not a substitute for the Prospectus or any other document which Synlogic or the Parent may file with the SEC or send to stockholders of Synlogic or Caldera in connection with the Contemplated Transactions. The Prospectus will be mailed to stockholders of Synlogic. INVESTORS AND SECURITYHOLDERS OF SYNLOGIC ARE URGED TO READ THE REGISTRATION STATEMENT AND THE PROSPECTUS AND ALL OTHER DOCUMENTS FILED OR THAT WILL BE FILED WITH THE SEC CAREFULLY AND IN THEIR ENTIRETY BECAUSE THEY WILL CONTAIN IMPORTANT INFORMATION ABOUT SYNLOGIC, CALDERA AND THE CONTEMPLATED TRANSACTIONS. Investors and security holders will be able to obtain free copies of the registration statement and the Prospectus (when available) and other documents filed with the SEC by Synlogic or the Parent through the website maintained by the SEC at www.sec.gov. Copies of the documents filed with the SEC by Synlogic will be available free of charge on Synlogic’s website at www.synlogictx.com.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not intended to and does not constitute an offer to subscribe for, buy or sell, or the solicitation of an offer to subscribe for, buy or sell, or an invitation to subscribe for, buy or sell, any securities of Synlogic, Caldera or the Parent, or the solicitation of any vote or approval in any jurisdiction pursuant to or in connection with the Contemplated Transactions or otherwise, nor shall there be any sale, issuance or transfer of securities in any jurisdiction in contravention of applicable law. No offer of securities shall be made except by means of a prospectus meeting the requirements of Section 10 of the Securities Act and otherwise in accordance with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a solicitation of a proxy from any security holder of Synlogic or Caldera. However, Synlogic, Caldera and the Parent and each of their respective directors and executive officers may be considered participants in the solicitation of proxies in connection with the Contemplated Transactions. Information about the directors and executive officers of Synlogic may be found in its Annual Report on Form 10-K for the year ended December 31, 2025, which was filed with the SEC on March 12, 2026, as amended by our Annual Report on Form 10-K/A, filed with the SEC on April 30, 2026. Other information regarding the participants in the proxy solicitations and a description of their direct and indirect interests, by security holdings or otherwise, will be contained in the prospectus and other relevant materials to be filed with the SEC when they become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Statements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the federal securities laws, including Section 27A of the Securities Act, and Section 21E of the Securities Exchange Act of 1934, as amended. In this context, forward-looking statements often address expected future business and financial performance and often contain words such as “expect,” “anticipate,” “intend,” “plan,” “believe,” “seek,” “will,” “would,” “target,” and similar expressions. Forward-looking statements by their nature address matters that involve risks and uncertainties, many of which are beyond Synlogic’s control and are not guarantees of future results, including statements about the Contemplated Transactions, the Concurrent Financing, future financial and operating results, and combined company strategy and operations. These forward-looking statements reflect management’s good faith judgment based on facts and factors currently known to management. Synlogic cautions investors not to place undue reliance on any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and other forward-looking statements are not guarantees of future results and are subject to risks, uncertainties and assumptions that could cause actual results to differ materially from those expressed in any forward-looking statements. These risks include, but are not limited to, risks and uncertainties related to: (i) the ability to obtain the requisite approval from stockholders of Synlogic and Caldera; (ii) the risk that the Contemplated Transactions and the Concurrent Financing may not be completed in a timely manner or at all; (iii) the possibility that competing offers or acquisition proposals will be made; (iv) the possibility that any or all of the various conditions to the consummation of the Contemplated Transactions and the Concurrent Financing may not be satisfied or waived, including the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receive any required regulatory approvals from any applicable governmental entities; (v) the occurrence of any event, change or other circumstance that could give rise to the termination of the Merger Agreement, including in circumstances that would require either party to pay a termination fee or other expenses; (vi) the effect of the pendency of the Contemplated Transactions on the parties’ ability to retain and hire key personnel, their ability to maintain relationships with customers, suppliers and others with whom they do business, their business generally or their stock price; (vii) risks related to diverting management’s attention from ongoing business operations or the loss of one or more members of the management team; (viii) the risk that stockholder litigation in connection with the Contemplated Transactions may result in significant costs of defense, indemnification and liability; (ix) the parties’ ability to realize the anticipated benefits of the Contemplated Transactions; (x) the risk that the parties may assume unexpected liabilities and expenses as a result of the Contemplated Transactions and the Concurrent Financing; (xi) uncertainties as to Caldera’s anticipated preclinical and clinical drug development activities and related timelines, including the expected timing for commencing clinical trials and announcing data and other clinical results; (xii) the risk that interim, preliminary or topline clinical data may change as additional data become available, and that early clinical results may not be predictive of results in later-stage clinical trials or in patients; and (xiii) uncertainties regarding the safety, efficacy, immunogenicity, pharmacokinetic profile and regulatory path of CLD-423, including interactions with and approvals from applicable regulatory authorities. For information regarding other related risks, see the “Risk Factors” section of Synlogic’s Annual Report on Form 10-K for the year ended December 31, 2025, filed with the SEC on March 12, 2026, as amended on April 30, 2026, Synlogic’s most recent Quarterly Report on Form 10-Q and Synlogic’s other filings with the SEC. Should any of these risks or uncertainties materialize, actual results could differ materially from expectations. These forward-looking statements speak only as of the date hereof. Neither Synlogic nor Caldera assumes any obligation to, and does not currently intend to, update any such forward-looking statements except as may be required by law.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center"/>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91010dex21.htm">
              <w:r>
                <w:rPr>
                  <w:rStyle w:val="InternetLink"/>
                </w:rPr>
                <w:t xml:space="preserve">Agreement and Plan of Merger, dated as of July 28, 2026, by and among Synlogic, Inc., Caldera Therapeutics, Inc., Sonic Holdco, Inc., Yellowstone Merger Sub, Inc., and Sonic Merger Sub, Inc.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91010dex101.htm">
              <w:r>
                <w:rPr>
                  <w:rStyle w:val="InternetLink"/>
                </w:rPr>
                <w:t xml:space="preserve">Form of Synlogic Stockholder Support Agreement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91010dex102.htm">
              <w:r>
                <w:rPr>
                  <w:rStyle w:val="InternetLink"/>
                </w:rPr>
                <w:t xml:space="preserve">Form of Caldera Stockholder Support Agreement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91010dex103.htm">
              <w:r>
                <w:rPr>
                  <w:rStyle w:val="InternetLink"/>
                </w:rPr>
                <w:t xml:space="preserve">Form of Lock-Up Agreement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91010dex104.htm">
              <w:r>
                <w:rPr>
                  <w:rStyle w:val="InternetLink"/>
                </w:rPr>
                <w:t>Form of Securities Purchase Agreement</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10.5</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91010dex105.htm">
              <w:r>
                <w:rPr>
                  <w:rStyle w:val="InternetLink"/>
                </w:rPr>
                <w:t>Form of Registration Rights Agreement</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10.6</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91010dex106.htm">
              <w:r>
                <w:rPr>
                  <w:rStyle w:val="InternetLink"/>
                </w:rPr>
                <w:t xml:space="preserve">Form of Warrant Amending Agreement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91010dex991.htm">
              <w:r>
                <w:rPr>
                  <w:rStyle w:val="InternetLink"/>
                </w:rPr>
                <w:t xml:space="preserve">Press Release issued on July 29,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attachments have been omitted pursuant to Item 601(a)(5) of Regulation S-K. The Company agrees to provide, on a supplemental basis, a copy of any omitted schedules and attachments to the Securities and Exchange Commission or its staff upon request.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8248" w:type="dxa"/>
        <w:jc w:val="left"/>
        <w:tblInd w:w="0" w:type="dxa"/>
        <w:tblLayout w:type="fixed"/>
        <w:tblCellMar>
          <w:top w:w="0" w:type="dxa"/>
          <w:left w:w="0" w:type="dxa"/>
          <w:bottom w:w="0" w:type="dxa"/>
          <w:right w:w="0" w:type="dxa"/>
        </w:tblCellMar>
      </w:tblPr>
      <w:tblGrid>
        <w:gridCol w:w="594"/>
        <w:gridCol w:w="938"/>
        <w:gridCol w:w="361"/>
        <w:gridCol w:w="60"/>
        <w:gridCol w:w="650"/>
        <w:gridCol w:w="60"/>
        <w:gridCol w:w="5585"/>
      </w:tblGrid>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85"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pPr>
            <w:r>
              <w:rPr/>
              <w:t>Date: July 29, 2026</w:t>
            </w:r>
          </w:p>
        </w:tc>
        <w:tc>
          <w:tcPr>
            <w:tcW w:w="60" w:type="dxa"/>
            <w:tcBorders/>
            <w:vAlign w:val="center"/>
          </w:tcPr>
          <w:p>
            <w:pPr>
              <w:pStyle w:val="TableContents"/>
              <w:bidi w:val="0"/>
              <w:spacing w:before="0" w:after="283"/>
              <w:jc w:val="left"/>
              <w:rPr/>
            </w:pPr>
            <w:r>
              <w:rPr/>
              <w:t> </w:t>
            </w:r>
          </w:p>
        </w:tc>
        <w:tc>
          <w:tcPr>
            <w:tcW w:w="6295" w:type="dxa"/>
            <w:gridSpan w:val="3"/>
            <w:tcBorders/>
            <w:vAlign w:val="center"/>
          </w:tcPr>
          <w:p>
            <w:pPr>
              <w:pStyle w:val="TableContents"/>
              <w:bidi w:val="0"/>
              <w:spacing w:before="0" w:after="283"/>
              <w:jc w:val="left"/>
              <w:rPr/>
            </w:pPr>
            <w:r>
              <w:rPr/>
              <w:t>SYNLOGIC, INC.</w:t>
            </w:r>
          </w:p>
        </w:tc>
      </w:tr>
      <w:tr>
        <w:trPr/>
        <w:tc>
          <w:tcPr>
            <w:tcW w:w="594" w:type="dxa"/>
            <w:tcBorders/>
            <w:vAlign w:val="center"/>
          </w:tcPr>
          <w:p>
            <w:pPr>
              <w:pStyle w:val="TableContents"/>
              <w:bidi w:val="0"/>
              <w:spacing w:before="0" w:after="283"/>
              <w:jc w:val="left"/>
              <w:rPr>
                <w:sz w:val="4"/>
                <w:szCs w:val="4"/>
              </w:rPr>
            </w:pPr>
            <w:r>
              <w:rPr>
                <w:sz w:val="4"/>
                <w:szCs w:val="4"/>
              </w:rPr>
            </w:r>
          </w:p>
        </w:tc>
        <w:tc>
          <w:tcPr>
            <w:tcW w:w="1299"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645" w:type="dxa"/>
            <w:gridSpan w:val="2"/>
            <w:tcBorders/>
            <w:vAlign w:val="center"/>
          </w:tcPr>
          <w:p>
            <w:pPr>
              <w:pStyle w:val="TableContents"/>
              <w:bidi w:val="0"/>
              <w:spacing w:before="0" w:after="283"/>
              <w:jc w:val="left"/>
              <w:rPr>
                <w:sz w:val="4"/>
                <w:szCs w:val="4"/>
              </w:rPr>
            </w:pPr>
            <w:r>
              <w:rPr>
                <w:sz w:val="4"/>
                <w:szCs w:val="4"/>
              </w:rPr>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Mary Beth Dooley</w:t>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283"/>
              <w:jc w:val="left"/>
              <w:rPr/>
            </w:pPr>
            <w:r>
              <w:rPr/>
              <w:t>Mary Beth Dooley</w:t>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283"/>
              <w:jc w:val="left"/>
              <w:rPr/>
            </w:pPr>
            <w:r>
              <w:rPr/>
              <w:t>Principal Executive Officer and Principal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TextBody"/>
        <w:bidi w:val="0"/>
        <w:spacing w:before="0" w:after="0"/>
        <w:jc w:val="right"/>
        <w:rPr>
          <w:rFonts w:ascii="Times New Roman" w:hAnsi="Times New Roman"/>
          <w:b/>
          <w:i/>
          <w:sz w:val="20"/>
        </w:rPr>
      </w:pPr>
      <w:bookmarkStart w:id="2" w:name="d91010dex21.htm"/>
      <w:bookmarkStart w:id="3" w:name="ksd91010dex21"/>
      <w:bookmarkEnd w:id="2"/>
      <w:bookmarkEnd w:id="3"/>
      <w:r>
        <w:rPr>
          <w:rFonts w:ascii="Times New Roman" w:hAnsi="Times New Roman"/>
          <w:b/>
          <w:i/>
          <w:sz w:val="20"/>
        </w:rPr>
        <w:t xml:space="preserve">Exhibit 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CALDERA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SYNLOGIC, INC.; </w:t>
      </w:r>
    </w:p>
    <w:p>
      <w:pPr>
        <w:pStyle w:val="TextBody"/>
        <w:bidi w:val="0"/>
        <w:spacing w:before="240" w:after="0"/>
        <w:jc w:val="center"/>
        <w:rPr>
          <w:rFonts w:ascii="Times New Roman" w:hAnsi="Times New Roman"/>
          <w:b/>
          <w:sz w:val="20"/>
        </w:rPr>
      </w:pPr>
      <w:r>
        <w:rPr>
          <w:rFonts w:ascii="Times New Roman" w:hAnsi="Times New Roman"/>
          <w:b/>
          <w:sz w:val="20"/>
        </w:rPr>
        <w:t xml:space="preserve">SONIC HOLDCO, INC.; </w:t>
      </w:r>
    </w:p>
    <w:p>
      <w:pPr>
        <w:pStyle w:val="TextBody"/>
        <w:bidi w:val="0"/>
        <w:spacing w:before="240" w:after="0"/>
        <w:jc w:val="center"/>
        <w:rPr>
          <w:rFonts w:ascii="Times New Roman" w:hAnsi="Times New Roman"/>
          <w:b/>
          <w:sz w:val="20"/>
        </w:rPr>
      </w:pPr>
      <w:r>
        <w:rPr>
          <w:rFonts w:ascii="Times New Roman" w:hAnsi="Times New Roman"/>
          <w:b/>
          <w:sz w:val="20"/>
        </w:rPr>
        <w:t xml:space="preserve">YELLOWSTONE MERGER SUB,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SONIC MERGER SUB, INC.;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July 28,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3"/>
        <w:gridCol w:w="126"/>
        <w:gridCol w:w="8391"/>
        <w:gridCol w:w="176"/>
        <w:gridCol w:w="96"/>
        <w:gridCol w:w="420"/>
        <w:gridCol w:w="63"/>
      </w:tblGrid>
      <w:tr>
        <w:trPr/>
        <w:tc>
          <w:tcPr>
            <w:tcW w:w="93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8391"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3"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5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gridSpan w:val="3"/>
            <w:tcBorders/>
          </w:tcPr>
          <w:p>
            <w:pPr>
              <w:pStyle w:val="TableContents"/>
              <w:bidi w:val="0"/>
              <w:spacing w:before="0" w:after="283"/>
              <w:jc w:val="left"/>
              <w:rPr/>
            </w:pPr>
            <w:r>
              <w:rPr/>
              <w:t>ARTICLE I DEFINITIONS AND INTERPRETATIVE PROVISIONS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33" w:type="dxa"/>
            <w:tcBorders/>
            <w:vAlign w:val="center"/>
          </w:tcPr>
          <w:p>
            <w:pPr>
              <w:pStyle w:val="TableContents"/>
              <w:bidi w:val="0"/>
              <w:spacing w:before="0" w:after="283"/>
              <w:jc w:val="left"/>
              <w:rPr>
                <w:sz w:val="4"/>
                <w:szCs w:val="4"/>
              </w:rPr>
            </w:pPr>
            <w:r>
              <w:rPr>
                <w:sz w:val="4"/>
                <w:szCs w:val="4"/>
              </w:rPr>
            </w:r>
          </w:p>
        </w:tc>
        <w:tc>
          <w:tcPr>
            <w:tcW w:w="8517"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Other Definitional and Interpretative Provisions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45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gridSpan w:val="3"/>
            <w:tcBorders/>
          </w:tcPr>
          <w:p>
            <w:pPr>
              <w:pStyle w:val="TableContents"/>
              <w:bidi w:val="0"/>
              <w:spacing w:before="0" w:after="283"/>
              <w:jc w:val="left"/>
              <w:rPr/>
            </w:pPr>
            <w:r>
              <w:rPr/>
              <w:t>ARTICLE II THE MERGER</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33" w:type="dxa"/>
            <w:tcBorders/>
            <w:vAlign w:val="center"/>
          </w:tcPr>
          <w:p>
            <w:pPr>
              <w:pStyle w:val="TableContents"/>
              <w:bidi w:val="0"/>
              <w:spacing w:before="0" w:after="283"/>
              <w:jc w:val="left"/>
              <w:rPr>
                <w:sz w:val="4"/>
                <w:szCs w:val="4"/>
              </w:rPr>
            </w:pPr>
            <w:r>
              <w:rPr>
                <w:sz w:val="4"/>
                <w:szCs w:val="4"/>
              </w:rPr>
            </w:r>
          </w:p>
        </w:tc>
        <w:tc>
          <w:tcPr>
            <w:tcW w:w="8517"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The Caldera Merger</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The Synlogic Merger</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Organizational Documents; Directors and Officers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Shares of Caldera</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Shares of Synlogic</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Closing of Transfer Books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Surrender of Caldera Common Stock</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Surrender of Synlogic Common Stock</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Calculation of Net Cash</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Further Action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Withholding</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2.13</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Appraisal Rights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945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gridSpan w:val="3"/>
            <w:tcBorders/>
          </w:tcPr>
          <w:p>
            <w:pPr>
              <w:pStyle w:val="TableContents"/>
              <w:bidi w:val="0"/>
              <w:spacing w:before="0" w:after="283"/>
              <w:jc w:val="left"/>
              <w:rPr/>
            </w:pPr>
            <w:r>
              <w:rPr/>
              <w:t>ARTICLE III REPRESENTATIONS AND WARRANTIES OF CALDERA</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933" w:type="dxa"/>
            <w:tcBorders/>
            <w:vAlign w:val="center"/>
          </w:tcPr>
          <w:p>
            <w:pPr>
              <w:pStyle w:val="TableContents"/>
              <w:bidi w:val="0"/>
              <w:spacing w:before="0" w:after="283"/>
              <w:jc w:val="left"/>
              <w:rPr>
                <w:sz w:val="4"/>
                <w:szCs w:val="4"/>
              </w:rPr>
            </w:pPr>
            <w:r>
              <w:rPr>
                <w:sz w:val="4"/>
                <w:szCs w:val="4"/>
              </w:rPr>
            </w:r>
          </w:p>
        </w:tc>
        <w:tc>
          <w:tcPr>
            <w:tcW w:w="8517"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Due Organization; Subsidiaries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Organizational Documents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Authority; Binding Nature of Agreement</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Vote Required</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Non-Contravention; Consents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Capitalization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Changes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Absence of Undisclosed Liabilities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Title to Assets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 Leasehold</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3.12</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3.13</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Agreements, Contracts and Commitments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3.14</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Compliance; Permits; Restrictions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3.15</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Legal Proceedings; Orders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3.16</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3.17</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Employee and Labor Matters; Benefit Plans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3.18</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3.19</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3.20</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Transactions with Affiliates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933" w:type="dxa"/>
            <w:tcBorders/>
          </w:tcPr>
          <w:p>
            <w:pPr>
              <w:pStyle w:val="TableContents"/>
              <w:bidi w:val="0"/>
              <w:spacing w:before="0" w:after="0"/>
              <w:jc w:val="left"/>
              <w:rPr>
                <w:rFonts w:ascii="Times New Roman" w:hAnsi="Times New Roman"/>
                <w:sz w:val="20"/>
              </w:rPr>
            </w:pPr>
            <w:r>
              <w:rPr>
                <w:rFonts w:ascii="Times New Roman" w:hAnsi="Times New Roman"/>
                <w:sz w:val="20"/>
              </w:rPr>
              <w:t>3.21</w:t>
            </w:r>
          </w:p>
        </w:tc>
        <w:tc>
          <w:tcPr>
            <w:tcW w:w="126" w:type="dxa"/>
            <w:tcBorders/>
            <w:vAlign w:val="bottom"/>
          </w:tcPr>
          <w:p>
            <w:pPr>
              <w:pStyle w:val="TableContents"/>
              <w:bidi w:val="0"/>
              <w:spacing w:before="0" w:after="283"/>
              <w:jc w:val="left"/>
              <w:rPr/>
            </w:pPr>
            <w:r>
              <w:rPr/>
              <w:t> </w:t>
            </w:r>
          </w:p>
        </w:tc>
        <w:tc>
          <w:tcPr>
            <w:tcW w:w="8391" w:type="dxa"/>
            <w:tcBorders/>
          </w:tcPr>
          <w:p>
            <w:pPr>
              <w:pStyle w:val="TableContents"/>
              <w:bidi w:val="0"/>
              <w:spacing w:before="0" w:after="0"/>
              <w:jc w:val="left"/>
              <w:rPr>
                <w:rFonts w:ascii="Times New Roman" w:hAnsi="Times New Roman"/>
                <w:sz w:val="20"/>
              </w:rPr>
            </w:pPr>
            <w:r>
              <w:rPr>
                <w:rFonts w:ascii="Times New Roman" w:hAnsi="Times New Roman"/>
                <w:sz w:val="20"/>
              </w:rPr>
              <w:t>No Financial Advisors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63"/>
        <w:gridCol w:w="125"/>
        <w:gridCol w:w="8762"/>
        <w:gridCol w:w="167"/>
        <w:gridCol w:w="60"/>
        <w:gridCol w:w="265"/>
        <w:gridCol w:w="63"/>
      </w:tblGrid>
      <w:tr>
        <w:trPr/>
        <w:tc>
          <w:tcPr>
            <w:tcW w:w="76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76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3.22</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Privacy and Data Security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3.23</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Concurrent Financing</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3.24</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No Other Representations or Warranties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9650" w:type="dxa"/>
            <w:gridSpan w:val="3"/>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r>
      <w:tr>
        <w:trPr/>
        <w:tc>
          <w:tcPr>
            <w:tcW w:w="9650" w:type="dxa"/>
            <w:gridSpan w:val="3"/>
            <w:tcBorders/>
          </w:tcPr>
          <w:p>
            <w:pPr>
              <w:pStyle w:val="TableContents"/>
              <w:bidi w:val="0"/>
              <w:spacing w:before="0" w:after="283"/>
              <w:jc w:val="left"/>
              <w:rPr/>
            </w:pPr>
            <w:r>
              <w:rPr/>
              <w:t>ARTICLE IV REPRESENTATIONS AND WARRANTIES OF SYNLOGIC</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763" w:type="dxa"/>
            <w:tcBorders/>
            <w:vAlign w:val="center"/>
          </w:tcPr>
          <w:p>
            <w:pPr>
              <w:pStyle w:val="TableContents"/>
              <w:bidi w:val="0"/>
              <w:spacing w:before="0" w:after="283"/>
              <w:jc w:val="left"/>
              <w:rPr>
                <w:sz w:val="4"/>
                <w:szCs w:val="4"/>
              </w:rPr>
            </w:pPr>
            <w:r>
              <w:rPr>
                <w:sz w:val="4"/>
                <w:szCs w:val="4"/>
              </w:rPr>
            </w:r>
          </w:p>
        </w:tc>
        <w:tc>
          <w:tcPr>
            <w:tcW w:w="8887" w:type="dxa"/>
            <w:gridSpan w:val="2"/>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Due Organization; Subsidiaries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Organizational Documents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Authority; Binding Nature of Agreement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Vote Required</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Non-Contravention; Consents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Capitalization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SEC Filings; Financial Statements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Changes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Absence of Undisclosed Liabilities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Title to Assets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 Leasehold</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Agreements, Contracts and Commitments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Agreements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Compliance; Permits; Restrictions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Legal Proceedings; Orders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Employee and Labor Matters; Benefit Plans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4.20</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4.21</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Transactions with Affiliates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4.22</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No Financial Advisors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4.23</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Valid Issuance; No Bad Actor</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4.24</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Privacy and Data Security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4.25</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No Other Representations or Warranties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rHeight w:val="120" w:hRule="atLeast"/>
        </w:trPr>
        <w:tc>
          <w:tcPr>
            <w:tcW w:w="9650" w:type="dxa"/>
            <w:gridSpan w:val="3"/>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r>
      <w:tr>
        <w:trPr/>
        <w:tc>
          <w:tcPr>
            <w:tcW w:w="9650" w:type="dxa"/>
            <w:gridSpan w:val="3"/>
            <w:tcBorders/>
          </w:tcPr>
          <w:p>
            <w:pPr>
              <w:pStyle w:val="TableContents"/>
              <w:bidi w:val="0"/>
              <w:spacing w:before="0" w:after="283"/>
              <w:jc w:val="left"/>
              <w:rPr/>
            </w:pPr>
            <w:r>
              <w:rPr/>
              <w:t>ARTICLE V REPRESENTATIONS AND WARRANTIES OF PARENT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rHeight w:val="120" w:hRule="atLeast"/>
        </w:trPr>
        <w:tc>
          <w:tcPr>
            <w:tcW w:w="763" w:type="dxa"/>
            <w:tcBorders/>
            <w:vAlign w:val="center"/>
          </w:tcPr>
          <w:p>
            <w:pPr>
              <w:pStyle w:val="TableContents"/>
              <w:bidi w:val="0"/>
              <w:spacing w:before="0" w:after="283"/>
              <w:jc w:val="left"/>
              <w:rPr>
                <w:sz w:val="4"/>
                <w:szCs w:val="4"/>
              </w:rPr>
            </w:pPr>
            <w:r>
              <w:rPr>
                <w:sz w:val="4"/>
                <w:szCs w:val="4"/>
              </w:rPr>
            </w:r>
          </w:p>
        </w:tc>
        <w:tc>
          <w:tcPr>
            <w:tcW w:w="8887" w:type="dxa"/>
            <w:gridSpan w:val="2"/>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Due Organization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Authority; Binding Nature of Agreement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No Vote of Parent Stockholders; Required Approval</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Agreements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Stock Ownership</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5.7</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Brokers’ Fees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763" w:type="dxa"/>
            <w:tcBorders/>
          </w:tcPr>
          <w:p>
            <w:pPr>
              <w:pStyle w:val="TableContents"/>
              <w:bidi w:val="0"/>
              <w:spacing w:before="0" w:after="0"/>
              <w:jc w:val="left"/>
              <w:rPr>
                <w:rFonts w:ascii="Times New Roman" w:hAnsi="Times New Roman"/>
                <w:sz w:val="20"/>
              </w:rPr>
            </w:pPr>
            <w:r>
              <w:rPr>
                <w:rFonts w:ascii="Times New Roman" w:hAnsi="Times New Roman"/>
                <w:sz w:val="20"/>
              </w:rPr>
              <w:t>5.8</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Parent Information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73"/>
        <w:gridCol w:w="126"/>
        <w:gridCol w:w="8749"/>
        <w:gridCol w:w="168"/>
        <w:gridCol w:w="60"/>
        <w:gridCol w:w="266"/>
        <w:gridCol w:w="63"/>
      </w:tblGrid>
      <w:tr>
        <w:trPr/>
        <w:tc>
          <w:tcPr>
            <w:tcW w:w="77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8749"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48" w:type="dxa"/>
            <w:gridSpan w:val="3"/>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gridSpan w:val="3"/>
            <w:tcBorders/>
          </w:tcPr>
          <w:p>
            <w:pPr>
              <w:pStyle w:val="TableContents"/>
              <w:bidi w:val="0"/>
              <w:spacing w:before="0" w:after="283"/>
              <w:jc w:val="left"/>
              <w:rPr/>
            </w:pPr>
            <w:r>
              <w:rPr/>
              <w:t>ARTICLE VI COVENANTS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rHeight w:val="120" w:hRule="atLeast"/>
        </w:trPr>
        <w:tc>
          <w:tcPr>
            <w:tcW w:w="773" w:type="dxa"/>
            <w:tcBorders/>
            <w:vAlign w:val="center"/>
          </w:tcPr>
          <w:p>
            <w:pPr>
              <w:pStyle w:val="TableContents"/>
              <w:bidi w:val="0"/>
              <w:spacing w:before="0" w:after="283"/>
              <w:jc w:val="left"/>
              <w:rPr>
                <w:sz w:val="4"/>
                <w:szCs w:val="4"/>
              </w:rPr>
            </w:pPr>
            <w:r>
              <w:rPr>
                <w:sz w:val="4"/>
                <w:szCs w:val="4"/>
              </w:rPr>
            </w:r>
          </w:p>
        </w:tc>
        <w:tc>
          <w:tcPr>
            <w:tcW w:w="8875" w:type="dxa"/>
            <w:gridSpan w:val="2"/>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Conduct of Caldera’s Business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Conduct of Synlogic’s Business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Conduct of Parent’s Business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Access and Investigation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No Solicitation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Notification of Certain Matters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Synlogic ESPP</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Concurrent Financing</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rHeight w:val="120" w:hRule="atLeast"/>
        </w:trPr>
        <w:tc>
          <w:tcPr>
            <w:tcW w:w="9648" w:type="dxa"/>
            <w:gridSpan w:val="3"/>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gridSpan w:val="3"/>
            <w:tcBorders/>
          </w:tcPr>
          <w:p>
            <w:pPr>
              <w:pStyle w:val="TableContents"/>
              <w:bidi w:val="0"/>
              <w:spacing w:before="0" w:after="283"/>
              <w:jc w:val="left"/>
              <w:rPr/>
            </w:pPr>
            <w:r>
              <w:rPr/>
              <w:t>ARTICLE VII ADDITIONAL AGREEMENTS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rHeight w:val="120" w:hRule="atLeast"/>
        </w:trPr>
        <w:tc>
          <w:tcPr>
            <w:tcW w:w="773" w:type="dxa"/>
            <w:tcBorders/>
            <w:vAlign w:val="center"/>
          </w:tcPr>
          <w:p>
            <w:pPr>
              <w:pStyle w:val="TableContents"/>
              <w:bidi w:val="0"/>
              <w:spacing w:before="0" w:after="283"/>
              <w:jc w:val="left"/>
              <w:rPr>
                <w:sz w:val="4"/>
                <w:szCs w:val="4"/>
              </w:rPr>
            </w:pPr>
            <w:r>
              <w:rPr>
                <w:sz w:val="4"/>
                <w:szCs w:val="4"/>
              </w:rPr>
            </w:r>
          </w:p>
        </w:tc>
        <w:tc>
          <w:tcPr>
            <w:tcW w:w="8875" w:type="dxa"/>
            <w:gridSpan w:val="2"/>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Registration Statement; Proxy Statement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Caldera Stockholder Approval</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Synlogic Stockholder Meeting</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Efforts; Regulatory Approvals; Transaction Litigation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7.5</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Disclosures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7.6</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of Officers and Directors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7.7</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7.8</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Listing</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7.9</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Legends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7.10</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Officers and Directors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7.11</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of Certain Agreements and Rights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7.12</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Section 16 Matters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7.13</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Allocation Certificate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7.14</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7.15</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of Merger Subs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7.16</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Takeover Statutes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7.17</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Parent Equity Plans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7.18</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Synlogic 401(k) Plan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rHeight w:val="120" w:hRule="atLeast"/>
        </w:trPr>
        <w:tc>
          <w:tcPr>
            <w:tcW w:w="9648" w:type="dxa"/>
            <w:gridSpan w:val="3"/>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gridSpan w:val="3"/>
            <w:tcBorders/>
          </w:tcPr>
          <w:p>
            <w:pPr>
              <w:pStyle w:val="TableContents"/>
              <w:bidi w:val="0"/>
              <w:spacing w:before="0" w:after="283"/>
              <w:jc w:val="left"/>
              <w:rPr/>
            </w:pPr>
            <w:r>
              <w:rPr/>
              <w:t>ARTICLE VIII CONDITIONS TO CONSUMMATION OF THE MERGER</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rHeight w:val="120" w:hRule="atLeast"/>
        </w:trPr>
        <w:tc>
          <w:tcPr>
            <w:tcW w:w="773" w:type="dxa"/>
            <w:tcBorders/>
            <w:vAlign w:val="center"/>
          </w:tcPr>
          <w:p>
            <w:pPr>
              <w:pStyle w:val="TableContents"/>
              <w:bidi w:val="0"/>
              <w:spacing w:before="0" w:after="283"/>
              <w:jc w:val="left"/>
              <w:rPr>
                <w:sz w:val="4"/>
                <w:szCs w:val="4"/>
              </w:rPr>
            </w:pPr>
            <w:r>
              <w:rPr>
                <w:sz w:val="4"/>
                <w:szCs w:val="4"/>
              </w:rPr>
            </w:r>
          </w:p>
        </w:tc>
        <w:tc>
          <w:tcPr>
            <w:tcW w:w="8875" w:type="dxa"/>
            <w:gridSpan w:val="2"/>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Conditions Precedent to Obligations of Each Party</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Conditions Precedent to Obligations of Caldera</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Conditions Precedent to Obligations of Synlogic, Parent, Caldera Merger Sub and Synlogic Merger Sub</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Frustration of Closing Conditions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rHeight w:val="120" w:hRule="atLeast"/>
        </w:trPr>
        <w:tc>
          <w:tcPr>
            <w:tcW w:w="9648" w:type="dxa"/>
            <w:gridSpan w:val="3"/>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gridSpan w:val="3"/>
            <w:tcBorders/>
          </w:tcPr>
          <w:p>
            <w:pPr>
              <w:pStyle w:val="TableContents"/>
              <w:bidi w:val="0"/>
              <w:spacing w:before="0" w:after="283"/>
              <w:jc w:val="left"/>
              <w:rPr/>
            </w:pPr>
            <w:r>
              <w:rPr/>
              <w:t>ARTICLE IX CLOSING DELIVERIES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rHeight w:val="120" w:hRule="atLeast"/>
        </w:trPr>
        <w:tc>
          <w:tcPr>
            <w:tcW w:w="773" w:type="dxa"/>
            <w:tcBorders/>
            <w:vAlign w:val="center"/>
          </w:tcPr>
          <w:p>
            <w:pPr>
              <w:pStyle w:val="TableContents"/>
              <w:bidi w:val="0"/>
              <w:spacing w:before="0" w:after="283"/>
              <w:jc w:val="left"/>
              <w:rPr>
                <w:sz w:val="4"/>
                <w:szCs w:val="4"/>
              </w:rPr>
            </w:pPr>
            <w:r>
              <w:rPr>
                <w:sz w:val="4"/>
                <w:szCs w:val="4"/>
              </w:rPr>
            </w:r>
          </w:p>
        </w:tc>
        <w:tc>
          <w:tcPr>
            <w:tcW w:w="8875" w:type="dxa"/>
            <w:gridSpan w:val="2"/>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Closing Deliveries of Caldera</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Closing Deliveries of Synlogic</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rHeight w:val="120" w:hRule="atLeast"/>
        </w:trPr>
        <w:tc>
          <w:tcPr>
            <w:tcW w:w="9648" w:type="dxa"/>
            <w:gridSpan w:val="3"/>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gridSpan w:val="3"/>
            <w:tcBorders/>
          </w:tcPr>
          <w:p>
            <w:pPr>
              <w:pStyle w:val="TableContents"/>
              <w:bidi w:val="0"/>
              <w:spacing w:before="0" w:after="283"/>
              <w:jc w:val="left"/>
              <w:rPr/>
            </w:pPr>
            <w:r>
              <w:rPr/>
              <w:t>ARTICLE X TERMINATION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rHeight w:val="120" w:hRule="atLeast"/>
        </w:trPr>
        <w:tc>
          <w:tcPr>
            <w:tcW w:w="773" w:type="dxa"/>
            <w:tcBorders/>
            <w:vAlign w:val="center"/>
          </w:tcPr>
          <w:p>
            <w:pPr>
              <w:pStyle w:val="TableContents"/>
              <w:bidi w:val="0"/>
              <w:spacing w:before="0" w:after="283"/>
              <w:jc w:val="left"/>
              <w:rPr>
                <w:sz w:val="4"/>
                <w:szCs w:val="4"/>
              </w:rPr>
            </w:pPr>
            <w:r>
              <w:rPr>
                <w:sz w:val="4"/>
                <w:szCs w:val="4"/>
              </w:rPr>
            </w:r>
          </w:p>
        </w:tc>
        <w:tc>
          <w:tcPr>
            <w:tcW w:w="8875" w:type="dxa"/>
            <w:gridSpan w:val="2"/>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Effect of Termination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773" w:type="dxa"/>
            <w:tcBorders/>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126"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0"/>
              <w:jc w:val="left"/>
              <w:rPr>
                <w:rFonts w:ascii="Times New Roman" w:hAnsi="Times New Roman"/>
                <w:sz w:val="20"/>
              </w:rPr>
            </w:pPr>
            <w:r>
              <w:rPr>
                <w:rFonts w:ascii="Times New Roman" w:hAnsi="Times New Roman"/>
                <w:sz w:val="20"/>
              </w:rPr>
              <w:t>Expenses; Termination Fees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44"/>
        <w:gridCol w:w="126"/>
        <w:gridCol w:w="8685"/>
        <w:gridCol w:w="167"/>
        <w:gridCol w:w="60"/>
        <w:gridCol w:w="260"/>
        <w:gridCol w:w="63"/>
      </w:tblGrid>
      <w:tr>
        <w:trPr/>
        <w:tc>
          <w:tcPr>
            <w:tcW w:w="84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868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5" w:type="dxa"/>
            <w:gridSpan w:val="3"/>
            <w:tcBorders/>
          </w:tcPr>
          <w:p>
            <w:pPr>
              <w:pStyle w:val="TableContents"/>
              <w:bidi w:val="0"/>
              <w:spacing w:before="0" w:after="283"/>
              <w:jc w:val="left"/>
              <w:rPr/>
            </w:pPr>
            <w:r>
              <w:rPr/>
              <w:t>ARTICLE XI GENERAL PROVISIONS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rHeight w:val="120" w:hRule="atLeast"/>
        </w:trPr>
        <w:tc>
          <w:tcPr>
            <w:tcW w:w="844" w:type="dxa"/>
            <w:tcBorders/>
            <w:vAlign w:val="center"/>
          </w:tcPr>
          <w:p>
            <w:pPr>
              <w:pStyle w:val="TableContents"/>
              <w:bidi w:val="0"/>
              <w:spacing w:before="0" w:after="283"/>
              <w:jc w:val="left"/>
              <w:rPr>
                <w:sz w:val="4"/>
                <w:szCs w:val="4"/>
              </w:rPr>
            </w:pPr>
            <w:r>
              <w:rPr>
                <w:sz w:val="4"/>
                <w:szCs w:val="4"/>
              </w:rPr>
            </w:r>
          </w:p>
        </w:tc>
        <w:tc>
          <w:tcPr>
            <w:tcW w:w="8811"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844" w:type="dxa"/>
            <w:tcBorders/>
          </w:tcPr>
          <w:p>
            <w:pPr>
              <w:pStyle w:val="TableContents"/>
              <w:bidi w:val="0"/>
              <w:spacing w:before="0" w:after="0"/>
              <w:jc w:val="left"/>
              <w:rPr>
                <w:rFonts w:ascii="Times New Roman" w:hAnsi="Times New Roman"/>
                <w:sz w:val="20"/>
              </w:rPr>
            </w:pPr>
            <w:r>
              <w:rPr>
                <w:rFonts w:ascii="Times New Roman" w:hAnsi="Times New Roman"/>
                <w:sz w:val="20"/>
              </w:rPr>
              <w:t>11.1</w:t>
            </w:r>
          </w:p>
        </w:tc>
        <w:tc>
          <w:tcPr>
            <w:tcW w:w="126" w:type="dxa"/>
            <w:tcBorders/>
            <w:vAlign w:val="bottom"/>
          </w:tcPr>
          <w:p>
            <w:pPr>
              <w:pStyle w:val="TableContents"/>
              <w:bidi w:val="0"/>
              <w:spacing w:before="0" w:after="283"/>
              <w:jc w:val="left"/>
              <w:rPr/>
            </w:pPr>
            <w:r>
              <w:rPr/>
              <w:t> </w:t>
            </w:r>
          </w:p>
        </w:tc>
        <w:tc>
          <w:tcPr>
            <w:tcW w:w="8685" w:type="dxa"/>
            <w:tcBorders/>
          </w:tcPr>
          <w:p>
            <w:pPr>
              <w:pStyle w:val="TableContents"/>
              <w:bidi w:val="0"/>
              <w:spacing w:before="0" w:after="0"/>
              <w:jc w:val="left"/>
              <w:rPr>
                <w:rFonts w:ascii="Times New Roman" w:hAnsi="Times New Roman"/>
                <w:sz w:val="20"/>
              </w:rPr>
            </w:pPr>
            <w:r>
              <w:rPr>
                <w:rFonts w:ascii="Times New Roman" w:hAnsi="Times New Roman"/>
                <w:sz w:val="20"/>
              </w:rPr>
              <w:t>Non-Survival of Representations and Warranties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844" w:type="dxa"/>
            <w:tcBorders/>
          </w:tcPr>
          <w:p>
            <w:pPr>
              <w:pStyle w:val="TableContents"/>
              <w:bidi w:val="0"/>
              <w:spacing w:before="0" w:after="0"/>
              <w:jc w:val="left"/>
              <w:rPr>
                <w:rFonts w:ascii="Times New Roman" w:hAnsi="Times New Roman"/>
                <w:sz w:val="20"/>
              </w:rPr>
            </w:pPr>
            <w:r>
              <w:rPr>
                <w:rFonts w:ascii="Times New Roman" w:hAnsi="Times New Roman"/>
                <w:sz w:val="20"/>
              </w:rPr>
              <w:t>11.2</w:t>
            </w:r>
          </w:p>
        </w:tc>
        <w:tc>
          <w:tcPr>
            <w:tcW w:w="126" w:type="dxa"/>
            <w:tcBorders/>
            <w:vAlign w:val="bottom"/>
          </w:tcPr>
          <w:p>
            <w:pPr>
              <w:pStyle w:val="TableContents"/>
              <w:bidi w:val="0"/>
              <w:spacing w:before="0" w:after="283"/>
              <w:jc w:val="left"/>
              <w:rPr/>
            </w:pPr>
            <w:r>
              <w:rPr/>
              <w:t> </w:t>
            </w:r>
          </w:p>
        </w:tc>
        <w:tc>
          <w:tcPr>
            <w:tcW w:w="8685" w:type="dxa"/>
            <w:tcBorders/>
          </w:tcPr>
          <w:p>
            <w:pPr>
              <w:pStyle w:val="TableContents"/>
              <w:bidi w:val="0"/>
              <w:spacing w:before="0" w:after="0"/>
              <w:jc w:val="left"/>
              <w:rPr>
                <w:rFonts w:ascii="Times New Roman" w:hAnsi="Times New Roman"/>
                <w:sz w:val="20"/>
              </w:rPr>
            </w:pPr>
            <w:r>
              <w:rPr>
                <w:rFonts w:ascii="Times New Roman" w:hAnsi="Times New Roman"/>
                <w:sz w:val="20"/>
              </w:rPr>
              <w:t>Amendment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844" w:type="dxa"/>
            <w:tcBorders/>
          </w:tcPr>
          <w:p>
            <w:pPr>
              <w:pStyle w:val="TableContents"/>
              <w:bidi w:val="0"/>
              <w:spacing w:before="0" w:after="0"/>
              <w:jc w:val="left"/>
              <w:rPr>
                <w:rFonts w:ascii="Times New Roman" w:hAnsi="Times New Roman"/>
                <w:sz w:val="20"/>
              </w:rPr>
            </w:pPr>
            <w:r>
              <w:rPr>
                <w:rFonts w:ascii="Times New Roman" w:hAnsi="Times New Roman"/>
                <w:sz w:val="20"/>
              </w:rPr>
              <w:t>11.3</w:t>
            </w:r>
          </w:p>
        </w:tc>
        <w:tc>
          <w:tcPr>
            <w:tcW w:w="126" w:type="dxa"/>
            <w:tcBorders/>
            <w:vAlign w:val="bottom"/>
          </w:tcPr>
          <w:p>
            <w:pPr>
              <w:pStyle w:val="TableContents"/>
              <w:bidi w:val="0"/>
              <w:spacing w:before="0" w:after="283"/>
              <w:jc w:val="left"/>
              <w:rPr/>
            </w:pPr>
            <w:r>
              <w:rPr/>
              <w:t> </w:t>
            </w:r>
          </w:p>
        </w:tc>
        <w:tc>
          <w:tcPr>
            <w:tcW w:w="8685" w:type="dxa"/>
            <w:tcBorders/>
          </w:tcPr>
          <w:p>
            <w:pPr>
              <w:pStyle w:val="TableContents"/>
              <w:bidi w:val="0"/>
              <w:spacing w:before="0" w:after="0"/>
              <w:jc w:val="left"/>
              <w:rPr>
                <w:rFonts w:ascii="Times New Roman" w:hAnsi="Times New Roman"/>
                <w:sz w:val="20"/>
              </w:rPr>
            </w:pPr>
            <w:r>
              <w:rPr>
                <w:rFonts w:ascii="Times New Roman" w:hAnsi="Times New Roman"/>
                <w:sz w:val="20"/>
              </w:rPr>
              <w:t>Waiver</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844" w:type="dxa"/>
            <w:tcBorders/>
          </w:tcPr>
          <w:p>
            <w:pPr>
              <w:pStyle w:val="TableContents"/>
              <w:bidi w:val="0"/>
              <w:spacing w:before="0" w:after="0"/>
              <w:jc w:val="left"/>
              <w:rPr>
                <w:rFonts w:ascii="Times New Roman" w:hAnsi="Times New Roman"/>
                <w:sz w:val="20"/>
              </w:rPr>
            </w:pPr>
            <w:r>
              <w:rPr>
                <w:rFonts w:ascii="Times New Roman" w:hAnsi="Times New Roman"/>
                <w:sz w:val="20"/>
              </w:rPr>
              <w:t>11.4</w:t>
            </w:r>
          </w:p>
        </w:tc>
        <w:tc>
          <w:tcPr>
            <w:tcW w:w="126" w:type="dxa"/>
            <w:tcBorders/>
            <w:vAlign w:val="bottom"/>
          </w:tcPr>
          <w:p>
            <w:pPr>
              <w:pStyle w:val="TableContents"/>
              <w:bidi w:val="0"/>
              <w:spacing w:before="0" w:after="283"/>
              <w:jc w:val="left"/>
              <w:rPr/>
            </w:pPr>
            <w:r>
              <w:rPr/>
              <w:t> </w:t>
            </w:r>
          </w:p>
        </w:tc>
        <w:tc>
          <w:tcPr>
            <w:tcW w:w="8685"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 Counterparts; Exchanges by Electronic Transmission or Facsimile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844" w:type="dxa"/>
            <w:tcBorders/>
          </w:tcPr>
          <w:p>
            <w:pPr>
              <w:pStyle w:val="TableContents"/>
              <w:bidi w:val="0"/>
              <w:spacing w:before="0" w:after="0"/>
              <w:jc w:val="left"/>
              <w:rPr>
                <w:rFonts w:ascii="Times New Roman" w:hAnsi="Times New Roman"/>
                <w:sz w:val="20"/>
              </w:rPr>
            </w:pPr>
            <w:r>
              <w:rPr>
                <w:rFonts w:ascii="Times New Roman" w:hAnsi="Times New Roman"/>
                <w:sz w:val="20"/>
              </w:rPr>
              <w:t>11.5</w:t>
            </w:r>
          </w:p>
        </w:tc>
        <w:tc>
          <w:tcPr>
            <w:tcW w:w="126" w:type="dxa"/>
            <w:tcBorders/>
            <w:vAlign w:val="bottom"/>
          </w:tcPr>
          <w:p>
            <w:pPr>
              <w:pStyle w:val="TableContents"/>
              <w:bidi w:val="0"/>
              <w:spacing w:before="0" w:after="283"/>
              <w:jc w:val="left"/>
              <w:rPr/>
            </w:pPr>
            <w:r>
              <w:rPr/>
              <w:t> </w:t>
            </w:r>
          </w:p>
        </w:tc>
        <w:tc>
          <w:tcPr>
            <w:tcW w:w="8685" w:type="dxa"/>
            <w:tcBorders/>
          </w:tcPr>
          <w:p>
            <w:pPr>
              <w:pStyle w:val="TableContents"/>
              <w:bidi w:val="0"/>
              <w:spacing w:before="0" w:after="0"/>
              <w:jc w:val="left"/>
              <w:rPr>
                <w:rFonts w:ascii="Times New Roman" w:hAnsi="Times New Roman"/>
                <w:sz w:val="20"/>
              </w:rPr>
            </w:pPr>
            <w:r>
              <w:rPr>
                <w:rFonts w:ascii="Times New Roman" w:hAnsi="Times New Roman"/>
                <w:sz w:val="20"/>
              </w:rPr>
              <w:t>Applicable Law; Jurisdiction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844" w:type="dxa"/>
            <w:tcBorders/>
          </w:tcPr>
          <w:p>
            <w:pPr>
              <w:pStyle w:val="TableContents"/>
              <w:bidi w:val="0"/>
              <w:spacing w:before="0" w:after="0"/>
              <w:jc w:val="left"/>
              <w:rPr>
                <w:rFonts w:ascii="Times New Roman" w:hAnsi="Times New Roman"/>
                <w:sz w:val="20"/>
              </w:rPr>
            </w:pPr>
            <w:r>
              <w:rPr>
                <w:rFonts w:ascii="Times New Roman" w:hAnsi="Times New Roman"/>
                <w:sz w:val="20"/>
              </w:rPr>
              <w:t>11.6</w:t>
            </w:r>
          </w:p>
        </w:tc>
        <w:tc>
          <w:tcPr>
            <w:tcW w:w="126" w:type="dxa"/>
            <w:tcBorders/>
            <w:vAlign w:val="bottom"/>
          </w:tcPr>
          <w:p>
            <w:pPr>
              <w:pStyle w:val="TableContents"/>
              <w:bidi w:val="0"/>
              <w:spacing w:before="0" w:after="283"/>
              <w:jc w:val="left"/>
              <w:rPr/>
            </w:pPr>
            <w:r>
              <w:rPr/>
              <w:t> </w:t>
            </w:r>
          </w:p>
        </w:tc>
        <w:tc>
          <w:tcPr>
            <w:tcW w:w="8685" w:type="dxa"/>
            <w:tcBorders/>
          </w:tcPr>
          <w:p>
            <w:pPr>
              <w:pStyle w:val="TableContents"/>
              <w:bidi w:val="0"/>
              <w:spacing w:before="0" w:after="0"/>
              <w:jc w:val="left"/>
              <w:rPr>
                <w:rFonts w:ascii="Times New Roman" w:hAnsi="Times New Roman"/>
                <w:sz w:val="20"/>
              </w:rPr>
            </w:pPr>
            <w:r>
              <w:rPr>
                <w:rFonts w:ascii="Times New Roman" w:hAnsi="Times New Roman"/>
                <w:sz w:val="20"/>
              </w:rPr>
              <w:t>Assignability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844" w:type="dxa"/>
            <w:tcBorders/>
          </w:tcPr>
          <w:p>
            <w:pPr>
              <w:pStyle w:val="TableContents"/>
              <w:bidi w:val="0"/>
              <w:spacing w:before="0" w:after="0"/>
              <w:jc w:val="left"/>
              <w:rPr>
                <w:rFonts w:ascii="Times New Roman" w:hAnsi="Times New Roman"/>
                <w:sz w:val="20"/>
              </w:rPr>
            </w:pPr>
            <w:r>
              <w:rPr>
                <w:rFonts w:ascii="Times New Roman" w:hAnsi="Times New Roman"/>
                <w:sz w:val="20"/>
              </w:rPr>
              <w:t>11.7</w:t>
            </w:r>
          </w:p>
        </w:tc>
        <w:tc>
          <w:tcPr>
            <w:tcW w:w="126" w:type="dxa"/>
            <w:tcBorders/>
            <w:vAlign w:val="bottom"/>
          </w:tcPr>
          <w:p>
            <w:pPr>
              <w:pStyle w:val="TableContents"/>
              <w:bidi w:val="0"/>
              <w:spacing w:before="0" w:after="283"/>
              <w:jc w:val="left"/>
              <w:rPr/>
            </w:pPr>
            <w:r>
              <w:rPr/>
              <w:t> </w:t>
            </w:r>
          </w:p>
        </w:tc>
        <w:tc>
          <w:tcPr>
            <w:tcW w:w="8685"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844" w:type="dxa"/>
            <w:tcBorders/>
          </w:tcPr>
          <w:p>
            <w:pPr>
              <w:pStyle w:val="TableContents"/>
              <w:bidi w:val="0"/>
              <w:spacing w:before="0" w:after="0"/>
              <w:jc w:val="left"/>
              <w:rPr>
                <w:rFonts w:ascii="Times New Roman" w:hAnsi="Times New Roman"/>
                <w:sz w:val="20"/>
              </w:rPr>
            </w:pPr>
            <w:r>
              <w:rPr>
                <w:rFonts w:ascii="Times New Roman" w:hAnsi="Times New Roman"/>
                <w:sz w:val="20"/>
              </w:rPr>
              <w:t>11.8</w:t>
            </w:r>
          </w:p>
        </w:tc>
        <w:tc>
          <w:tcPr>
            <w:tcW w:w="126" w:type="dxa"/>
            <w:tcBorders/>
            <w:vAlign w:val="bottom"/>
          </w:tcPr>
          <w:p>
            <w:pPr>
              <w:pStyle w:val="TableContents"/>
              <w:bidi w:val="0"/>
              <w:spacing w:before="0" w:after="283"/>
              <w:jc w:val="left"/>
              <w:rPr/>
            </w:pPr>
            <w:r>
              <w:rPr/>
              <w:t> </w:t>
            </w:r>
          </w:p>
        </w:tc>
        <w:tc>
          <w:tcPr>
            <w:tcW w:w="8685" w:type="dxa"/>
            <w:tcBorders/>
          </w:tcPr>
          <w:p>
            <w:pPr>
              <w:pStyle w:val="TableContents"/>
              <w:bidi w:val="0"/>
              <w:spacing w:before="0" w:after="0"/>
              <w:jc w:val="left"/>
              <w:rPr>
                <w:rFonts w:ascii="Times New Roman" w:hAnsi="Times New Roman"/>
                <w:sz w:val="20"/>
              </w:rPr>
            </w:pPr>
            <w:r>
              <w:rPr>
                <w:rFonts w:ascii="Times New Roman" w:hAnsi="Times New Roman"/>
                <w:sz w:val="20"/>
              </w:rPr>
              <w:t>Cooperation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844" w:type="dxa"/>
            <w:tcBorders/>
          </w:tcPr>
          <w:p>
            <w:pPr>
              <w:pStyle w:val="TableContents"/>
              <w:bidi w:val="0"/>
              <w:spacing w:before="0" w:after="0"/>
              <w:jc w:val="left"/>
              <w:rPr>
                <w:rFonts w:ascii="Times New Roman" w:hAnsi="Times New Roman"/>
                <w:sz w:val="20"/>
              </w:rPr>
            </w:pPr>
            <w:r>
              <w:rPr>
                <w:rFonts w:ascii="Times New Roman" w:hAnsi="Times New Roman"/>
                <w:sz w:val="20"/>
              </w:rPr>
              <w:t>11.9</w:t>
            </w:r>
          </w:p>
        </w:tc>
        <w:tc>
          <w:tcPr>
            <w:tcW w:w="126" w:type="dxa"/>
            <w:tcBorders/>
            <w:vAlign w:val="bottom"/>
          </w:tcPr>
          <w:p>
            <w:pPr>
              <w:pStyle w:val="TableContents"/>
              <w:bidi w:val="0"/>
              <w:spacing w:before="0" w:after="283"/>
              <w:jc w:val="left"/>
              <w:rPr/>
            </w:pPr>
            <w:r>
              <w:rPr/>
              <w:t> </w:t>
            </w:r>
          </w:p>
        </w:tc>
        <w:tc>
          <w:tcPr>
            <w:tcW w:w="8685"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844" w:type="dxa"/>
            <w:tcBorders/>
          </w:tcPr>
          <w:p>
            <w:pPr>
              <w:pStyle w:val="TableContents"/>
              <w:bidi w:val="0"/>
              <w:spacing w:before="0" w:after="0"/>
              <w:jc w:val="left"/>
              <w:rPr>
                <w:rFonts w:ascii="Times New Roman" w:hAnsi="Times New Roman"/>
                <w:sz w:val="20"/>
              </w:rPr>
            </w:pPr>
            <w:r>
              <w:rPr>
                <w:rFonts w:ascii="Times New Roman" w:hAnsi="Times New Roman"/>
                <w:sz w:val="20"/>
              </w:rPr>
              <w:t>11.10</w:t>
            </w:r>
          </w:p>
        </w:tc>
        <w:tc>
          <w:tcPr>
            <w:tcW w:w="126" w:type="dxa"/>
            <w:tcBorders/>
            <w:vAlign w:val="bottom"/>
          </w:tcPr>
          <w:p>
            <w:pPr>
              <w:pStyle w:val="TableContents"/>
              <w:bidi w:val="0"/>
              <w:spacing w:before="0" w:after="283"/>
              <w:jc w:val="left"/>
              <w:rPr/>
            </w:pPr>
            <w:r>
              <w:rPr/>
              <w:t> </w:t>
            </w:r>
          </w:p>
        </w:tc>
        <w:tc>
          <w:tcPr>
            <w:tcW w:w="8685" w:type="dxa"/>
            <w:tcBorders/>
          </w:tcPr>
          <w:p>
            <w:pPr>
              <w:pStyle w:val="TableContents"/>
              <w:bidi w:val="0"/>
              <w:spacing w:before="0" w:after="0"/>
              <w:jc w:val="left"/>
              <w:rPr>
                <w:rFonts w:ascii="Times New Roman" w:hAnsi="Times New Roman"/>
                <w:sz w:val="20"/>
              </w:rPr>
            </w:pPr>
            <w:r>
              <w:rPr>
                <w:rFonts w:ascii="Times New Roman" w:hAnsi="Times New Roman"/>
                <w:sz w:val="20"/>
              </w:rPr>
              <w:t>Other Remedies; Specific Performance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844" w:type="dxa"/>
            <w:tcBorders/>
          </w:tcPr>
          <w:p>
            <w:pPr>
              <w:pStyle w:val="TableContents"/>
              <w:bidi w:val="0"/>
              <w:spacing w:before="0" w:after="0"/>
              <w:jc w:val="left"/>
              <w:rPr>
                <w:rFonts w:ascii="Times New Roman" w:hAnsi="Times New Roman"/>
                <w:sz w:val="20"/>
              </w:rPr>
            </w:pPr>
            <w:r>
              <w:rPr>
                <w:rFonts w:ascii="Times New Roman" w:hAnsi="Times New Roman"/>
                <w:sz w:val="20"/>
              </w:rPr>
              <w:t>11.11</w:t>
            </w:r>
          </w:p>
        </w:tc>
        <w:tc>
          <w:tcPr>
            <w:tcW w:w="126" w:type="dxa"/>
            <w:tcBorders/>
            <w:vAlign w:val="bottom"/>
          </w:tcPr>
          <w:p>
            <w:pPr>
              <w:pStyle w:val="TableContents"/>
              <w:bidi w:val="0"/>
              <w:spacing w:before="0" w:after="283"/>
              <w:jc w:val="left"/>
              <w:rPr/>
            </w:pPr>
            <w:r>
              <w:rPr/>
              <w:t> </w:t>
            </w:r>
          </w:p>
        </w:tc>
        <w:tc>
          <w:tcPr>
            <w:tcW w:w="8685" w:type="dxa"/>
            <w:tcBorders/>
          </w:tcPr>
          <w:p>
            <w:pPr>
              <w:pStyle w:val="TableContents"/>
              <w:bidi w:val="0"/>
              <w:spacing w:before="0" w:after="0"/>
              <w:jc w:val="left"/>
              <w:rPr>
                <w:rFonts w:ascii="Times New Roman" w:hAnsi="Times New Roman"/>
                <w:sz w:val="20"/>
              </w:rPr>
            </w:pPr>
            <w:r>
              <w:rPr>
                <w:rFonts w:ascii="Times New Roman" w:hAnsi="Times New Roman"/>
                <w:sz w:val="20"/>
              </w:rPr>
              <w:t>No Third-Party Beneficiaries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1"/>
        <w:gridCol w:w="235"/>
        <w:gridCol w:w="9019"/>
      </w:tblGrid>
      <w:tr>
        <w:trPr/>
        <w:tc>
          <w:tcPr>
            <w:tcW w:w="951"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9019" w:type="dxa"/>
            <w:tcBorders/>
            <w:vAlign w:val="center"/>
          </w:tcPr>
          <w:p>
            <w:pPr>
              <w:pStyle w:val="TableContents"/>
              <w:bidi w:val="0"/>
              <w:spacing w:before="0" w:after="283"/>
              <w:jc w:val="left"/>
              <w:rPr>
                <w:sz w:val="4"/>
                <w:szCs w:val="4"/>
              </w:rPr>
            </w:pPr>
            <w:r>
              <w:rPr>
                <w:sz w:val="4"/>
                <w:szCs w:val="4"/>
              </w:rPr>
            </w:r>
          </w:p>
        </w:tc>
      </w:tr>
      <w:tr>
        <w:trPr/>
        <w:tc>
          <w:tcPr>
            <w:tcW w:w="951" w:type="dxa"/>
            <w:tcBorders/>
          </w:tcPr>
          <w:p>
            <w:pPr>
              <w:pStyle w:val="TableContents"/>
              <w:bidi w:val="0"/>
              <w:spacing w:before="0" w:after="283"/>
              <w:jc w:val="left"/>
              <w:rPr/>
            </w:pPr>
            <w:r>
              <w:rPr/>
              <w:t>Exhibit A</w:t>
            </w:r>
          </w:p>
        </w:tc>
        <w:tc>
          <w:tcPr>
            <w:tcW w:w="235" w:type="dxa"/>
            <w:tcBorders/>
            <w:vAlign w:val="bottom"/>
          </w:tcPr>
          <w:p>
            <w:pPr>
              <w:pStyle w:val="TableContents"/>
              <w:bidi w:val="0"/>
              <w:spacing w:before="0" w:after="283"/>
              <w:jc w:val="left"/>
              <w:rPr/>
            </w:pPr>
            <w:r>
              <w:rPr/>
              <w:t>  </w:t>
            </w:r>
          </w:p>
        </w:tc>
        <w:tc>
          <w:tcPr>
            <w:tcW w:w="9019" w:type="dxa"/>
            <w:tcBorders/>
          </w:tcPr>
          <w:p>
            <w:pPr>
              <w:pStyle w:val="TableContents"/>
              <w:bidi w:val="0"/>
              <w:spacing w:before="0" w:after="283"/>
              <w:jc w:val="left"/>
              <w:rPr/>
            </w:pPr>
            <w:r>
              <w:rPr/>
              <w:t>Form of Synlogic Stockholder Support Agreement</w:t>
            </w:r>
          </w:p>
        </w:tc>
      </w:tr>
      <w:tr>
        <w:trPr/>
        <w:tc>
          <w:tcPr>
            <w:tcW w:w="951" w:type="dxa"/>
            <w:tcBorders/>
          </w:tcPr>
          <w:p>
            <w:pPr>
              <w:pStyle w:val="TableContents"/>
              <w:bidi w:val="0"/>
              <w:spacing w:before="0" w:after="283"/>
              <w:jc w:val="left"/>
              <w:rPr/>
            </w:pPr>
            <w:r>
              <w:rPr/>
              <w:t>Exhibit B</w:t>
            </w:r>
          </w:p>
        </w:tc>
        <w:tc>
          <w:tcPr>
            <w:tcW w:w="235" w:type="dxa"/>
            <w:tcBorders/>
            <w:vAlign w:val="bottom"/>
          </w:tcPr>
          <w:p>
            <w:pPr>
              <w:pStyle w:val="TableContents"/>
              <w:bidi w:val="0"/>
              <w:spacing w:before="0" w:after="283"/>
              <w:jc w:val="left"/>
              <w:rPr/>
            </w:pPr>
            <w:r>
              <w:rPr/>
              <w:t>  </w:t>
            </w:r>
          </w:p>
        </w:tc>
        <w:tc>
          <w:tcPr>
            <w:tcW w:w="9019" w:type="dxa"/>
            <w:tcBorders/>
          </w:tcPr>
          <w:p>
            <w:pPr>
              <w:pStyle w:val="TableContents"/>
              <w:bidi w:val="0"/>
              <w:spacing w:before="0" w:after="283"/>
              <w:jc w:val="left"/>
              <w:rPr/>
            </w:pPr>
            <w:r>
              <w:rPr/>
              <w:t>Form of Caldera Stockholder Support Agreement</w:t>
            </w:r>
          </w:p>
        </w:tc>
      </w:tr>
      <w:tr>
        <w:trPr/>
        <w:tc>
          <w:tcPr>
            <w:tcW w:w="951" w:type="dxa"/>
            <w:tcBorders/>
          </w:tcPr>
          <w:p>
            <w:pPr>
              <w:pStyle w:val="TableContents"/>
              <w:bidi w:val="0"/>
              <w:spacing w:before="0" w:after="283"/>
              <w:jc w:val="left"/>
              <w:rPr/>
            </w:pPr>
            <w:r>
              <w:rPr/>
              <w:t>Exhibit C</w:t>
            </w:r>
          </w:p>
        </w:tc>
        <w:tc>
          <w:tcPr>
            <w:tcW w:w="235" w:type="dxa"/>
            <w:tcBorders/>
            <w:vAlign w:val="bottom"/>
          </w:tcPr>
          <w:p>
            <w:pPr>
              <w:pStyle w:val="TableContents"/>
              <w:bidi w:val="0"/>
              <w:spacing w:before="0" w:after="283"/>
              <w:jc w:val="left"/>
              <w:rPr/>
            </w:pPr>
            <w:r>
              <w:rPr/>
              <w:t>  </w:t>
            </w:r>
          </w:p>
        </w:tc>
        <w:tc>
          <w:tcPr>
            <w:tcW w:w="9019" w:type="dxa"/>
            <w:tcBorders/>
          </w:tcPr>
          <w:p>
            <w:pPr>
              <w:pStyle w:val="TableContents"/>
              <w:bidi w:val="0"/>
              <w:spacing w:before="0" w:after="283"/>
              <w:jc w:val="left"/>
              <w:rPr/>
            </w:pPr>
            <w:r>
              <w:rPr/>
              <w:t>Form of Lock-Up Agreement</w:t>
            </w:r>
          </w:p>
        </w:tc>
      </w:tr>
      <w:tr>
        <w:trPr/>
        <w:tc>
          <w:tcPr>
            <w:tcW w:w="951" w:type="dxa"/>
            <w:tcBorders/>
          </w:tcPr>
          <w:p>
            <w:pPr>
              <w:pStyle w:val="TableContents"/>
              <w:bidi w:val="0"/>
              <w:spacing w:before="0" w:after="283"/>
              <w:jc w:val="left"/>
              <w:rPr/>
            </w:pPr>
            <w:r>
              <w:rPr/>
              <w:t>Exhibit D</w:t>
            </w:r>
          </w:p>
        </w:tc>
        <w:tc>
          <w:tcPr>
            <w:tcW w:w="235" w:type="dxa"/>
            <w:tcBorders/>
            <w:vAlign w:val="bottom"/>
          </w:tcPr>
          <w:p>
            <w:pPr>
              <w:pStyle w:val="TableContents"/>
              <w:bidi w:val="0"/>
              <w:spacing w:before="0" w:after="283"/>
              <w:jc w:val="left"/>
              <w:rPr/>
            </w:pPr>
            <w:r>
              <w:rPr/>
              <w:t>  </w:t>
            </w:r>
          </w:p>
        </w:tc>
        <w:tc>
          <w:tcPr>
            <w:tcW w:w="9019" w:type="dxa"/>
            <w:tcBorders/>
          </w:tcPr>
          <w:p>
            <w:pPr>
              <w:pStyle w:val="TableContents"/>
              <w:bidi w:val="0"/>
              <w:spacing w:before="0" w:after="283"/>
              <w:jc w:val="left"/>
              <w:rPr/>
            </w:pPr>
            <w:r>
              <w:rPr/>
              <w:t>Form of Caldera Stockholder Written Consent</w:t>
            </w:r>
          </w:p>
        </w:tc>
      </w:tr>
      <w:tr>
        <w:trPr/>
        <w:tc>
          <w:tcPr>
            <w:tcW w:w="951" w:type="dxa"/>
            <w:tcBorders/>
          </w:tcPr>
          <w:p>
            <w:pPr>
              <w:pStyle w:val="TableContents"/>
              <w:bidi w:val="0"/>
              <w:spacing w:before="0" w:after="283"/>
              <w:jc w:val="left"/>
              <w:rPr/>
            </w:pPr>
            <w:r>
              <w:rPr/>
              <w:t>Exhibit E</w:t>
            </w:r>
          </w:p>
        </w:tc>
        <w:tc>
          <w:tcPr>
            <w:tcW w:w="235" w:type="dxa"/>
            <w:tcBorders/>
            <w:vAlign w:val="bottom"/>
          </w:tcPr>
          <w:p>
            <w:pPr>
              <w:pStyle w:val="TableContents"/>
              <w:bidi w:val="0"/>
              <w:spacing w:before="0" w:after="283"/>
              <w:jc w:val="left"/>
              <w:rPr/>
            </w:pPr>
            <w:r>
              <w:rPr/>
              <w:t>  </w:t>
            </w:r>
          </w:p>
        </w:tc>
        <w:tc>
          <w:tcPr>
            <w:tcW w:w="9019" w:type="dxa"/>
            <w:tcBorders/>
          </w:tcPr>
          <w:p>
            <w:pPr>
              <w:pStyle w:val="TableContents"/>
              <w:bidi w:val="0"/>
              <w:spacing w:before="0" w:after="283"/>
              <w:jc w:val="left"/>
              <w:rPr/>
            </w:pPr>
            <w:r>
              <w:rPr/>
              <w:t>Form of Securities Purchase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b/>
          <w:sz w:val="20"/>
        </w:rPr>
        <w:t>Agreement</w:t>
      </w:r>
      <w:r>
        <w:rPr>
          <w:rFonts w:ascii="Times New Roman" w:hAnsi="Times New Roman"/>
          <w:sz w:val="20"/>
        </w:rPr>
        <w:t>”) is made and entered into as of July 28, 2026, by and among CALDERA THERAPEUTICS, INC., a Delaware corporation (“</w:t>
      </w:r>
      <w:r>
        <w:rPr>
          <w:rFonts w:ascii="Times New Roman" w:hAnsi="Times New Roman"/>
          <w:b/>
          <w:sz w:val="20"/>
        </w:rPr>
        <w:t>Caldera</w:t>
      </w:r>
      <w:r>
        <w:rPr>
          <w:rFonts w:ascii="Times New Roman" w:hAnsi="Times New Roman"/>
          <w:sz w:val="20"/>
        </w:rPr>
        <w:t>”), SYNLOGIC, INC., a Delaware corporation (“</w:t>
      </w:r>
      <w:r>
        <w:rPr>
          <w:rFonts w:ascii="Times New Roman" w:hAnsi="Times New Roman"/>
          <w:b/>
          <w:sz w:val="20"/>
        </w:rPr>
        <w:t>Synlogic</w:t>
      </w:r>
      <w:r>
        <w:rPr>
          <w:rFonts w:ascii="Times New Roman" w:hAnsi="Times New Roman"/>
          <w:sz w:val="20"/>
        </w:rPr>
        <w:t>”), SONIC HOLDCO, INC., a Delaware corporation (“</w:t>
      </w:r>
      <w:r>
        <w:rPr>
          <w:rFonts w:ascii="Times New Roman" w:hAnsi="Times New Roman"/>
          <w:b/>
          <w:sz w:val="20"/>
        </w:rPr>
        <w:t>Parent</w:t>
      </w:r>
      <w:r>
        <w:rPr>
          <w:rFonts w:ascii="Times New Roman" w:hAnsi="Times New Roman"/>
          <w:sz w:val="20"/>
        </w:rPr>
        <w:t>”), YELLOWSTONE MERGER SUB, INC., a Delaware corporation and a direct, wholly owned subsidiary of Parent (“</w:t>
      </w:r>
      <w:r>
        <w:rPr>
          <w:rFonts w:ascii="Times New Roman" w:hAnsi="Times New Roman"/>
          <w:b/>
          <w:sz w:val="20"/>
        </w:rPr>
        <w:t>Caldera</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and SONIC MERGER SUB, INC., a Delaware corporation and a direct, wholly owned subsidiary of Parent (“</w:t>
      </w:r>
      <w:r>
        <w:rPr>
          <w:rFonts w:ascii="Times New Roman" w:hAnsi="Times New Roman"/>
          <w:b/>
          <w:sz w:val="20"/>
        </w:rPr>
        <w:t>Synlogic Merger Sub</w:t>
      </w:r>
      <w:r>
        <w:rPr>
          <w:rFonts w:ascii="Times New Roman" w:hAnsi="Times New Roman"/>
          <w:sz w:val="20"/>
        </w:rPr>
        <w:t xml:space="preserve">”). Certain capitalized terms used in this Agreement are defined in </w:t>
      </w:r>
      <w:r>
        <w:rPr>
          <w:rFonts w:ascii="Times New Roman" w:hAnsi="Times New Roman"/>
          <w:sz w:val="20"/>
          <w:u w:val="single"/>
        </w:rPr>
        <w:t>Section 1.1</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A. WHEREAS, Caldera and Synlogic intend to effect a strategic combination of their businesses in accordance with this Agreement and Delaware Law; </w:t>
      </w:r>
    </w:p>
    <w:p>
      <w:pPr>
        <w:pStyle w:val="TextBody"/>
        <w:bidi w:val="0"/>
        <w:spacing w:before="240" w:after="0"/>
        <w:jc w:val="left"/>
        <w:rPr>
          <w:rFonts w:ascii="Times New Roman" w:hAnsi="Times New Roman"/>
          <w:sz w:val="20"/>
        </w:rPr>
      </w:pPr>
      <w:r>
        <w:rPr>
          <w:rFonts w:ascii="Times New Roman" w:hAnsi="Times New Roman"/>
          <w:sz w:val="20"/>
        </w:rPr>
        <w:t xml:space="preserve">B. WHEREAS, on July 27, 2026, Synlogic formed Parent and each of Caldera and Synlogic have determined that from and after the Synlogic Effective Time on the Closing Date, Parent shall act as the parent company for their combined businesses; </w:t>
      </w:r>
    </w:p>
    <w:p>
      <w:pPr>
        <w:pStyle w:val="TextBody"/>
        <w:bidi w:val="0"/>
        <w:spacing w:before="240" w:after="0"/>
        <w:jc w:val="left"/>
        <w:rPr>
          <w:rFonts w:ascii="Times New Roman" w:hAnsi="Times New Roman"/>
          <w:sz w:val="20"/>
        </w:rPr>
      </w:pPr>
      <w:r>
        <w:rPr>
          <w:rFonts w:ascii="Times New Roman" w:hAnsi="Times New Roman"/>
          <w:sz w:val="20"/>
        </w:rPr>
        <w:t>C. WHEREAS, Caldera and Parent intend, upon the terms and subject to the conditions set forth in this Agreement and in accordance with Delaware Law, to effect a merger of Caldera Merger Sub with and into Caldera (the “</w:t>
      </w:r>
      <w:r>
        <w:rPr>
          <w:rFonts w:ascii="Times New Roman" w:hAnsi="Times New Roman"/>
          <w:b/>
          <w:sz w:val="20"/>
        </w:rPr>
        <w:t>Caldera Merger</w:t>
      </w:r>
      <w:r>
        <w:rPr>
          <w:rFonts w:ascii="Times New Roman" w:hAnsi="Times New Roman"/>
          <w:sz w:val="20"/>
        </w:rPr>
        <w:t xml:space="preserve">”). Upon consummation of the Caldera Merger, Caldera Merger Sub will cease to exist, and Caldera will become a direct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D. WHEREAS, Synlogic and Parent intend, upon the terms and subject to the conditions set forth in this Agreement and in accordance with Delaware Law, to effect a merger of Synlogic Merger Sub with and into Synlogic (the “</w:t>
      </w:r>
      <w:r>
        <w:rPr>
          <w:rFonts w:ascii="Times New Roman" w:hAnsi="Times New Roman"/>
          <w:b/>
          <w:sz w:val="20"/>
        </w:rPr>
        <w:t>Synlogic Merger</w:t>
      </w:r>
      <w:r>
        <w:rPr>
          <w:rFonts w:ascii="Times New Roman" w:hAnsi="Times New Roman"/>
          <w:sz w:val="20"/>
        </w:rPr>
        <w:t>” and together with the Caldera Merger, the “</w:t>
      </w:r>
      <w:r>
        <w:rPr>
          <w:rFonts w:ascii="Times New Roman" w:hAnsi="Times New Roman"/>
          <w:b/>
          <w:sz w:val="20"/>
        </w:rPr>
        <w:t>Mergers</w:t>
      </w:r>
      <w:r>
        <w:rPr>
          <w:rFonts w:ascii="Times New Roman" w:hAnsi="Times New Roman"/>
          <w:sz w:val="20"/>
        </w:rPr>
        <w:t xml:space="preserve">”) as soon as reasonably practicable following the Caldera Effective Time. Upon consummation of the Synlogic Merger, Synlogic Merger Sub will cease to exist, and Synlogic will become a direct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E. WHEREAS, the board of directors of Caldera (the “</w:t>
      </w:r>
      <w:r>
        <w:rPr>
          <w:rFonts w:ascii="Times New Roman" w:hAnsi="Times New Roman"/>
          <w:b/>
          <w:sz w:val="20"/>
        </w:rPr>
        <w:t>Caldera Board</w:t>
      </w:r>
      <w:r>
        <w:rPr>
          <w:rFonts w:ascii="Times New Roman" w:hAnsi="Times New Roman"/>
          <w:sz w:val="20"/>
        </w:rPr>
        <w:t xml:space="preserve">”) has (i) determined that the Contemplated Transactions are fair to, advisable and in the best interests of Caldera and its stockholders, (ii) approved and declared advisable this Agreement and the Contemplated Transactions and the other actions contemplated by this Agreement, and (iii) determined to recommend, upon the terms and subject to the conditions set forth in this Agreement, that the stockholders of Caldera vote to approve Caldera Merger; </w:t>
      </w:r>
    </w:p>
    <w:p>
      <w:pPr>
        <w:pStyle w:val="TextBody"/>
        <w:bidi w:val="0"/>
        <w:spacing w:before="240" w:after="0"/>
        <w:jc w:val="left"/>
        <w:rPr>
          <w:rFonts w:ascii="Times New Roman" w:hAnsi="Times New Roman"/>
          <w:sz w:val="20"/>
        </w:rPr>
      </w:pPr>
      <w:r>
        <w:rPr>
          <w:rFonts w:ascii="Times New Roman" w:hAnsi="Times New Roman"/>
          <w:sz w:val="20"/>
        </w:rPr>
        <w:t>F. WHEREAS, the board of directors of Synlogic (the “</w:t>
      </w:r>
      <w:r>
        <w:rPr>
          <w:rFonts w:ascii="Times New Roman" w:hAnsi="Times New Roman"/>
          <w:b/>
          <w:sz w:val="20"/>
        </w:rPr>
        <w:t>Synlogic Board</w:t>
      </w:r>
      <w:r>
        <w:rPr>
          <w:rFonts w:ascii="Times New Roman" w:hAnsi="Times New Roman"/>
          <w:sz w:val="20"/>
        </w:rPr>
        <w:t>”) has (i) determined that the Contemplated Transactions are fair to, advisable and in the best interests of Synlogic and its stockholders, (ii) approved and declared advisable this Agreement and the Contemplated Transactions and the other actions contemplated by this Agreement, and (iii) determined to recommend, upon the terms and subject to the conditions set forth in this Agreement, that the stockholders of Synlogic vote to approve the Synlogic Merger (the “</w:t>
      </w:r>
      <w:r>
        <w:rPr>
          <w:rFonts w:ascii="Times New Roman" w:hAnsi="Times New Roman"/>
          <w:b/>
          <w:sz w:val="20"/>
        </w:rPr>
        <w:t>Synlogic Stockholder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G. WHEREAS, the board of directors of Parent (the “</w:t>
      </w:r>
      <w:r>
        <w:rPr>
          <w:rFonts w:ascii="Times New Roman" w:hAnsi="Times New Roman"/>
          <w:b/>
          <w:sz w:val="20"/>
        </w:rPr>
        <w:t>Parent Board</w:t>
      </w:r>
      <w:r>
        <w:rPr>
          <w:rFonts w:ascii="Times New Roman" w:hAnsi="Times New Roman"/>
          <w:sz w:val="20"/>
        </w:rPr>
        <w:t>”) has (i) determined that the Contemplated Transactions are fair to, advisable and in the best interests of Parent and its stockholders, (ii) approved and declared advisable this Agreement and the Contemplated Transactions, including the issuance of shares of Parent Common Stock to the stockholders of Caldera and Synlogic pursuant to the terms of this Agreement (the “</w:t>
      </w:r>
      <w:r>
        <w:rPr>
          <w:rFonts w:ascii="Times New Roman" w:hAnsi="Times New Roman"/>
          <w:b/>
          <w:sz w:val="20"/>
        </w:rPr>
        <w:t>Stock Issuance</w:t>
      </w:r>
      <w:r>
        <w:rPr>
          <w:rFonts w:ascii="Times New Roman" w:hAnsi="Times New Roman"/>
          <w:sz w:val="20"/>
        </w:rPr>
        <w:t xml:space="preserve">”), and (iii) determined to recommend, upon the terms and subject to the conditions set forth in this Agreement, that the stockholders of Parent vote to (a) approve the Stock Issuance and (b) adopt this Agreement and thereby approve the Contemplated Transactions;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WHEREAS, the board of directors of Caldera Merger Sub (the “</w:t>
      </w:r>
      <w:r>
        <w:rPr>
          <w:rFonts w:ascii="Times New Roman" w:hAnsi="Times New Roman"/>
          <w:b/>
          <w:sz w:val="20"/>
        </w:rPr>
        <w:t>Caldera Merger Sub Board</w:t>
      </w:r>
      <w:r>
        <w:rPr>
          <w:rFonts w:ascii="Times New Roman" w:hAnsi="Times New Roman"/>
          <w:sz w:val="20"/>
        </w:rPr>
        <w:t>”) and the board of directors of Synlogic Merger Sub (the “</w:t>
      </w:r>
      <w:r>
        <w:rPr>
          <w:rFonts w:ascii="Times New Roman" w:hAnsi="Times New Roman"/>
          <w:b/>
          <w:sz w:val="20"/>
        </w:rPr>
        <w:t>Synlogic Merger Sub Board</w:t>
      </w:r>
      <w:r>
        <w:rPr>
          <w:rFonts w:ascii="Times New Roman" w:hAnsi="Times New Roman"/>
          <w:sz w:val="20"/>
        </w:rPr>
        <w:t xml:space="preserve">”) has each (i) determined that the Contemplated Transactions are fair to, advisable and in the best interests of its sole stockholder and Caldera Merger Sub and Synlogic Merger Sub, respectively, (ii) approved and declared advisable this Agreement and the Contemplated Transactions, and (iii) determined to recommend, upon the terms and subject to the conditions set forth in this Agreement, that the sole stockholder of Caldera Merger Sub and Synlogic Merger Sub, respectively, adopt this Agreement and thereby approve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I. WHEREAS, the sole stockholder of each of Parent, Caldera Merger Sub and Synlogic Merger Sub has determined that the Contemplated Transactions, and in the case of Parent, the Stock Issuance, are in the best interest of Parent, Caldera Merger Sub, and Synlogic Merger Sub respectively, and each of their respective stockholders, has approved this Agreement and the Contemplated Transactions, and in the case of Parent, the Stock Issuance; </w:t>
      </w:r>
    </w:p>
    <w:p>
      <w:pPr>
        <w:pStyle w:val="TextBody"/>
        <w:bidi w:val="0"/>
        <w:spacing w:before="240" w:after="0"/>
        <w:jc w:val="left"/>
        <w:rPr>
          <w:rFonts w:ascii="Times New Roman" w:hAnsi="Times New Roman"/>
          <w:sz w:val="20"/>
        </w:rPr>
      </w:pPr>
      <w:r>
        <w:rPr>
          <w:rFonts w:ascii="Times New Roman" w:hAnsi="Times New Roman"/>
          <w:sz w:val="20"/>
        </w:rPr>
        <w:t xml:space="preserve">J. WHEREAS, concurrently with the execution and delivery of this Agreement and as a condition and inducement to Caldera’s willingness to enter into this Agreement, the stockholders, officers and directors of Synlogic set forth on </w:t>
      </w:r>
      <w:r>
        <w:rPr>
          <w:rFonts w:ascii="Times New Roman" w:hAnsi="Times New Roman"/>
          <w:sz w:val="20"/>
          <w:u w:val="single"/>
        </w:rPr>
        <w:t>Section A</w:t>
      </w:r>
      <w:r>
        <w:rPr>
          <w:rFonts w:ascii="Times New Roman" w:hAnsi="Times New Roman"/>
          <w:sz w:val="20"/>
        </w:rPr>
        <w:t xml:space="preserve"> of the Synlogic Disclosure Schedule (solely in their capacity as stockholders of Synlogic) are executing support agreements in favor of Caldera in substantially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sz w:val="20"/>
        </w:rPr>
        <w:t>Synlogic Stockholder Support Agreements</w:t>
      </w:r>
      <w:r>
        <w:rPr>
          <w:rFonts w:ascii="Times New Roman" w:hAnsi="Times New Roman"/>
          <w:sz w:val="20"/>
        </w:rPr>
        <w:t xml:space="preserve">”), pursuant to which such Persons have, subject to the terms and conditions set forth therein, agreed to vote all of their shares of Synlogic Common Stock in favor of (a) this Agreement and (b) the Annual Meeting Synlogic Stockholder Vote; </w:t>
      </w:r>
    </w:p>
    <w:p>
      <w:pPr>
        <w:pStyle w:val="TextBody"/>
        <w:bidi w:val="0"/>
        <w:spacing w:before="240" w:after="0"/>
        <w:jc w:val="left"/>
        <w:rPr>
          <w:rFonts w:ascii="Times New Roman" w:hAnsi="Times New Roman"/>
          <w:sz w:val="20"/>
        </w:rPr>
      </w:pPr>
      <w:r>
        <w:rPr>
          <w:rFonts w:ascii="Times New Roman" w:hAnsi="Times New Roman"/>
          <w:sz w:val="20"/>
        </w:rPr>
        <w:t xml:space="preserve">K. WHEREAS, concurrently with the execution and delivery of this Agreement and as a condition and inducement to Synlogic’s willingness to enter into this Agreement, the officers, directors and stockholders (together with their Affiliates) of Caldera set forth on </w:t>
      </w:r>
      <w:r>
        <w:rPr>
          <w:rFonts w:ascii="Times New Roman" w:hAnsi="Times New Roman"/>
          <w:sz w:val="20"/>
          <w:u w:val="single"/>
        </w:rPr>
        <w:t>Section A</w:t>
      </w:r>
      <w:r>
        <w:rPr>
          <w:rFonts w:ascii="Times New Roman" w:hAnsi="Times New Roman"/>
          <w:sz w:val="20"/>
        </w:rPr>
        <w:t xml:space="preserve"> of the Caldera Disclosure Schedule (solely in their capacity as stockholders of Caldera) are executing support agreements in favor of Synlogic in substantially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Caldera Stockholder Support Agreements</w:t>
      </w:r>
      <w:r>
        <w:rPr>
          <w:rFonts w:ascii="Times New Roman" w:hAnsi="Times New Roman"/>
          <w:sz w:val="20"/>
        </w:rPr>
        <w:t xml:space="preserve">”), pursuant to which such Persons have, subject to the terms and conditions set forth therein, agreed to vote all of their shares of Caldera Capital Stock in favor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WHEREAS, concurrently with the execution and delivery of this Agreement and as a condition and inducement to each of Caldera’s and Synlogic’s willingness to enter into this Agreement, the officers and directors of Caldera and Synlogic set forth on </w:t>
      </w:r>
      <w:r>
        <w:rPr>
          <w:rFonts w:ascii="Times New Roman" w:hAnsi="Times New Roman"/>
          <w:sz w:val="20"/>
          <w:u w:val="single"/>
        </w:rPr>
        <w:t>Section C</w:t>
      </w:r>
      <w:r>
        <w:rPr>
          <w:rFonts w:ascii="Times New Roman" w:hAnsi="Times New Roman"/>
          <w:sz w:val="20"/>
        </w:rPr>
        <w:t xml:space="preserve"> of the Caldera Disclosure Schedule are executing lock-up agreements in substantially the form attached hereto as </w:t>
      </w:r>
      <w:r>
        <w:rPr>
          <w:rFonts w:ascii="Times New Roman" w:hAnsi="Times New Roman"/>
          <w:sz w:val="20"/>
          <w:u w:val="single"/>
        </w:rPr>
        <w:t>Exhibit C</w:t>
      </w:r>
      <w:r>
        <w:rPr>
          <w:rFonts w:ascii="Times New Roman" w:hAnsi="Times New Roman"/>
          <w:sz w:val="20"/>
        </w:rPr>
        <w:t xml:space="preserve"> (collectively, the “</w:t>
      </w:r>
      <w:r>
        <w:rPr>
          <w:rFonts w:ascii="Times New Roman" w:hAnsi="Times New Roman"/>
          <w:b/>
          <w:sz w:val="20"/>
        </w:rPr>
        <w:t>Lock-Up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WHEREAS, it is expected that promptly after the Registration Statement is declared effective under the Securities Act, the stockholders of Caldera sufficient to adopt and approve this Agreement and the Mergers as required under Delaware Law and Caldera’s Organizational Documents will execute and deliver an action by written consent in order to obtain the Required Caldera Stockholder Approval in substantially the form attached hereto as </w:t>
      </w:r>
      <w:r>
        <w:rPr>
          <w:rFonts w:ascii="Times New Roman" w:hAnsi="Times New Roman"/>
          <w:sz w:val="20"/>
          <w:u w:val="single"/>
        </w:rPr>
        <w:t>Exhibit D</w:t>
      </w:r>
      <w:r>
        <w:rPr>
          <w:rFonts w:ascii="Times New Roman" w:hAnsi="Times New Roman"/>
          <w:sz w:val="20"/>
        </w:rPr>
        <w:t xml:space="preserve"> (each, a “</w:t>
      </w:r>
      <w:r>
        <w:rPr>
          <w:rFonts w:ascii="Times New Roman" w:hAnsi="Times New Roman"/>
          <w:b/>
          <w:sz w:val="20"/>
        </w:rPr>
        <w:t>Caldera Stockholder Written Consent</w:t>
      </w:r>
      <w:r>
        <w:rPr>
          <w:rFonts w:ascii="Times New Roman" w:hAnsi="Times New Roman"/>
          <w:sz w:val="20"/>
        </w:rPr>
        <w:t>” and collectively, the “</w:t>
      </w:r>
      <w:r>
        <w:rPr>
          <w:rFonts w:ascii="Times New Roman" w:hAnsi="Times New Roman"/>
          <w:b/>
          <w:sz w:val="20"/>
        </w:rPr>
        <w:t>Caldera Stockholder Written Consents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WHEREAS, concurrently with the execution and delivery of this Agreement, certain investors have executed a Securities Purchase Agreement by and among Caldera, Parent and the Persons named therein (representing an aggregate commitment no less than the Concurrent Financing Amount), pursuant to which such Persons will have agreed to purchase the number of shares of Caldera Common Stock set forth therein immediately prior to the Caldera Effective Time in connection with the Concurrent Financing in substantially the form attached hereto as </w:t>
      </w:r>
      <w:r>
        <w:rPr>
          <w:rFonts w:ascii="Times New Roman" w:hAnsi="Times New Roman"/>
          <w:sz w:val="20"/>
          <w:u w:val="single"/>
        </w:rPr>
        <w:t>Exhibit E</w:t>
      </w:r>
      <w:r>
        <w:rPr>
          <w:rFonts w:ascii="Times New Roman" w:hAnsi="Times New Roman"/>
          <w:sz w:val="20"/>
        </w:rPr>
        <w:t xml:space="preserve"> (the “</w:t>
      </w:r>
      <w:r>
        <w:rPr>
          <w:rFonts w:ascii="Times New Roman" w:hAnsi="Times New Roman"/>
          <w:b/>
          <w:sz w:val="20"/>
        </w:rPr>
        <w:t>Securities Purchase Agreement</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O. WHEREAS, each of the parties hereto intends that, for United States federal income tax purposes, the Mergers will qualify as (i) a “reorganization” within the meaning of Section 368(a) of the Internal Revenue Code of 1986, as amended (the “</w:t>
      </w:r>
      <w:r>
        <w:rPr>
          <w:rFonts w:ascii="Times New Roman" w:hAnsi="Times New Roman"/>
          <w:b/>
          <w:sz w:val="20"/>
        </w:rPr>
        <w:t>Code</w:t>
      </w:r>
      <w:r>
        <w:rPr>
          <w:rFonts w:ascii="Times New Roman" w:hAnsi="Times New Roman"/>
          <w:sz w:val="20"/>
        </w:rPr>
        <w:t>”) and the Treasury Regulations, with respect to which each of Caldera, Caldera Merger Sub, Synlogic, Synlogic Merger Sub and Parent are a “party to a reorganization” under Section 368(b) of the Code, and this Agreement is intended to constitute a “plan of reorganization” for purposes of Sections 354, 361 and 368 of the Code and within the meaning of Section 368 of the Code and Treasury Regulations Section 1.368-2(g) or (ii) a tax-deferred exchange governed by Section 351(a) of the Code (the “</w:t>
      </w:r>
      <w:r>
        <w:rPr>
          <w:rFonts w:ascii="Times New Roman" w:hAnsi="Times New Roman"/>
          <w:b/>
          <w:sz w:val="20"/>
        </w:rPr>
        <w:t>Intended Tax Treatment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intending to be legally bound, agree as follows: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INTERPRETATIVE PROVISIONS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For purposes of this Agreement (including this </w:t>
      </w:r>
      <w:r>
        <w:rPr>
          <w:rFonts w:ascii="Times New Roman" w:hAnsi="Times New Roman"/>
          <w:sz w:val="20"/>
          <w:u w:val="single"/>
        </w:rPr>
        <w:t>Section 1.1</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b/>
          <w:sz w:val="20"/>
        </w:rPr>
        <w:t>2026 Equity Incentive</w:t>
      </w:r>
      <w:r>
        <w:rPr>
          <w:rFonts w:ascii="Times New Roman" w:hAnsi="Times New Roman"/>
          <w:sz w:val="20"/>
        </w:rPr>
        <w:t xml:space="preserve"> </w:t>
      </w:r>
      <w:r>
        <w:rPr>
          <w:rFonts w:ascii="Times New Roman" w:hAnsi="Times New Roman"/>
          <w:b/>
          <w:sz w:val="20"/>
        </w:rPr>
        <w:t>Plan</w:t>
      </w:r>
      <w:r>
        <w:rPr>
          <w:rFonts w:ascii="Times New Roman" w:hAnsi="Times New Roman"/>
          <w:sz w:val="20"/>
        </w:rPr>
        <w:t xml:space="preserve">” shall mean an equity incentive plan of Parent in form and substance as agreed to by Caldera and Synlogic (such agreement not to be unreasonably withheld, conditioned or delayed by either Party), reserving for issuance a number of shares of Parent Common Stock to be mutually agreed upon by Caldera and Synlogic (such agreement not to be unreasonably withheld, conditioned or delayed by either Party). </w:t>
      </w:r>
    </w:p>
    <w:p>
      <w:pPr>
        <w:pStyle w:val="TextBody"/>
        <w:bidi w:val="0"/>
        <w:spacing w:before="240" w:after="0"/>
        <w:jc w:val="left"/>
        <w:rPr/>
      </w:pPr>
      <w:r>
        <w:rPr/>
        <w:t>“</w:t>
      </w:r>
      <w:r>
        <w:rPr>
          <w:rFonts w:ascii="Times New Roman" w:hAnsi="Times New Roman"/>
          <w:b/>
          <w:sz w:val="20"/>
        </w:rPr>
        <w:t>2026 ESPP</w:t>
      </w:r>
      <w:r>
        <w:rPr>
          <w:rFonts w:ascii="Times New Roman" w:hAnsi="Times New Roman"/>
          <w:sz w:val="20"/>
        </w:rPr>
        <w:t xml:space="preserve">” shall mean an “employee stock purchase plan” of Parent in form and substance as agreed to by Caldera and Synlogic (such agreement not to be unreasonably withheld, conditioned or delayed by either Party), reserving for issuance a number of shares of Parent Common Stock to be mutually agreed upon by Caldera and Synlogic (such agreement not to be unreasonably withheld, conditioned or delayed by either Party). </w:t>
      </w:r>
    </w:p>
    <w:p>
      <w:pPr>
        <w:pStyle w:val="TextBody"/>
        <w:bidi w:val="0"/>
        <w:spacing w:before="240" w:after="0"/>
        <w:jc w:val="left"/>
        <w:rPr/>
      </w:pPr>
      <w:r>
        <w:rPr/>
        <w:t>“</w:t>
      </w:r>
      <w:r>
        <w:rPr>
          <w:rFonts w:ascii="Times New Roman" w:hAnsi="Times New Roman"/>
          <w:b/>
          <w:sz w:val="20"/>
        </w:rPr>
        <w:t>2026 Plans</w:t>
      </w:r>
      <w:r>
        <w:rPr>
          <w:rFonts w:ascii="Times New Roman" w:hAnsi="Times New Roman"/>
          <w:sz w:val="20"/>
        </w:rPr>
        <w:t xml:space="preserve">” shall mean both the 2026 ESPP and the 2026 Equity Incentive Plan. </w:t>
      </w:r>
    </w:p>
    <w:p>
      <w:pPr>
        <w:pStyle w:val="TextBody"/>
        <w:bidi w:val="0"/>
        <w:spacing w:before="240" w:after="0"/>
        <w:jc w:val="left"/>
        <w:rPr/>
      </w:pPr>
      <w:r>
        <w:rPr/>
        <w:t>“</w:t>
      </w:r>
      <w:r>
        <w:rPr>
          <w:rFonts w:ascii="Times New Roman" w:hAnsi="Times New Roman"/>
          <w:b/>
          <w:sz w:val="20"/>
        </w:rPr>
        <w:t>Acceptable Confidentiality Agreement</w:t>
      </w:r>
      <w:r>
        <w:rPr>
          <w:rFonts w:ascii="Times New Roman" w:hAnsi="Times New Roman"/>
          <w:sz w:val="20"/>
        </w:rPr>
        <w:t xml:space="preserve">”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w:t>
      </w:r>
    </w:p>
    <w:p>
      <w:pPr>
        <w:pStyle w:val="TextBody"/>
        <w:bidi w:val="0"/>
        <w:spacing w:before="240" w:after="0"/>
        <w:jc w:val="left"/>
        <w:rPr/>
      </w:pPr>
      <w:r>
        <w:rPr/>
        <w:t>“</w:t>
      </w:r>
      <w:r>
        <w:rPr>
          <w:rFonts w:ascii="Times New Roman" w:hAnsi="Times New Roman"/>
          <w:b/>
          <w:sz w:val="20"/>
        </w:rPr>
        <w:t>Acquisition Inquiry</w:t>
      </w:r>
      <w:r>
        <w:rPr>
          <w:rFonts w:ascii="Times New Roman" w:hAnsi="Times New Roman"/>
          <w:sz w:val="20"/>
        </w:rPr>
        <w:t xml:space="preserve">” means, with respect to a Party, an inquiry, indication of interest or request for information (other than an inquiry, indication of interest or request for information made or submitted by Caldera, on the one hand, or Synlogic, on the other hand, to the other Party) that would reasonably be expected to lead to an Acquisition Proposal, other than, as applicable, with respect to the Concurrent Financing. </w:t>
      </w:r>
    </w:p>
    <w:p>
      <w:pPr>
        <w:pStyle w:val="TextBody"/>
        <w:bidi w:val="0"/>
        <w:spacing w:before="240" w:after="0"/>
        <w:jc w:val="left"/>
        <w:rPr/>
      </w:pPr>
      <w:r>
        <w:rPr/>
        <w:t>“</w:t>
      </w:r>
      <w:r>
        <w:rPr>
          <w:rFonts w:ascii="Times New Roman" w:hAnsi="Times New Roman"/>
          <w:b/>
          <w:sz w:val="20"/>
        </w:rPr>
        <w:t>Acquisition Proposal</w:t>
      </w:r>
      <w:r>
        <w:rPr>
          <w:rFonts w:ascii="Times New Roman" w:hAnsi="Times New Roman"/>
          <w:sz w:val="20"/>
        </w:rPr>
        <w:t xml:space="preserve">” means, with respect to any party hereto, any proposal or offer from any Person (other than the other party or any of its Representatives) providing for an Acquisition Transaction (in each case other than the Concurrent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Acquisition Transaction</w:t>
      </w:r>
      <w:r>
        <w:rPr>
          <w:rFonts w:ascii="Times New Roman" w:hAnsi="Times New Roman"/>
          <w:sz w:val="20"/>
        </w:rPr>
        <w:t xml:space="preserve">” means any transaction or series of related transactions involving (other than, as applicable, the Caldera Preferred Stock Conversion and the Concurrent Financing):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lease, exchange, transfer, license, acquisition or disposition of any business or businesses or assets that constitute or account for 20% or more of the consolidated book value or the fair market value of the assets of a party and its Subsidiaries, taken as a whole. </w:t>
            </w:r>
          </w:p>
        </w:tc>
      </w:tr>
    </w:tbl>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means, with respect to any Person, any other Person directly or indirectly controlling, controlled by, or under common control with such other Person. For purposes of this definition, “</w:t>
      </w:r>
      <w:r>
        <w:rPr>
          <w:rFonts w:ascii="Times New Roman" w:hAnsi="Times New Roman"/>
          <w:b/>
          <w:sz w:val="20"/>
        </w:rPr>
        <w:t>control</w:t>
      </w:r>
      <w:r>
        <w:rPr>
          <w:rFonts w:ascii="Times New Roman" w:hAnsi="Times New Roman"/>
          <w:sz w:val="20"/>
        </w:rPr>
        <w:t>” when used with respect to any Person means the power to direct the management and policies of such Person, directly or indirectly, whether through the ownership of voting securities or partnership or other ownership interests, by contract or otherwise, and the terms “</w:t>
      </w:r>
      <w:r>
        <w:rPr>
          <w:rFonts w:ascii="Times New Roman" w:hAnsi="Times New Roman"/>
          <w:b/>
          <w:sz w:val="20"/>
        </w:rPr>
        <w:t>controlling</w:t>
      </w:r>
      <w:r>
        <w:rPr>
          <w:rFonts w:ascii="Times New Roman" w:hAnsi="Times New Roman"/>
          <w:sz w:val="20"/>
        </w:rPr>
        <w:t>” and “</w:t>
      </w:r>
      <w:r>
        <w:rPr>
          <w:rFonts w:ascii="Times New Roman" w:hAnsi="Times New Roman"/>
          <w:b/>
          <w:sz w:val="20"/>
        </w:rPr>
        <w:t>controlled</w:t>
      </w:r>
      <w:r>
        <w:rPr>
          <w:rFonts w:ascii="Times New Roman" w:hAnsi="Times New Roman"/>
          <w:sz w:val="20"/>
        </w:rPr>
        <w:t xml:space="preserve">” have correlative meanings.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other than a day on which banks in the State of New York are authorized or obligated to be closed. </w:t>
      </w:r>
    </w:p>
    <w:p>
      <w:pPr>
        <w:pStyle w:val="TextBody"/>
        <w:bidi w:val="0"/>
        <w:spacing w:before="240" w:after="0"/>
        <w:jc w:val="left"/>
        <w:rPr/>
      </w:pPr>
      <w:r>
        <w:rPr/>
        <w:t>“</w:t>
      </w:r>
      <w:r>
        <w:rPr>
          <w:rFonts w:ascii="Times New Roman" w:hAnsi="Times New Roman"/>
          <w:b/>
          <w:sz w:val="20"/>
        </w:rPr>
        <w:t>Caldera Associate</w:t>
      </w:r>
      <w:r>
        <w:rPr>
          <w:rFonts w:ascii="Times New Roman" w:hAnsi="Times New Roman"/>
          <w:sz w:val="20"/>
        </w:rPr>
        <w:t xml:space="preserve">” means any current or former employee, officer, director, individual independent contractor or other individual non-employee service provider of Caldera or any of its Subsidiaries. </w:t>
      </w:r>
    </w:p>
    <w:p>
      <w:pPr>
        <w:pStyle w:val="TextBody"/>
        <w:bidi w:val="0"/>
        <w:spacing w:before="240" w:after="0"/>
        <w:jc w:val="left"/>
        <w:rPr/>
      </w:pPr>
      <w:r>
        <w:rPr/>
        <w:t>“</w:t>
      </w:r>
      <w:r>
        <w:rPr>
          <w:rFonts w:ascii="Times New Roman" w:hAnsi="Times New Roman"/>
          <w:b/>
          <w:sz w:val="20"/>
        </w:rPr>
        <w:t>Caldera Balance Sheet</w:t>
      </w:r>
      <w:r>
        <w:rPr>
          <w:rFonts w:ascii="Times New Roman" w:hAnsi="Times New Roman"/>
          <w:sz w:val="20"/>
        </w:rPr>
        <w:t>” means the unaudited balance sheet of Caldera for the year ended December 31, 2025</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Caldera Capital Stock</w:t>
      </w:r>
      <w:r>
        <w:rPr>
          <w:rFonts w:ascii="Times New Roman" w:hAnsi="Times New Roman"/>
          <w:sz w:val="20"/>
        </w:rPr>
        <w:t xml:space="preserve">” means Caldera Common Stock and Caldera Preferred Stock. </w:t>
      </w:r>
    </w:p>
    <w:p>
      <w:pPr>
        <w:pStyle w:val="TextBody"/>
        <w:bidi w:val="0"/>
        <w:spacing w:before="240" w:after="0"/>
        <w:jc w:val="left"/>
        <w:rPr/>
      </w:pPr>
      <w:r>
        <w:rPr/>
        <w:t>“</w:t>
      </w:r>
      <w:r>
        <w:rPr>
          <w:rFonts w:ascii="Times New Roman" w:hAnsi="Times New Roman"/>
          <w:b/>
          <w:sz w:val="20"/>
        </w:rPr>
        <w:t>Caldera Capitalization Representations</w:t>
      </w:r>
      <w:r>
        <w:rPr>
          <w:rFonts w:ascii="Times New Roman" w:hAnsi="Times New Roman"/>
          <w:sz w:val="20"/>
        </w:rPr>
        <w:t xml:space="preserve">” means the representations and warranties of Caldera set forth in </w:t>
      </w:r>
      <w:r>
        <w:rPr>
          <w:rFonts w:ascii="Times New Roman" w:hAnsi="Times New Roman"/>
          <w:sz w:val="20"/>
          <w:u w:val="single"/>
        </w:rPr>
        <w:t>Sections 3.6(a)</w:t>
      </w:r>
      <w:r>
        <w:rPr>
          <w:rFonts w:ascii="Times New Roman" w:hAnsi="Times New Roman"/>
          <w:sz w:val="20"/>
        </w:rPr>
        <w:t xml:space="preserve"> and </w:t>
      </w:r>
      <w:r>
        <w:rPr>
          <w:rFonts w:ascii="Times New Roman" w:hAnsi="Times New Roman"/>
          <w:sz w:val="20"/>
          <w:u w:val="single"/>
        </w:rPr>
        <w:t>3.6(d)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Caldera Common Stock</w:t>
      </w:r>
      <w:r>
        <w:rPr>
          <w:rFonts w:ascii="Times New Roman" w:hAnsi="Times New Roman"/>
          <w:sz w:val="20"/>
        </w:rPr>
        <w:t xml:space="preserve">” means the common stock, $0.0001 par value per share, of Caldera. </w:t>
      </w:r>
    </w:p>
    <w:p>
      <w:pPr>
        <w:pStyle w:val="TextBody"/>
        <w:bidi w:val="0"/>
        <w:spacing w:before="240" w:after="0"/>
        <w:jc w:val="left"/>
        <w:rPr/>
      </w:pPr>
      <w:r>
        <w:rPr/>
        <w:t>“</w:t>
      </w:r>
      <w:r>
        <w:rPr>
          <w:rFonts w:ascii="Times New Roman" w:hAnsi="Times New Roman"/>
          <w:b/>
          <w:sz w:val="20"/>
        </w:rPr>
        <w:t>Caldera Contract</w:t>
      </w:r>
      <w:r>
        <w:rPr>
          <w:rFonts w:ascii="Times New Roman" w:hAnsi="Times New Roman"/>
          <w:sz w:val="20"/>
        </w:rPr>
        <w:t xml:space="preserve">” means any Contract: (i) to which Caldera or any of its Subsidiaries is a party, (ii) by which Caldera or any of its Subsidiaries, any Caldera IP Rights, any other asset of Caldera or any Caldera Exclusively Licensed IP Rights, is or may become bound or under which Caldera or any of its Subsidiaries has, or may become subject to, any obligation or (iii) under which Caldera or any of its Subsidiaries has or may acquire any right or interest. </w:t>
      </w:r>
    </w:p>
    <w:p>
      <w:pPr>
        <w:pStyle w:val="TextBody"/>
        <w:bidi w:val="0"/>
        <w:spacing w:before="240" w:after="0"/>
        <w:jc w:val="left"/>
        <w:rPr/>
      </w:pPr>
      <w:r>
        <w:rPr/>
        <w:t>“</w:t>
      </w:r>
      <w:r>
        <w:rPr>
          <w:rFonts w:ascii="Times New Roman" w:hAnsi="Times New Roman"/>
          <w:b/>
          <w:sz w:val="20"/>
        </w:rPr>
        <w:t>Caldera Employee Plan</w:t>
      </w:r>
      <w:r>
        <w:rPr>
          <w:rFonts w:ascii="Times New Roman" w:hAnsi="Times New Roman"/>
          <w:sz w:val="20"/>
        </w:rPr>
        <w:t xml:space="preserve">” means any Employee Plan that Caldera or any of its Subsidiaries (i) sponsors, maintains, administers, or contributes to, or (ii) provides benefits under or through, or (iii) has any obligation to contribute to or provide benefits under or through, or (iv) may reasonably be expected to have any Liability with respect to (including on account of an ERISA Affiliate), or (v) utilizes to provide benefits to or otherwise cover any Caldera Associate (or their spouses, dependents, or beneficiaries).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Caldera Equity Plan</w:t>
      </w:r>
      <w:r>
        <w:rPr>
          <w:rFonts w:ascii="Times New Roman" w:hAnsi="Times New Roman"/>
          <w:sz w:val="20"/>
        </w:rPr>
        <w:t xml:space="preserve">” means the Caldera 2025 Equity Incentive Plan, as amended from time to time. </w:t>
      </w:r>
    </w:p>
    <w:p>
      <w:pPr>
        <w:pStyle w:val="TextBody"/>
        <w:bidi w:val="0"/>
        <w:spacing w:before="240" w:after="0"/>
        <w:jc w:val="left"/>
        <w:rPr/>
      </w:pPr>
      <w:r>
        <w:rPr/>
        <w:t>“</w:t>
      </w:r>
      <w:r>
        <w:rPr>
          <w:rFonts w:ascii="Times New Roman" w:hAnsi="Times New Roman"/>
          <w:b/>
          <w:sz w:val="20"/>
        </w:rPr>
        <w:t>Caldera Exchange Ratio</w:t>
      </w:r>
      <w:r>
        <w:rPr>
          <w:rFonts w:ascii="Times New Roman" w:hAnsi="Times New Roman"/>
          <w:sz w:val="20"/>
        </w:rPr>
        <w:t xml:space="preserve">” means the quotient (rounded to four decimal places) obtained by </w:t>
      </w:r>
      <w:r>
        <w:rPr>
          <w:rFonts w:ascii="Times New Roman" w:hAnsi="Times New Roman"/>
          <w:i/>
          <w:sz w:val="20"/>
        </w:rPr>
        <w:t>dividing</w:t>
      </w:r>
      <w:r>
        <w:rPr>
          <w:rFonts w:ascii="Times New Roman" w:hAnsi="Times New Roman"/>
          <w:sz w:val="20"/>
        </w:rPr>
        <w:t xml:space="preserve"> (i) the number of Caldera Merger Shares </w:t>
      </w:r>
      <w:r>
        <w:rPr>
          <w:rFonts w:ascii="Times New Roman" w:hAnsi="Times New Roman"/>
          <w:i/>
          <w:sz w:val="20"/>
        </w:rPr>
        <w:t>by</w:t>
      </w:r>
      <w:r>
        <w:rPr>
          <w:rFonts w:ascii="Times New Roman" w:hAnsi="Times New Roman"/>
          <w:sz w:val="20"/>
        </w:rPr>
        <w:t xml:space="preserve"> (ii) the number of Caldera Outstanding Shares. </w:t>
      </w:r>
    </w:p>
    <w:p>
      <w:pPr>
        <w:pStyle w:val="TextBody"/>
        <w:bidi w:val="0"/>
        <w:spacing w:before="240" w:after="0"/>
        <w:jc w:val="left"/>
        <w:rPr/>
      </w:pPr>
      <w:r>
        <w:rPr/>
        <w:t>“</w:t>
      </w:r>
      <w:r>
        <w:rPr>
          <w:rFonts w:ascii="Times New Roman" w:hAnsi="Times New Roman"/>
          <w:b/>
          <w:sz w:val="20"/>
        </w:rPr>
        <w:t>Caldera Exclusively Licensed IP Rights</w:t>
      </w:r>
      <w:r>
        <w:rPr>
          <w:rFonts w:ascii="Times New Roman" w:hAnsi="Times New Roman"/>
          <w:sz w:val="20"/>
        </w:rPr>
        <w:t xml:space="preserve">” means Caldera Licensed IP rights exclusively licensed to Caldera or any of its Subsidiaries. </w:t>
      </w:r>
    </w:p>
    <w:p>
      <w:pPr>
        <w:pStyle w:val="TextBody"/>
        <w:bidi w:val="0"/>
        <w:spacing w:before="240" w:after="0"/>
        <w:jc w:val="left"/>
        <w:rPr/>
      </w:pPr>
      <w:r>
        <w:rPr/>
        <w:t>“</w:t>
      </w:r>
      <w:r>
        <w:rPr>
          <w:rFonts w:ascii="Times New Roman" w:hAnsi="Times New Roman"/>
          <w:b/>
          <w:sz w:val="20"/>
        </w:rPr>
        <w:t>Caldera Fundamental Representations</w:t>
      </w:r>
      <w:r>
        <w:rPr>
          <w:rFonts w:ascii="Times New Roman" w:hAnsi="Times New Roman"/>
          <w:sz w:val="20"/>
        </w:rPr>
        <w:t xml:space="preserve">” means the representations and warranties of Caldera set forth in </w:t>
      </w:r>
      <w:r>
        <w:rPr>
          <w:rFonts w:ascii="Times New Roman" w:hAnsi="Times New Roman"/>
          <w:sz w:val="20"/>
          <w:u w:val="single"/>
        </w:rPr>
        <w:t>Sections 3.1(a)</w:t>
      </w:r>
      <w:r>
        <w:rPr>
          <w:rFonts w:ascii="Times New Roman" w:hAnsi="Times New Roman"/>
          <w:sz w:val="20"/>
        </w:rPr>
        <w:t xml:space="preserve">, </w:t>
      </w:r>
      <w:r>
        <w:rPr>
          <w:rFonts w:ascii="Times New Roman" w:hAnsi="Times New Roman"/>
          <w:sz w:val="20"/>
          <w:u w:val="single"/>
        </w:rPr>
        <w:t>3.1(b)</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w:t>
      </w:r>
      <w:r>
        <w:rPr>
          <w:rFonts w:ascii="Times New Roman" w:hAnsi="Times New Roman"/>
          <w:sz w:val="20"/>
          <w:u w:val="single"/>
        </w:rPr>
        <w:t>3.3</w:t>
      </w:r>
      <w:r>
        <w:rPr>
          <w:rFonts w:ascii="Times New Roman" w:hAnsi="Times New Roman"/>
          <w:sz w:val="20"/>
        </w:rPr>
        <w:t xml:space="preserve">, </w:t>
      </w:r>
      <w:r>
        <w:rPr>
          <w:rFonts w:ascii="Times New Roman" w:hAnsi="Times New Roman"/>
          <w:sz w:val="20"/>
          <w:u w:val="single"/>
        </w:rPr>
        <w:t>3.4</w:t>
      </w:r>
      <w:r>
        <w:rPr>
          <w:rFonts w:ascii="Times New Roman" w:hAnsi="Times New Roman"/>
          <w:sz w:val="20"/>
        </w:rPr>
        <w:t xml:space="preserve"> and </w:t>
      </w:r>
      <w:r>
        <w:rPr>
          <w:rFonts w:ascii="Times New Roman" w:hAnsi="Times New Roman"/>
          <w:sz w:val="20"/>
          <w:u w:val="single"/>
        </w:rPr>
        <w:t>3.21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Caldera IP Rights</w:t>
      </w:r>
      <w:r>
        <w:rPr>
          <w:rFonts w:ascii="Times New Roman" w:hAnsi="Times New Roman"/>
          <w:sz w:val="20"/>
        </w:rPr>
        <w:t>” means all Intellectual Property rights that are (i) owned or purported to be owned, whether wholly or jointly with others, or controlled by Caldera or any of its Subsidiaries (“</w:t>
      </w:r>
      <w:r>
        <w:rPr>
          <w:rFonts w:ascii="Times New Roman" w:hAnsi="Times New Roman"/>
          <w:b/>
          <w:sz w:val="20"/>
        </w:rPr>
        <w:t>Caldera Owned IP Rights</w:t>
      </w:r>
      <w:r>
        <w:rPr>
          <w:rFonts w:ascii="Times New Roman" w:hAnsi="Times New Roman"/>
          <w:sz w:val="20"/>
        </w:rPr>
        <w:t>”), or (ii) licensed or sublicensed to Caldera or any of its Subsidiaries (“</w:t>
      </w:r>
      <w:r>
        <w:rPr>
          <w:rFonts w:ascii="Times New Roman" w:hAnsi="Times New Roman"/>
          <w:b/>
          <w:sz w:val="20"/>
        </w:rPr>
        <w:t>Caldera Licensed IP Rights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Caldera IP Rights Agreement</w:t>
      </w:r>
      <w:r>
        <w:rPr>
          <w:rFonts w:ascii="Times New Roman" w:hAnsi="Times New Roman"/>
          <w:sz w:val="20"/>
        </w:rPr>
        <w:t xml:space="preserve">” means any Contract governing, transferring or licensing, related to or pertaining to any Caldera IP Rights other than any confidential information provided under confidentiality agreements. </w:t>
      </w:r>
    </w:p>
    <w:p>
      <w:pPr>
        <w:pStyle w:val="TextBody"/>
        <w:bidi w:val="0"/>
        <w:spacing w:before="240" w:after="0"/>
        <w:jc w:val="left"/>
        <w:rPr/>
      </w:pPr>
      <w:r>
        <w:rPr/>
        <w:t>“</w:t>
      </w:r>
      <w:r>
        <w:rPr>
          <w:rFonts w:ascii="Times New Roman" w:hAnsi="Times New Roman"/>
          <w:b/>
          <w:sz w:val="20"/>
        </w:rPr>
        <w:t>Caldera Material Adverse Effect</w:t>
      </w:r>
      <w:r>
        <w:rPr>
          <w:rFonts w:ascii="Times New Roman" w:hAnsi="Times New Roman"/>
          <w:sz w:val="20"/>
        </w:rPr>
        <w:t xml:space="preserve">” means any Effect that, considered together with all other Effects that have occurred prior to the date of determination of the occurrence of a Caldera Material Adverse Effect, has had or would reasonably be expected to have a material adverse effect on the business, assets, liabilities, financial condition or results of operations of Caldera or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Effects arising or resulting from the following, alone or in combination, shall not be taken into account in determining whether there has been a Caldera Material Adverse Effect: (i) the announcement of this Agreement, the pendency or the consummation of the Contemplated Transactions, including any adverse change in customer, supplier, governmental, landlord, employee or similar relationships resulting therefrom or with respect thereto, (ii) the taking of any action, or the failure to take any action, by Caldera that is expressly required to be taken or not taken under the terms and conditions of this Agreement, (iii) 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(iv) any change in, or any compliance with GAAP or applicable Law or the interpretation thereof (provided that, this clause (iv) does not exclude any Effect resulting from any underlying noncompliance with GAAP or applicable Law), (v) general economic, financial and capital markets, political conditions or conditions, including any instability in the banking sector, including the failure or placement into receivership of any financial institution, in each case generally affecting the industries in which Caldera and its Subsidiaries operate or any changes in the conditions thereof, (vi) any change in the cash position of Caldera and its Subsidiaries which results from operations in the Ordinary Course of Business, or (vii) any failure of Caldera to meet any projections, business plans or forecasts (provided that, this clause (vii) shall not prevent a determination that any change or effect underlying such failure to meet projections, business plans or forecasts has resulted in a Caldera Material Adverse Effect (to the extent such change or effect is not otherwise excluded from this definition of Caldera Material Adverse Effect)); except in each case with respect to clauses (iii), (iv) and (v), to the extent disproportionately affecting Caldera and its Subsidiaries, taken as a whole, relative to other similarly situated companies in the industries in which Caldera and its Subsidiaries operate.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Caldera Option</w:t>
      </w:r>
      <w:r>
        <w:rPr>
          <w:rFonts w:ascii="Times New Roman" w:hAnsi="Times New Roman"/>
          <w:sz w:val="20"/>
        </w:rPr>
        <w:t xml:space="preserve">” means each option to purchase shares of Caldera Common Stock granted by Caldera including, without limitation, under the Caldera Equity Plan. </w:t>
      </w:r>
    </w:p>
    <w:p>
      <w:pPr>
        <w:pStyle w:val="TextBody"/>
        <w:bidi w:val="0"/>
        <w:spacing w:before="240" w:after="0"/>
        <w:jc w:val="left"/>
        <w:rPr/>
      </w:pPr>
      <w:r>
        <w:rPr/>
        <w:t>“</w:t>
      </w:r>
      <w:r>
        <w:rPr>
          <w:rFonts w:ascii="Times New Roman" w:hAnsi="Times New Roman"/>
          <w:b/>
          <w:sz w:val="20"/>
        </w:rPr>
        <w:t>Caldera Outstanding Shares</w:t>
      </w:r>
      <w:r>
        <w:rPr>
          <w:rFonts w:ascii="Times New Roman" w:hAnsi="Times New Roman"/>
          <w:sz w:val="20"/>
        </w:rPr>
        <w:t>” means, the total number of shares of Caldera Common Stock outstanding immediately prior to the Caldera Effective Time (after giving effect to the Caldera Preferred Stock Conversion) expressed on a fully-diluted and as-converted to Caldera Common Stock on a “treasury method” basis and assuming, without limitation or duplication, the issuance of all shares of Caldera Common Stock that would be issued assuming the acceleration and exercise and conversion of all Caldera Options outstanding as of immediately prior to the Caldera Effective Time (including shares of Caldera Common Stock underlying Caldera Options that will not be accelerated or exercised immediately prior to the Caldera Effective Time);</w:t>
      </w:r>
      <w:r>
        <w:rPr>
          <w:rFonts w:ascii="Times New Roman" w:hAnsi="Times New Roman"/>
          <w:sz w:val="20"/>
          <w:u w:val="single"/>
        </w:rPr>
        <w:t xml:space="preserve"> provided</w:t>
      </w:r>
      <w:r>
        <w:rPr>
          <w:rFonts w:ascii="Times New Roman" w:hAnsi="Times New Roman"/>
          <w:sz w:val="20"/>
        </w:rPr>
        <w:t xml:space="preserve">, that any shares of Caldera Common Stock issued in the Concurrent Financing will not be included for the purpose of calculating the number of Caldera Outstanding Shares. </w:t>
      </w:r>
    </w:p>
    <w:p>
      <w:pPr>
        <w:pStyle w:val="TextBody"/>
        <w:bidi w:val="0"/>
        <w:spacing w:before="240" w:after="0"/>
        <w:jc w:val="left"/>
        <w:rPr/>
      </w:pPr>
      <w:r>
        <w:rPr/>
        <w:t>“</w:t>
      </w:r>
      <w:r>
        <w:rPr>
          <w:rFonts w:ascii="Times New Roman" w:hAnsi="Times New Roman"/>
          <w:b/>
          <w:sz w:val="20"/>
        </w:rPr>
        <w:t>Caldera Preferred Stock</w:t>
      </w:r>
      <w:r>
        <w:rPr>
          <w:rFonts w:ascii="Times New Roman" w:hAnsi="Times New Roman"/>
          <w:sz w:val="20"/>
        </w:rPr>
        <w:t xml:space="preserve">” means, collectively, the Caldera Series A Preferred Stock and the Caldera Series A-1 Preferred Stock. </w:t>
      </w:r>
    </w:p>
    <w:p>
      <w:pPr>
        <w:pStyle w:val="TextBody"/>
        <w:bidi w:val="0"/>
        <w:spacing w:before="240" w:after="0"/>
        <w:jc w:val="left"/>
        <w:rPr/>
      </w:pPr>
      <w:r>
        <w:rPr/>
        <w:t>“</w:t>
      </w:r>
      <w:r>
        <w:rPr>
          <w:rFonts w:ascii="Times New Roman" w:hAnsi="Times New Roman"/>
          <w:b/>
          <w:sz w:val="20"/>
        </w:rPr>
        <w:t>Caldera Registered IP</w:t>
      </w:r>
      <w:r>
        <w:rPr>
          <w:rFonts w:ascii="Times New Roman" w:hAnsi="Times New Roman"/>
          <w:sz w:val="20"/>
        </w:rPr>
        <w:t xml:space="preserve">” means all Caldera IP Rights, owned or purported to be owned by Caldera or exclusively licensed to Caldera or any of its Subsidiaries, that are registered, filed, issued or otherwise granted under the authority of, with or by any Governmental Authority, including all Patents, registered copyrights and registered trademarks and all applications and registrations for any of the foregoing. </w:t>
      </w:r>
    </w:p>
    <w:p>
      <w:pPr>
        <w:pStyle w:val="TextBody"/>
        <w:bidi w:val="0"/>
        <w:spacing w:before="240" w:after="0"/>
        <w:jc w:val="left"/>
        <w:rPr/>
      </w:pPr>
      <w:r>
        <w:rPr/>
        <w:t>“</w:t>
      </w:r>
      <w:r>
        <w:rPr>
          <w:rFonts w:ascii="Times New Roman" w:hAnsi="Times New Roman"/>
          <w:b/>
          <w:sz w:val="20"/>
        </w:rPr>
        <w:t>Caldera Series A Preferred Stock</w:t>
      </w:r>
      <w:r>
        <w:rPr>
          <w:rFonts w:ascii="Times New Roman" w:hAnsi="Times New Roman"/>
          <w:sz w:val="20"/>
        </w:rPr>
        <w:t xml:space="preserve">” means the preferred stock, $0.00001 par value per share, of Caldera, designated as Series A Preferred Stock. </w:t>
      </w:r>
    </w:p>
    <w:p>
      <w:pPr>
        <w:pStyle w:val="TextBody"/>
        <w:bidi w:val="0"/>
        <w:spacing w:before="240" w:after="0"/>
        <w:jc w:val="left"/>
        <w:rPr/>
      </w:pPr>
      <w:r>
        <w:rPr/>
        <w:t>“</w:t>
      </w:r>
      <w:r>
        <w:rPr>
          <w:rFonts w:ascii="Times New Roman" w:hAnsi="Times New Roman"/>
          <w:b/>
          <w:sz w:val="20"/>
        </w:rPr>
        <w:t>Caldera Series A-1 Preferred Stock</w:t>
      </w:r>
      <w:r>
        <w:rPr>
          <w:rFonts w:ascii="Times New Roman" w:hAnsi="Times New Roman"/>
          <w:sz w:val="20"/>
        </w:rPr>
        <w:t xml:space="preserve">” means the preferred stock, $0.00001 par value per share, of Caldera, designated as Series A-1 Preferred Stock. </w:t>
      </w:r>
    </w:p>
    <w:p>
      <w:pPr>
        <w:pStyle w:val="TextBody"/>
        <w:bidi w:val="0"/>
        <w:spacing w:before="240" w:after="0"/>
        <w:jc w:val="left"/>
        <w:rPr/>
      </w:pPr>
      <w:r>
        <w:rPr/>
        <w:t>“</w:t>
      </w:r>
      <w:r>
        <w:rPr>
          <w:rFonts w:ascii="Times New Roman" w:hAnsi="Times New Roman"/>
          <w:b/>
          <w:sz w:val="20"/>
        </w:rPr>
        <w:t>Caldera Triggering Event</w:t>
      </w:r>
      <w:r>
        <w:rPr>
          <w:rFonts w:ascii="Times New Roman" w:hAnsi="Times New Roman"/>
          <w:sz w:val="20"/>
        </w:rPr>
        <w:t xml:space="preserve">” shall be deemed to have occurred if: (i) Caldera shall have failed to include in the Caldera Proxy Statement the Caldera Board Recommendation (ii) the Caldera Board or any committee thereof shall have made a Caldera Board Adverse Recommendation Change or approved, endorsed or recommended any Acquisition Proposal (other than with Synlogic) or (iii) Caldera shall have entered into any letter of intent or similar document or any Contract relating to any Acquisition Proposal (other than an Acceptable Confidentiality Agreement pursuant to </w:t>
      </w:r>
      <w:r>
        <w:rPr>
          <w:rFonts w:ascii="Times New Roman" w:hAnsi="Times New Roman"/>
          <w:sz w:val="20"/>
          <w:u w:val="single"/>
        </w:rPr>
        <w:t>Section 6.5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Cash</w:t>
      </w:r>
      <w:r>
        <w:rPr>
          <w:rFonts w:ascii="Times New Roman" w:hAnsi="Times New Roman"/>
          <w:sz w:val="20"/>
        </w:rPr>
        <w:t xml:space="preserve"> </w:t>
      </w:r>
      <w:r>
        <w:rPr>
          <w:rFonts w:ascii="Times New Roman" w:hAnsi="Times New Roman"/>
          <w:b/>
          <w:sz w:val="20"/>
        </w:rPr>
        <w:t>and</w:t>
      </w:r>
      <w:r>
        <w:rPr>
          <w:rFonts w:ascii="Times New Roman" w:hAnsi="Times New Roman"/>
          <w:sz w:val="20"/>
        </w:rPr>
        <w:t xml:space="preserve"> </w:t>
      </w:r>
      <w:r>
        <w:rPr>
          <w:rFonts w:ascii="Times New Roman" w:hAnsi="Times New Roman"/>
          <w:b/>
          <w:sz w:val="20"/>
        </w:rPr>
        <w:t>Cash Equivalents</w:t>
      </w:r>
      <w:r>
        <w:rPr>
          <w:rFonts w:ascii="Times New Roman" w:hAnsi="Times New Roman"/>
          <w:sz w:val="20"/>
        </w:rPr>
        <w:t xml:space="preserve">” means all (i) cash and cash equivalents and (ii) marketable securities, in each case determined in accordance with GAAP. </w:t>
      </w:r>
    </w:p>
    <w:p>
      <w:pPr>
        <w:pStyle w:val="TextBody"/>
        <w:bidi w:val="0"/>
        <w:spacing w:before="240" w:after="0"/>
        <w:jc w:val="left"/>
        <w:rPr/>
      </w:pPr>
      <w:r>
        <w:rPr/>
        <w:t>“</w:t>
      </w:r>
      <w:r>
        <w:rPr>
          <w:rFonts w:ascii="Times New Roman" w:hAnsi="Times New Roman"/>
          <w:b/>
          <w:sz w:val="20"/>
        </w:rPr>
        <w:t>COBRA</w:t>
      </w:r>
      <w:r>
        <w:rPr>
          <w:rFonts w:ascii="Times New Roman" w:hAnsi="Times New Roman"/>
          <w:sz w:val="20"/>
        </w:rPr>
        <w:t xml:space="preserve">” means the Consolidated Omnibus Budget Reconciliation Act of 1985, as set forth in Section 4980B of the Code and Part 6 of Title I of ERISA. </w:t>
      </w:r>
    </w:p>
    <w:p>
      <w:pPr>
        <w:pStyle w:val="TextBody"/>
        <w:bidi w:val="0"/>
        <w:spacing w:before="240" w:after="0"/>
        <w:jc w:val="left"/>
        <w:rPr/>
      </w:pPr>
      <w:r>
        <w:rPr/>
        <w:t>“</w:t>
      </w:r>
      <w:r>
        <w:rPr>
          <w:rFonts w:ascii="Times New Roman" w:hAnsi="Times New Roman"/>
          <w:b/>
          <w:sz w:val="20"/>
        </w:rPr>
        <w:t>Concurrent Financing</w:t>
      </w:r>
      <w:r>
        <w:rPr>
          <w:rFonts w:ascii="Times New Roman" w:hAnsi="Times New Roman"/>
          <w:sz w:val="20"/>
        </w:rPr>
        <w:t xml:space="preserve">” means the issuance and sale by Caldera of shares of Caldera Common Stock in a private placement to be consummated immediately prior to the Caldera Effective Time pursuant to the Securities Purchase Agreement or pursuant to securities purchase agreements entered into by Caldera after the date of this Agreement that provide for the sale of Caldera Common Stock immediately prior to the Caldera Effective Time at a per share price that is not less than the per share price provided in the Securities Purchase Agreement and on terms and conditions substantially similar to the terms and conditions of the Securities Purchase Agreement. </w:t>
      </w:r>
    </w:p>
    <w:p>
      <w:pPr>
        <w:pStyle w:val="TextBody"/>
        <w:bidi w:val="0"/>
        <w:spacing w:before="240" w:after="0"/>
        <w:jc w:val="left"/>
        <w:rPr/>
      </w:pPr>
      <w:r>
        <w:rPr/>
        <w:t>“</w:t>
      </w:r>
      <w:r>
        <w:rPr>
          <w:rFonts w:ascii="Times New Roman" w:hAnsi="Times New Roman"/>
          <w:b/>
          <w:sz w:val="20"/>
        </w:rPr>
        <w:t>Concurrent Financing Amount</w:t>
      </w:r>
      <w:r>
        <w:rPr>
          <w:rFonts w:ascii="Times New Roman" w:hAnsi="Times New Roman"/>
          <w:sz w:val="20"/>
        </w:rPr>
        <w:t xml:space="preserve">” means $278,000,000.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Confidentiality Agreement</w:t>
      </w:r>
      <w:r>
        <w:rPr>
          <w:rFonts w:ascii="Times New Roman" w:hAnsi="Times New Roman"/>
          <w:sz w:val="20"/>
        </w:rPr>
        <w:t xml:space="preserve">” means the Confidential Disclosure Agreement, dated as of June 17, 2026, by and between Caldera and Synlogic. </w:t>
      </w:r>
    </w:p>
    <w:p>
      <w:pPr>
        <w:pStyle w:val="TextBody"/>
        <w:bidi w:val="0"/>
        <w:spacing w:before="240" w:after="0"/>
        <w:jc w:val="left"/>
        <w:rPr/>
      </w:pPr>
      <w:r>
        <w:rPr/>
        <w:t>“</w:t>
      </w:r>
      <w:r>
        <w:rPr>
          <w:rFonts w:ascii="Times New Roman" w:hAnsi="Times New Roman"/>
          <w:b/>
          <w:sz w:val="20"/>
        </w:rPr>
        <w:t>Consent</w:t>
      </w:r>
      <w:r>
        <w:rPr>
          <w:rFonts w:ascii="Times New Roman" w:hAnsi="Times New Roman"/>
          <w:sz w:val="20"/>
        </w:rPr>
        <w:t xml:space="preserve">” means any approval, consent, ratification, permission, waiver or authorization (including any Governmental Authorization). </w:t>
      </w:r>
    </w:p>
    <w:p>
      <w:pPr>
        <w:pStyle w:val="TextBody"/>
        <w:bidi w:val="0"/>
        <w:spacing w:before="240" w:after="0"/>
        <w:jc w:val="left"/>
        <w:rPr/>
      </w:pPr>
      <w:r>
        <w:rPr/>
        <w:t>“</w:t>
      </w:r>
      <w:r>
        <w:rPr>
          <w:rFonts w:ascii="Times New Roman" w:hAnsi="Times New Roman"/>
          <w:b/>
          <w:sz w:val="20"/>
        </w:rPr>
        <w:t>Contemplated Transactions</w:t>
      </w:r>
      <w:r>
        <w:rPr>
          <w:rFonts w:ascii="Times New Roman" w:hAnsi="Times New Roman"/>
          <w:sz w:val="20"/>
        </w:rPr>
        <w:t xml:space="preserve">” means the Mergers and the other transactions contemplated by this Agreement, including the Concurrent Financing. </w:t>
      </w:r>
    </w:p>
    <w:p>
      <w:pPr>
        <w:pStyle w:val="TextBody"/>
        <w:bidi w:val="0"/>
        <w:spacing w:before="240" w:after="0"/>
        <w:jc w:val="left"/>
        <w:rPr/>
      </w:pPr>
      <w:r>
        <w:rPr/>
        <w:t>“</w:t>
      </w:r>
      <w:r>
        <w:rPr>
          <w:rFonts w:ascii="Times New Roman" w:hAnsi="Times New Roman"/>
          <w:b/>
          <w:sz w:val="20"/>
        </w:rPr>
        <w:t>Contract</w:t>
      </w:r>
      <w:r>
        <w:rPr>
          <w:rFonts w:ascii="Times New Roman" w:hAnsi="Times New Roman"/>
          <w:sz w:val="20"/>
        </w:rPr>
        <w:t xml:space="preserve">”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 </w:t>
      </w:r>
    </w:p>
    <w:p>
      <w:pPr>
        <w:pStyle w:val="TextBody"/>
        <w:bidi w:val="0"/>
        <w:spacing w:before="240" w:after="0"/>
        <w:jc w:val="left"/>
        <w:rPr/>
      </w:pPr>
      <w:r>
        <w:rPr/>
        <w:t>“</w:t>
      </w:r>
      <w:r>
        <w:rPr>
          <w:rFonts w:ascii="Times New Roman" w:hAnsi="Times New Roman"/>
          <w:b/>
          <w:sz w:val="20"/>
        </w:rPr>
        <w:t>Delaware Law</w:t>
      </w:r>
      <w:r>
        <w:rPr>
          <w:rFonts w:ascii="Times New Roman" w:hAnsi="Times New Roman"/>
          <w:sz w:val="20"/>
        </w:rPr>
        <w:t xml:space="preserve">” means the General Corporation Law of the State of Delaware. </w:t>
      </w:r>
    </w:p>
    <w:p>
      <w:pPr>
        <w:pStyle w:val="TextBody"/>
        <w:bidi w:val="0"/>
        <w:spacing w:before="240" w:after="0"/>
        <w:jc w:val="left"/>
        <w:rPr/>
      </w:pPr>
      <w:r>
        <w:rPr/>
        <w:t>“</w:t>
      </w:r>
      <w:r>
        <w:rPr>
          <w:rFonts w:ascii="Times New Roman" w:hAnsi="Times New Roman"/>
          <w:b/>
          <w:sz w:val="20"/>
        </w:rPr>
        <w:t>Effect</w:t>
      </w:r>
      <w:r>
        <w:rPr>
          <w:rFonts w:ascii="Times New Roman" w:hAnsi="Times New Roman"/>
          <w:sz w:val="20"/>
        </w:rPr>
        <w:t xml:space="preserve">” means any effect, change, event, circumstance, or development. </w:t>
      </w:r>
    </w:p>
    <w:p>
      <w:pPr>
        <w:pStyle w:val="TextBody"/>
        <w:bidi w:val="0"/>
        <w:spacing w:before="240" w:after="0"/>
        <w:jc w:val="left"/>
        <w:rPr/>
      </w:pPr>
      <w:r>
        <w:rPr/>
        <w:t>“</w:t>
      </w:r>
      <w:r>
        <w:rPr>
          <w:rFonts w:ascii="Times New Roman" w:hAnsi="Times New Roman"/>
          <w:b/>
          <w:sz w:val="20"/>
        </w:rPr>
        <w:t>Employee Plan</w:t>
      </w:r>
      <w:r>
        <w:rPr>
          <w:rFonts w:ascii="Times New Roman" w:hAnsi="Times New Roman"/>
          <w:sz w:val="20"/>
        </w:rPr>
        <w:t xml:space="preserve">” means (i) each “employee benefit plan” within the meaning of Section 3(3) of ERISA, whether or not subject to ERISA; (ii) any other plan, program, policy, agreement or arrangement providing for stock options, stock purchases, restricted stock, restricted stock units, phantom equity, other equity or equity-based incentives, bonuses, commissions, severance, retention, nonqualified deferred compensation, change in control, transaction, supplemental income, vacation, retirement, pension, profit-sharing, post-retirement health and welfare, disability, fringe benefit, sick, vacation or paid time-off, reimbursement, life insurance, perquisites, medical, dental, vision, employee assistance, health savings accounts, flexible spending accounts, Section 125 “cafeteria”, or similar benefits; and (iii) all other plans, programs, policies, agreements or arrangements (whether written or unwritten) providing compensation or benefits to any current or former employee, officer, director, individual independent contractor and other non-employee service provider. </w:t>
      </w:r>
    </w:p>
    <w:p>
      <w:pPr>
        <w:pStyle w:val="TextBody"/>
        <w:bidi w:val="0"/>
        <w:spacing w:before="240" w:after="0"/>
        <w:jc w:val="left"/>
        <w:rPr/>
      </w:pPr>
      <w:r>
        <w:rPr/>
        <w:t>“</w:t>
      </w:r>
      <w:r>
        <w:rPr>
          <w:rFonts w:ascii="Times New Roman" w:hAnsi="Times New Roman"/>
          <w:b/>
          <w:sz w:val="20"/>
        </w:rPr>
        <w:t>Encumbrance</w:t>
      </w:r>
      <w:r>
        <w:rPr>
          <w:rFonts w:ascii="Times New Roman" w:hAnsi="Times New Roman"/>
          <w:sz w:val="20"/>
        </w:rPr>
        <w:t xml:space="preserve">” means any lien, pledge, hypothecation, charge, mortgage, security interest, lease, license, option, easement, reservation, servitude, adverse title, claim,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w:t>
      </w:r>
    </w:p>
    <w:p>
      <w:pPr>
        <w:pStyle w:val="TextBody"/>
        <w:bidi w:val="0"/>
        <w:spacing w:before="240" w:after="0"/>
        <w:jc w:val="left"/>
        <w:rPr/>
      </w:pPr>
      <w:r>
        <w:rPr/>
        <w:t>“</w:t>
      </w:r>
      <w:r>
        <w:rPr>
          <w:rFonts w:ascii="Times New Roman" w:hAnsi="Times New Roman"/>
          <w:b/>
          <w:sz w:val="20"/>
        </w:rPr>
        <w:t>Enforceability Exceptions</w:t>
      </w:r>
      <w:r>
        <w:rPr>
          <w:rFonts w:ascii="Times New Roman" w:hAnsi="Times New Roman"/>
          <w:sz w:val="20"/>
        </w:rPr>
        <w:t xml:space="preserve">” means the (i) Laws of general application relating to bankruptcy, insolvency and the relief of debtors and (ii) rules of law governing specific performance, injunctive relief and other equitable remedies. </w:t>
      </w:r>
    </w:p>
    <w:p>
      <w:pPr>
        <w:pStyle w:val="TextBody"/>
        <w:bidi w:val="0"/>
        <w:spacing w:before="240" w:after="0"/>
        <w:jc w:val="left"/>
        <w:rPr/>
      </w:pPr>
      <w:r>
        <w:rPr/>
        <w:t>“</w:t>
      </w:r>
      <w:r>
        <w:rPr>
          <w:rFonts w:ascii="Times New Roman" w:hAnsi="Times New Roman"/>
          <w:b/>
          <w:sz w:val="20"/>
        </w:rPr>
        <w:t>Entity</w:t>
      </w:r>
      <w:r>
        <w:rPr>
          <w:rFonts w:ascii="Times New Roman" w:hAnsi="Times New Roman"/>
          <w:sz w:val="20"/>
        </w:rPr>
        <w:t xml:space="preserve">”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 </w:t>
      </w:r>
    </w:p>
    <w:p>
      <w:pPr>
        <w:pStyle w:val="TextBody"/>
        <w:bidi w:val="0"/>
        <w:spacing w:before="240" w:after="0"/>
        <w:jc w:val="left"/>
        <w:rPr/>
      </w:pPr>
      <w:r>
        <w:rPr/>
        <w:t>“</w:t>
      </w:r>
      <w:r>
        <w:rPr>
          <w:rFonts w:ascii="Times New Roman" w:hAnsi="Times New Roman"/>
          <w:b/>
          <w:sz w:val="20"/>
        </w:rPr>
        <w:t>Environmental Law</w:t>
      </w:r>
      <w:r>
        <w:rPr>
          <w:rFonts w:ascii="Times New Roman" w:hAnsi="Times New Roman"/>
          <w:sz w:val="20"/>
        </w:rPr>
        <w:t xml:space="preserve">”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b/>
          <w:sz w:val="20"/>
        </w:rPr>
        <w:t>ERISA Affiliate</w:t>
      </w:r>
      <w:r>
        <w:rPr>
          <w:rFonts w:ascii="Times New Roman" w:hAnsi="Times New Roman"/>
          <w:sz w:val="20"/>
        </w:rPr>
        <w:t xml:space="preserve">” means, with respect to any Entity, any other Person, trade or business that would be treated as a single employer with such Entity, part of the same “controlled group” as such Entity or under common control with such Entity under Sections 414(b), (c), (m) or (o) of the Code or 4001(b)(1) of ERISA, as applicable. </w:t>
      </w:r>
    </w:p>
    <w:p>
      <w:pPr>
        <w:pStyle w:val="TextBody"/>
        <w:bidi w:val="0"/>
        <w:spacing w:before="240" w:after="0"/>
        <w:jc w:val="left"/>
        <w:rPr/>
      </w:pPr>
      <w:r>
        <w:rPr/>
        <w:t>“</w:t>
      </w:r>
      <w:r>
        <w:rPr>
          <w:rFonts w:ascii="Times New Roman" w:hAnsi="Times New Roman"/>
          <w:b/>
          <w:sz w:val="20"/>
        </w:rPr>
        <w:t>Excepted Contract</w:t>
      </w:r>
      <w:r>
        <w:rPr>
          <w:rFonts w:ascii="Times New Roman" w:hAnsi="Times New Roman"/>
          <w:sz w:val="20"/>
        </w:rPr>
        <w:t xml:space="preserve">” means any and all (a) non-exclusive licenses for generally unmodified and commercially available shrink-wrap, click wrap and off-the-shelf software or software as a service, (b) non-disclosure agreements entered into (i) in the Ordinary Course of Business by Caldera or Synlogic, as applicable, or any of its Subsidiaries or (ii) in connection with discussions, negotiations, and transactions related to this Agreement or any transactions that were evaluated or pursued as an alternative to the transactions contemplated hereby, (c) clinical trial agreements with individual clinical sites and material transfer agreements, in each case, entered into in the Ordinary Course of Business and that do not transfer ownership of material Intellectual Property to any Person other than Caldera or Synlogic, as applicable, or any of its Subsidiaries, or grant rights to use material Intellectual Property for the supply, manufacturing, development or commercialization of products (other than on behalf of, or for the benefit of, Caldera or Synlogic, as applicable, or any of its Subsidiaries), or (d) confirmatory purchase orders, (e) quality agreements, business associate agreements, or data processing addenda entered into in the Ordinary Course of Business by Caldera or Synlogic, as applicable, or any of its Subsidiaries.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United States generally accepted accounting principles.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any: (i) nation, state, commonwealth, province, territory, county, municipality, district or other jurisdiction of any nature, (ii) federal, state, local, municipal, foreign, supra-national or other government or institution, (iii)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(iv) self-regulatory organization (including Nasdaq). </w:t>
      </w:r>
    </w:p>
    <w:p>
      <w:pPr>
        <w:pStyle w:val="TextBody"/>
        <w:bidi w:val="0"/>
        <w:spacing w:before="240" w:after="0"/>
        <w:jc w:val="left"/>
        <w:rPr/>
      </w:pPr>
      <w:r>
        <w:rPr/>
        <w:t>“</w:t>
      </w:r>
      <w:r>
        <w:rPr>
          <w:rFonts w:ascii="Times New Roman" w:hAnsi="Times New Roman"/>
          <w:b/>
          <w:sz w:val="20"/>
        </w:rPr>
        <w:t>Governmental Authorization</w:t>
      </w:r>
      <w:r>
        <w:rPr>
          <w:rFonts w:ascii="Times New Roman" w:hAnsi="Times New Roman"/>
          <w:sz w:val="20"/>
        </w:rPr>
        <w:t xml:space="preserve">” means any: permit, license, certificate, franchise, permission, variance, exception, order, approval, clearance, registration, qualification or authorization issued, granted, given or otherwise made available by or under the authority of any Governmental Authority or pursuant to any Law. </w:t>
      </w:r>
    </w:p>
    <w:p>
      <w:pPr>
        <w:pStyle w:val="TextBody"/>
        <w:bidi w:val="0"/>
        <w:spacing w:before="240" w:after="0"/>
        <w:jc w:val="left"/>
        <w:rPr/>
      </w:pPr>
      <w:r>
        <w:rPr/>
        <w:t>“</w:t>
      </w:r>
      <w:r>
        <w:rPr>
          <w:rFonts w:ascii="Times New Roman" w:hAnsi="Times New Roman"/>
          <w:b/>
          <w:sz w:val="20"/>
        </w:rPr>
        <w:t>Hazardous Materials</w:t>
      </w:r>
      <w:r>
        <w:rPr>
          <w:rFonts w:ascii="Times New Roman" w:hAnsi="Times New Roman"/>
          <w:sz w:val="20"/>
        </w:rPr>
        <w:t xml:space="preserve">”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xml:space="preserve">” means any and all intellectual property and similar proprietary rights of any kind or nature, whether protected, created or arising under any Law, throughout the world, including any and all state, United States, international and/or foreign or other territorial or regional rights in, arising out of or associated with any of the following: (i) United States, foreign and international patents, patent applications, including all provisional applications, non-provisional applications, substitutions, divisionals, continuations, continuations-in-part, reissues, renewals, extensions, supplementary protection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reexaminations, term extensions, certificates of invention, statutory invention registrations and any equivalents of any of the foregoing (collectively, “</w:t>
      </w:r>
      <w:r>
        <w:rPr>
          <w:rFonts w:ascii="Times New Roman" w:hAnsi="Times New Roman"/>
          <w:b/>
          <w:sz w:val="20"/>
        </w:rPr>
        <w:t>Patents</w:t>
      </w:r>
      <w:r>
        <w:rPr>
          <w:rFonts w:ascii="Times New Roman" w:hAnsi="Times New Roman"/>
          <w:sz w:val="20"/>
        </w:rPr>
        <w:t>”), (ii) trademarks, service marks, trade names, corporate names, brand names, trade dress, logos and other source identifiers, including registrations and applications for registration thereof and goodwill associated therewith and symbolized thereby (“</w:t>
      </w:r>
      <w:r>
        <w:rPr>
          <w:rFonts w:ascii="Times New Roman" w:hAnsi="Times New Roman"/>
          <w:b/>
          <w:sz w:val="20"/>
        </w:rPr>
        <w:t>Trademarks</w:t>
      </w:r>
      <w:r>
        <w:rPr>
          <w:rFonts w:ascii="Times New Roman" w:hAnsi="Times New Roman"/>
          <w:sz w:val="20"/>
        </w:rPr>
        <w:t xml:space="preserve">”), (iii) Internet domain names, (iv) works of authorship (whether or not copyrightable) and all copyrights, copyrightable works, derivative works, including registrations and applications for registration thereof, and all renewals, extensions, restorations or reversions of the foregoing, including all rights of authorship, use, publication, publicity, reproduction, distribution, income, performance and transformation, (v) software, including all source code, object code, firmware, development tools files, records and data, all media on which any of the foregoing is recorded, and all related documentation, (vi) all inventions, invention disclosures, improvements, formulae, customer lists, trade secrets (including those trade secrets defined in the Uniform Trade Secrets Act and under corresponding foreign statutory and common Law), know-how (including recipes, specifications, formulae, manufacturing and other processes, operating procedures, methods, techniques and all research and development information), technology, technical data, databases, data collections, confidential information and other proprietary rights and intellectual property, whether patentable or not, and all documentation relating to any of the foregoing, (vi) registrations, applications, extensions, restorations and renewals of any of the foregoing in any jurisdiction, (vii) all United States and foreign rights arising under or associated with any of the foregoing, (viii) all rights to sue or recover and retain damages and costs and attorneys’ fees for the past, present or future infringement, dilution, misappropriation, or other violation of any of the foregoing anywhere in the world and (ix) all other rights similar or pertaining to, or tangible embodiments of, any of the foregoing in any country worldwide. </w:t>
      </w:r>
    </w:p>
    <w:p>
      <w:pPr>
        <w:pStyle w:val="TextBody"/>
        <w:bidi w:val="0"/>
        <w:spacing w:before="240" w:after="0"/>
        <w:jc w:val="left"/>
        <w:rPr/>
      </w:pPr>
      <w:r>
        <w:rPr/>
        <w:t>“</w:t>
      </w:r>
      <w:r>
        <w:rPr>
          <w:rFonts w:ascii="Times New Roman" w:hAnsi="Times New Roman"/>
          <w:b/>
          <w:sz w:val="20"/>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b/>
          <w:sz w:val="20"/>
        </w:rPr>
        <w:t>Key Employee</w:t>
      </w:r>
      <w:r>
        <w:rPr>
          <w:rFonts w:ascii="Times New Roman" w:hAnsi="Times New Roman"/>
          <w:sz w:val="20"/>
        </w:rPr>
        <w:t xml:space="preserve">” means, with respect to any Person, (i) an executive officer of such Person; and (ii) any employee of such Person, that reports directly to the chief executive officer of such Person. </w:t>
      </w:r>
    </w:p>
    <w:p>
      <w:pPr>
        <w:pStyle w:val="TextBody"/>
        <w:bidi w:val="0"/>
        <w:spacing w:before="240" w:after="0"/>
        <w:jc w:val="left"/>
        <w:rPr/>
      </w:pPr>
      <w:r>
        <w:rPr/>
        <w:t>“</w:t>
      </w:r>
      <w:r>
        <w:rPr>
          <w:rFonts w:ascii="Times New Roman" w:hAnsi="Times New Roman"/>
          <w:b/>
          <w:sz w:val="20"/>
        </w:rPr>
        <w:t>Knowledge</w:t>
      </w:r>
      <w:r>
        <w:rPr>
          <w:rFonts w:ascii="Times New Roman" w:hAnsi="Times New Roman"/>
          <w:sz w:val="20"/>
        </w:rPr>
        <w:t xml:space="preserve">” means (i) of Caldera, with respect to any matter in question, the actual knowledge of the individuals set forth in Section 1.1 of the Caldera Disclosure Schedule, and (ii) of Synlogic, with respect to any matter in question, the actual knowledge of individuals set forth in Section 1.1(a)(i) of the Synlogic Disclosure Schedule, and, in each case, the knowledge that any such individual would reasonably be expected to have obtained in the ordinary course of the performance of such individual’s employment responsibilities.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 </w:t>
      </w:r>
    </w:p>
    <w:p>
      <w:pPr>
        <w:pStyle w:val="TextBody"/>
        <w:bidi w:val="0"/>
        <w:spacing w:before="240" w:after="0"/>
        <w:jc w:val="left"/>
        <w:rPr/>
      </w:pPr>
      <w:r>
        <w:rPr/>
        <w:t>“</w:t>
      </w:r>
      <w:r>
        <w:rPr>
          <w:rFonts w:ascii="Times New Roman" w:hAnsi="Times New Roman"/>
          <w:b/>
          <w:sz w:val="20"/>
        </w:rPr>
        <w:t>Law</w:t>
      </w:r>
      <w:r>
        <w:rPr>
          <w:rFonts w:ascii="Times New Roman" w:hAnsi="Times New Roman"/>
          <w:sz w:val="20"/>
        </w:rPr>
        <w:t xml:space="preserve">”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 </w:t>
      </w:r>
    </w:p>
    <w:p>
      <w:pPr>
        <w:pStyle w:val="TextBody"/>
        <w:bidi w:val="0"/>
        <w:spacing w:before="240" w:after="0"/>
        <w:jc w:val="left"/>
        <w:rPr/>
      </w:pPr>
      <w:r>
        <w:rPr/>
        <w:t>“</w:t>
      </w:r>
      <w:r>
        <w:rPr>
          <w:rFonts w:ascii="Times New Roman" w:hAnsi="Times New Roman"/>
          <w:b/>
          <w:sz w:val="20"/>
        </w:rPr>
        <w:t>Legal Proceeding</w:t>
      </w:r>
      <w:r>
        <w:rPr>
          <w:rFonts w:ascii="Times New Roman" w:hAnsi="Times New Roman"/>
          <w:sz w:val="20"/>
        </w:rPr>
        <w:t xml:space="preserve">”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 or any arbitrator or arbitration panel, excluding any office actions and other ex parte proceedings conducted in the ordinary course of prosecuting or maintaining any registration or application for registration of any Patent or Trademark.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Merger Shares</w:t>
      </w:r>
      <w:r>
        <w:rPr>
          <w:rFonts w:ascii="Times New Roman" w:hAnsi="Times New Roman"/>
          <w:sz w:val="20"/>
        </w:rPr>
        <w:t xml:space="preserve">” means the sum determined by adding (i) the Caldera Merger Shares </w:t>
      </w:r>
      <w:r>
        <w:rPr>
          <w:rFonts w:ascii="Times New Roman" w:hAnsi="Times New Roman"/>
          <w:i/>
          <w:sz w:val="20"/>
        </w:rPr>
        <w:t>plus</w:t>
      </w:r>
      <w:r>
        <w:rPr>
          <w:rFonts w:ascii="Times New Roman" w:hAnsi="Times New Roman"/>
          <w:sz w:val="20"/>
        </w:rPr>
        <w:t xml:space="preserve"> (ii) the Synlogic Merger Shares, </w:t>
      </w:r>
      <w:r>
        <w:rPr>
          <w:rFonts w:ascii="Times New Roman" w:hAnsi="Times New Roman"/>
          <w:i/>
          <w:sz w:val="20"/>
        </w:rPr>
        <w:t>plus</w:t>
      </w:r>
      <w:r>
        <w:rPr>
          <w:rFonts w:ascii="Times New Roman" w:hAnsi="Times New Roman"/>
          <w:sz w:val="20"/>
        </w:rPr>
        <w:t xml:space="preserve"> the Concurrent Financing Merger Shares,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pPr>
            <w:r>
              <w:rPr/>
              <w:t>“</w:t>
            </w:r>
            <w:r>
              <w:rPr>
                <w:rFonts w:ascii="Times New Roman" w:hAnsi="Times New Roman"/>
                <w:b/>
                <w:sz w:val="20"/>
              </w:rPr>
              <w:t>Aggregate Valuation</w:t>
            </w:r>
            <w:r>
              <w:rPr>
                <w:rFonts w:ascii="Times New Roman" w:hAnsi="Times New Roman"/>
                <w:sz w:val="20"/>
              </w:rPr>
              <w:t xml:space="preserve">” means the sum of (A) the Caldera Equity Value, </w:t>
            </w:r>
            <w:r>
              <w:rPr>
                <w:rFonts w:ascii="Times New Roman" w:hAnsi="Times New Roman"/>
                <w:i/>
                <w:sz w:val="20"/>
              </w:rPr>
              <w:t>plus</w:t>
            </w:r>
            <w:r>
              <w:rPr>
                <w:rFonts w:ascii="Times New Roman" w:hAnsi="Times New Roman"/>
                <w:sz w:val="20"/>
              </w:rPr>
              <w:t xml:space="preserve"> (B) the Synlogic Valuation, </w:t>
            </w:r>
            <w:r>
              <w:rPr>
                <w:rFonts w:ascii="Times New Roman" w:hAnsi="Times New Roman"/>
                <w:i/>
                <w:sz w:val="20"/>
              </w:rPr>
              <w:t>plus</w:t>
            </w:r>
            <w:r>
              <w:rPr>
                <w:rFonts w:ascii="Times New Roman" w:hAnsi="Times New Roman"/>
                <w:sz w:val="20"/>
              </w:rPr>
              <w:t xml:space="preserve"> (C) the Concurrent Financing Proceeds;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pPr>
            <w:r>
              <w:rPr/>
              <w:t>“</w:t>
            </w:r>
            <w:r>
              <w:rPr>
                <w:rFonts w:ascii="Times New Roman" w:hAnsi="Times New Roman"/>
                <w:b/>
                <w:sz w:val="20"/>
              </w:rPr>
              <w:t>Caldera Allocation Percentage</w:t>
            </w:r>
            <w:r>
              <w:rPr>
                <w:rFonts w:ascii="Times New Roman" w:hAnsi="Times New Roman"/>
                <w:sz w:val="20"/>
              </w:rPr>
              <w:t xml:space="preserve">” means the quotient (rounded to four decimal places) determined by </w:t>
            </w:r>
            <w:r>
              <w:rPr>
                <w:rFonts w:ascii="Times New Roman" w:hAnsi="Times New Roman"/>
                <w:i/>
                <w:sz w:val="20"/>
              </w:rPr>
              <w:t>dividing</w:t>
            </w:r>
            <w:r>
              <w:rPr>
                <w:rFonts w:ascii="Times New Roman" w:hAnsi="Times New Roman"/>
                <w:sz w:val="20"/>
              </w:rPr>
              <w:t xml:space="preserve"> (A) the Caldera Equity Value </w:t>
            </w:r>
            <w:r>
              <w:rPr>
                <w:rFonts w:ascii="Times New Roman" w:hAnsi="Times New Roman"/>
                <w:i/>
                <w:sz w:val="20"/>
              </w:rPr>
              <w:t>by</w:t>
            </w:r>
            <w:r>
              <w:rPr>
                <w:rFonts w:ascii="Times New Roman" w:hAnsi="Times New Roman"/>
                <w:sz w:val="20"/>
              </w:rPr>
              <w:t xml:space="preserve"> (B) the Aggregate 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pPr>
            <w:r>
              <w:rPr/>
              <w:t>“</w:t>
            </w:r>
            <w:r>
              <w:rPr>
                <w:rFonts w:ascii="Times New Roman" w:hAnsi="Times New Roman"/>
                <w:b/>
                <w:sz w:val="20"/>
              </w:rPr>
              <w:t>Caldera Equity Value</w:t>
            </w:r>
            <w:r>
              <w:rPr>
                <w:rFonts w:ascii="Times New Roman" w:hAnsi="Times New Roman"/>
                <w:sz w:val="20"/>
              </w:rPr>
              <w:t xml:space="preserve">” means $500,000,000;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pPr>
            <w:r>
              <w:rPr/>
              <w:t>“</w:t>
            </w:r>
            <w:r>
              <w:rPr>
                <w:rFonts w:ascii="Times New Roman" w:hAnsi="Times New Roman"/>
                <w:b/>
                <w:sz w:val="20"/>
              </w:rPr>
              <w:t>Caldera Merger Shares</w:t>
            </w:r>
            <w:r>
              <w:rPr>
                <w:rFonts w:ascii="Times New Roman" w:hAnsi="Times New Roman"/>
                <w:sz w:val="20"/>
              </w:rPr>
              <w:t xml:space="preserve">” means the product determined by multiplying (i) the Post-Closing Parent Shares </w:t>
            </w:r>
            <w:r>
              <w:rPr>
                <w:rFonts w:ascii="Times New Roman" w:hAnsi="Times New Roman"/>
                <w:i/>
                <w:sz w:val="20"/>
              </w:rPr>
              <w:t>by</w:t>
            </w:r>
            <w:r>
              <w:rPr>
                <w:rFonts w:ascii="Times New Roman" w:hAnsi="Times New Roman"/>
                <w:sz w:val="20"/>
              </w:rPr>
              <w:t xml:space="preserve"> (ii) the Caldera Allocation Percentage;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pPr>
            <w:r>
              <w:rPr/>
              <w:t>“</w:t>
            </w:r>
            <w:r>
              <w:rPr>
                <w:rFonts w:ascii="Times New Roman" w:hAnsi="Times New Roman"/>
                <w:b/>
                <w:sz w:val="20"/>
              </w:rPr>
              <w:t>Concurrent Financing Allocation Percentage</w:t>
            </w:r>
            <w:r>
              <w:rPr>
                <w:rFonts w:ascii="Times New Roman" w:hAnsi="Times New Roman"/>
                <w:sz w:val="20"/>
              </w:rPr>
              <w:t xml:space="preserve">” means the quotient (rounded to four decimal places) determined by </w:t>
            </w:r>
            <w:r>
              <w:rPr>
                <w:rFonts w:ascii="Times New Roman" w:hAnsi="Times New Roman"/>
                <w:i/>
                <w:sz w:val="20"/>
              </w:rPr>
              <w:t>dividing</w:t>
            </w:r>
            <w:r>
              <w:rPr>
                <w:rFonts w:ascii="Times New Roman" w:hAnsi="Times New Roman"/>
                <w:sz w:val="20"/>
              </w:rPr>
              <w:t xml:space="preserve"> (i) the Concurrent Financing Proceeds </w:t>
            </w:r>
            <w:r>
              <w:rPr>
                <w:rFonts w:ascii="Times New Roman" w:hAnsi="Times New Roman"/>
                <w:i/>
                <w:sz w:val="20"/>
              </w:rPr>
              <w:t>by</w:t>
            </w:r>
            <w:r>
              <w:rPr>
                <w:rFonts w:ascii="Times New Roman" w:hAnsi="Times New Roman"/>
                <w:sz w:val="20"/>
              </w:rPr>
              <w:t xml:space="preserve"> (ii) the Aggregate 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pPr>
            <w:r>
              <w:rPr/>
              <w:t>“</w:t>
            </w:r>
            <w:r>
              <w:rPr>
                <w:rFonts w:ascii="Times New Roman" w:hAnsi="Times New Roman"/>
                <w:b/>
                <w:sz w:val="20"/>
              </w:rPr>
              <w:t>Concurrent Financing Merger Shares</w:t>
            </w:r>
            <w:r>
              <w:rPr>
                <w:rFonts w:ascii="Times New Roman" w:hAnsi="Times New Roman"/>
                <w:sz w:val="20"/>
              </w:rPr>
              <w:t xml:space="preserve">” means, the product determined by multiplying (i) the Post-Closing Parent Shares by (ii) the Concurrent Financing Allocation Percentage;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pPr>
            <w:r>
              <w:rPr/>
              <w:t>“</w:t>
            </w:r>
            <w:r>
              <w:rPr>
                <w:rFonts w:ascii="Times New Roman" w:hAnsi="Times New Roman"/>
                <w:b/>
                <w:sz w:val="20"/>
              </w:rPr>
              <w:t>Concurrent Financing Proceeds</w:t>
            </w:r>
            <w:r>
              <w:rPr>
                <w:rFonts w:ascii="Times New Roman" w:hAnsi="Times New Roman"/>
                <w:sz w:val="20"/>
              </w:rPr>
              <w:t xml:space="preserve">” means the proceeds resulting from the Concurrent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pPr>
            <w:r>
              <w:rPr/>
              <w:t>“</w:t>
            </w:r>
            <w:r>
              <w:rPr>
                <w:rFonts w:ascii="Times New Roman" w:hAnsi="Times New Roman"/>
                <w:b/>
                <w:sz w:val="20"/>
              </w:rPr>
              <w:t>Post-Closing Parent Shares</w:t>
            </w:r>
            <w:r>
              <w:rPr>
                <w:rFonts w:ascii="Times New Roman" w:hAnsi="Times New Roman"/>
                <w:sz w:val="20"/>
              </w:rPr>
              <w:t xml:space="preserve">” means the quotient determined by </w:t>
            </w:r>
            <w:r>
              <w:rPr>
                <w:rFonts w:ascii="Times New Roman" w:hAnsi="Times New Roman"/>
                <w:i/>
                <w:sz w:val="20"/>
              </w:rPr>
              <w:t>dividing</w:t>
            </w:r>
            <w:r>
              <w:rPr>
                <w:rFonts w:ascii="Times New Roman" w:hAnsi="Times New Roman"/>
                <w:sz w:val="20"/>
              </w:rPr>
              <w:t xml:space="preserve"> (i) the Synlogic Merger Shares </w:t>
            </w:r>
            <w:r>
              <w:rPr>
                <w:rFonts w:ascii="Times New Roman" w:hAnsi="Times New Roman"/>
                <w:i/>
                <w:sz w:val="20"/>
              </w:rPr>
              <w:t>by</w:t>
            </w:r>
            <w:r>
              <w:rPr>
                <w:rFonts w:ascii="Times New Roman" w:hAnsi="Times New Roman"/>
                <w:sz w:val="20"/>
              </w:rPr>
              <w:t xml:space="preserve"> (ii) the Synlogic Allocation Percentage.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(ix)</w:t>
            </w:r>
          </w:p>
        </w:tc>
        <w:tc>
          <w:tcPr>
            <w:tcW w:w="9288" w:type="dxa"/>
            <w:tcBorders/>
          </w:tcPr>
          <w:p>
            <w:pPr>
              <w:pStyle w:val="TableContents"/>
              <w:bidi w:val="0"/>
              <w:spacing w:before="0" w:after="0"/>
              <w:jc w:val="left"/>
              <w:rPr/>
            </w:pPr>
            <w:r>
              <w:rPr/>
              <w:t>“</w:t>
            </w:r>
            <w:r>
              <w:rPr>
                <w:rFonts w:ascii="Times New Roman" w:hAnsi="Times New Roman"/>
                <w:b/>
                <w:sz w:val="20"/>
              </w:rPr>
              <w:t>Synlogic Allocation Percentage</w:t>
            </w:r>
            <w:r>
              <w:rPr>
                <w:rFonts w:ascii="Times New Roman" w:hAnsi="Times New Roman"/>
                <w:sz w:val="20"/>
              </w:rPr>
              <w:t xml:space="preserve">” means the quotient (rounded to four decimal places) determined by </w:t>
            </w:r>
            <w:r>
              <w:rPr>
                <w:rFonts w:ascii="Times New Roman" w:hAnsi="Times New Roman"/>
                <w:i/>
                <w:sz w:val="20"/>
              </w:rPr>
              <w:t>dividing</w:t>
            </w:r>
            <w:r>
              <w:rPr>
                <w:rFonts w:ascii="Times New Roman" w:hAnsi="Times New Roman"/>
                <w:sz w:val="20"/>
              </w:rPr>
              <w:t xml:space="preserve"> (A) the Synlogic Valuation </w:t>
            </w:r>
            <w:r>
              <w:rPr>
                <w:rFonts w:ascii="Times New Roman" w:hAnsi="Times New Roman"/>
                <w:i/>
                <w:sz w:val="20"/>
              </w:rPr>
              <w:t>by</w:t>
            </w:r>
            <w:r>
              <w:rPr>
                <w:rFonts w:ascii="Times New Roman" w:hAnsi="Times New Roman"/>
                <w:sz w:val="20"/>
              </w:rPr>
              <w:t xml:space="preserve"> (B) the Aggregate 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w:t>
            </w:r>
          </w:p>
        </w:tc>
        <w:tc>
          <w:tcPr>
            <w:tcW w:w="9289" w:type="dxa"/>
            <w:tcBorders/>
          </w:tcPr>
          <w:p>
            <w:pPr>
              <w:pStyle w:val="TableContents"/>
              <w:bidi w:val="0"/>
              <w:spacing w:before="0" w:after="0"/>
              <w:jc w:val="left"/>
              <w:rPr/>
            </w:pPr>
            <w:r>
              <w:rPr/>
              <w:t>“</w:t>
            </w:r>
            <w:r>
              <w:rPr>
                <w:rFonts w:ascii="Times New Roman" w:hAnsi="Times New Roman"/>
                <w:b/>
                <w:sz w:val="20"/>
              </w:rPr>
              <w:t>Synlogic Equity Value</w:t>
            </w:r>
            <w:r>
              <w:rPr>
                <w:rFonts w:ascii="Times New Roman" w:hAnsi="Times New Roman"/>
                <w:sz w:val="20"/>
              </w:rPr>
              <w:t xml:space="preserve">” means $18,000,000;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(xi)</w:t>
            </w:r>
          </w:p>
        </w:tc>
        <w:tc>
          <w:tcPr>
            <w:tcW w:w="9288" w:type="dxa"/>
            <w:tcBorders/>
          </w:tcPr>
          <w:p>
            <w:pPr>
              <w:pStyle w:val="TableContents"/>
              <w:bidi w:val="0"/>
              <w:spacing w:before="0" w:after="0"/>
              <w:jc w:val="left"/>
              <w:rPr/>
            </w:pPr>
            <w:r>
              <w:rPr/>
              <w:t>“</w:t>
            </w:r>
            <w:r>
              <w:rPr>
                <w:rFonts w:ascii="Times New Roman" w:hAnsi="Times New Roman"/>
                <w:b/>
                <w:sz w:val="20"/>
              </w:rPr>
              <w:t>Synlogic Merger Shares</w:t>
            </w:r>
            <w:r>
              <w:rPr>
                <w:rFonts w:ascii="Times New Roman" w:hAnsi="Times New Roman"/>
                <w:sz w:val="20"/>
              </w:rPr>
              <w:t xml:space="preserve">” means the product determined by multiplying (i) the Post-Closing Parent Shares </w:t>
            </w:r>
            <w:r>
              <w:rPr>
                <w:rFonts w:ascii="Times New Roman" w:hAnsi="Times New Roman"/>
                <w:i/>
                <w:sz w:val="20"/>
              </w:rPr>
              <w:t>by</w:t>
            </w:r>
            <w:r>
              <w:rPr>
                <w:rFonts w:ascii="Times New Roman" w:hAnsi="Times New Roman"/>
                <w:sz w:val="20"/>
              </w:rPr>
              <w:t xml:space="preserve"> (ii) the Synlogic Allocation Percentage;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(xii)</w:t>
            </w:r>
          </w:p>
        </w:tc>
        <w:tc>
          <w:tcPr>
            <w:tcW w:w="9288" w:type="dxa"/>
            <w:tcBorders/>
          </w:tcPr>
          <w:p>
            <w:pPr>
              <w:pStyle w:val="TableContents"/>
              <w:bidi w:val="0"/>
              <w:spacing w:before="0" w:after="0"/>
              <w:jc w:val="left"/>
              <w:rPr/>
            </w:pPr>
            <w:r>
              <w:rPr/>
              <w:t>“</w:t>
            </w:r>
            <w:r>
              <w:rPr>
                <w:rFonts w:ascii="Times New Roman" w:hAnsi="Times New Roman"/>
                <w:b/>
                <w:sz w:val="20"/>
              </w:rPr>
              <w:t>Synlogic Target Net Cash</w:t>
            </w:r>
            <w:r>
              <w:rPr>
                <w:rFonts w:ascii="Times New Roman" w:hAnsi="Times New Roman"/>
                <w:sz w:val="20"/>
              </w:rPr>
              <w:t xml:space="preserve">” means $6,000,000;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(xiii)</w:t>
            </w:r>
          </w:p>
        </w:tc>
        <w:tc>
          <w:tcPr>
            <w:tcW w:w="9288" w:type="dxa"/>
            <w:tcBorders/>
          </w:tcPr>
          <w:p>
            <w:pPr>
              <w:pStyle w:val="TableContents"/>
              <w:bidi w:val="0"/>
              <w:spacing w:before="0" w:after="0"/>
              <w:jc w:val="left"/>
              <w:rPr/>
            </w:pPr>
            <w:r>
              <w:rPr/>
              <w:t>“</w:t>
            </w:r>
            <w:r>
              <w:rPr>
                <w:rFonts w:ascii="Times New Roman" w:hAnsi="Times New Roman"/>
                <w:b/>
                <w:sz w:val="20"/>
              </w:rPr>
              <w:t>Synlogic Valuation</w:t>
            </w:r>
            <w:r>
              <w:rPr>
                <w:rFonts w:ascii="Times New Roman" w:hAnsi="Times New Roman"/>
                <w:sz w:val="20"/>
              </w:rPr>
              <w:t xml:space="preserve">” means the Synlogic Equity Value; </w:t>
            </w:r>
            <w:r>
              <w:rPr>
                <w:rFonts w:ascii="Times New Roman" w:hAnsi="Times New Roman"/>
                <w:sz w:val="20"/>
                <w:u w:val="single"/>
              </w:rPr>
              <w:t>provided</w:t>
            </w:r>
            <w:r>
              <w:rPr>
                <w:rFonts w:ascii="Times New Roman" w:hAnsi="Times New Roman"/>
                <w:sz w:val="20"/>
              </w:rPr>
              <w:t xml:space="preserve">, that if the Final Synlogic Net Cash is above or below the Synlogic Target Net Cash, then the Synlogic Valuation will be adjusted (up or down, as applicable) on a dollar-for-dollar basis by the difference of (i) the Final Synlogic Net Cash and (ii) the Synlogic Target Net Cash;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the Synlogic Valuation be less than $8,000,000; 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Concurrent Financing Proceeds shall not be included in the calculation or determination of the Synlogic Valuation or any component thereof. Set forth on </w:t>
      </w:r>
      <w:r>
        <w:rPr>
          <w:rFonts w:ascii="Times New Roman" w:hAnsi="Times New Roman"/>
          <w:sz w:val="20"/>
          <w:u w:val="single"/>
        </w:rPr>
        <w:t>Section 1.1(a)(ii)</w:t>
      </w:r>
      <w:r>
        <w:rPr>
          <w:rFonts w:ascii="Times New Roman" w:hAnsi="Times New Roman"/>
          <w:sz w:val="20"/>
        </w:rPr>
        <w:t xml:space="preserve"> on the Caldera Disclosure Schedule is an illustrative example of the calculation of the Merger Shares. </w:t>
      </w:r>
    </w:p>
    <w:p>
      <w:pPr>
        <w:pStyle w:val="TextBody"/>
        <w:bidi w:val="0"/>
        <w:spacing w:before="240" w:after="0"/>
        <w:jc w:val="left"/>
        <w:rPr/>
      </w:pPr>
      <w:r>
        <w:rPr/>
        <w:t>“</w:t>
      </w:r>
      <w:r>
        <w:rPr>
          <w:rFonts w:ascii="Times New Roman" w:hAnsi="Times New Roman"/>
          <w:b/>
          <w:sz w:val="20"/>
        </w:rPr>
        <w:t>Multiemployer Plan</w:t>
      </w:r>
      <w:r>
        <w:rPr>
          <w:rFonts w:ascii="Times New Roman" w:hAnsi="Times New Roman"/>
          <w:sz w:val="20"/>
        </w:rPr>
        <w:t xml:space="preserve">” means a “multiemployer plan,” as defined in Section 3(37) or 4001(a)(3)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Multiple Employer Plan</w:t>
      </w:r>
      <w:r>
        <w:rPr>
          <w:rFonts w:ascii="Times New Roman" w:hAnsi="Times New Roman"/>
          <w:sz w:val="20"/>
        </w:rPr>
        <w:t xml:space="preserve">” means a “multiple employer plan” as described in Section 413(c) of the Code. </w:t>
      </w:r>
    </w:p>
    <w:p>
      <w:pPr>
        <w:pStyle w:val="TextBody"/>
        <w:bidi w:val="0"/>
        <w:spacing w:before="240" w:after="0"/>
        <w:jc w:val="left"/>
        <w:rPr/>
      </w:pPr>
      <w:r>
        <w:rPr/>
        <w:t>“</w:t>
      </w:r>
      <w:r>
        <w:rPr>
          <w:rFonts w:ascii="Times New Roman" w:hAnsi="Times New Roman"/>
          <w:b/>
          <w:sz w:val="20"/>
        </w:rPr>
        <w:t>Multiple Employer Welfare Arrangement</w:t>
      </w:r>
      <w:r>
        <w:rPr>
          <w:rFonts w:ascii="Times New Roman" w:hAnsi="Times New Roman"/>
          <w:sz w:val="20"/>
        </w:rPr>
        <w:t xml:space="preserve">” means a “multiple employer welfare arrangement” within the meaning of Section 3(40) of ERISA.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which, for the avoidance of doubt, does not include the OTC Market Group, Inc. </w:t>
      </w:r>
    </w:p>
    <w:p>
      <w:pPr>
        <w:pStyle w:val="TextBody"/>
        <w:bidi w:val="0"/>
        <w:spacing w:before="240" w:after="0"/>
        <w:jc w:val="left"/>
        <w:rPr/>
      </w:pPr>
      <w:r>
        <w:rPr/>
        <w:t>“</w:t>
      </w:r>
      <w:r>
        <w:rPr>
          <w:rFonts w:ascii="Times New Roman" w:hAnsi="Times New Roman"/>
          <w:b/>
          <w:sz w:val="20"/>
        </w:rPr>
        <w:t>Order</w:t>
      </w:r>
      <w:r>
        <w:rPr>
          <w:rFonts w:ascii="Times New Roman" w:hAnsi="Times New Roman"/>
          <w:sz w:val="20"/>
        </w:rPr>
        <w:t xml:space="preserve">”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 excluding any office actions and other decisions to the extent arising from ex parte proceedings conducted in the ordinary course of prosecuting or maintaining any registration or application for registration of any Patent or Trademark. </w:t>
      </w:r>
    </w:p>
    <w:p>
      <w:pPr>
        <w:pStyle w:val="TextBody"/>
        <w:bidi w:val="0"/>
        <w:spacing w:before="240" w:after="0"/>
        <w:jc w:val="left"/>
        <w:rPr/>
      </w:pPr>
      <w:r>
        <w:rPr/>
        <w:t>“</w:t>
      </w:r>
      <w:r>
        <w:rPr>
          <w:rFonts w:ascii="Times New Roman" w:hAnsi="Times New Roman"/>
          <w:b/>
          <w:sz w:val="20"/>
        </w:rPr>
        <w:t>Ordinary Course of Business</w:t>
      </w:r>
      <w:r>
        <w:rPr>
          <w:rFonts w:ascii="Times New Roman" w:hAnsi="Times New Roman"/>
          <w:sz w:val="20"/>
        </w:rPr>
        <w:t xml:space="preserve">” means, in the case of each of Caldera and Synlogic, such actions taken in the ordinary course of its normal operations. </w:t>
      </w:r>
    </w:p>
    <w:p>
      <w:pPr>
        <w:pStyle w:val="TextBody"/>
        <w:bidi w:val="0"/>
        <w:spacing w:before="240" w:after="0"/>
        <w:jc w:val="left"/>
        <w:rPr/>
      </w:pPr>
      <w:r>
        <w:rPr/>
        <w:t>“</w:t>
      </w:r>
      <w:r>
        <w:rPr>
          <w:rFonts w:ascii="Times New Roman" w:hAnsi="Times New Roman"/>
          <w:b/>
          <w:sz w:val="20"/>
        </w:rPr>
        <w:t>Organizational Documents</w:t>
      </w:r>
      <w:r>
        <w:rPr>
          <w:rFonts w:ascii="Times New Roman" w:hAnsi="Times New Roman"/>
          <w:sz w:val="20"/>
        </w:rPr>
        <w:t xml:space="preserve">” means, with respect to any Person (other than an individual), (i) the certificate or articles of association, formation, incorporation or organization or limited partnership, and any joint venture, limited liability company, operating or partnership agreement and other similar documents adopted or filed in connection with the creation, formation or organization of such Person and (ii) all bylaws, regulations and similar documents or agreements relating to the organization or governance of such Person, in each case, as amended or supplemented. </w:t>
      </w:r>
    </w:p>
    <w:p>
      <w:pPr>
        <w:pStyle w:val="TextBody"/>
        <w:bidi w:val="0"/>
        <w:spacing w:before="240" w:after="0"/>
        <w:jc w:val="left"/>
        <w:rPr/>
      </w:pPr>
      <w:r>
        <w:rPr/>
        <w:t>“</w:t>
      </w:r>
      <w:r>
        <w:rPr>
          <w:rFonts w:ascii="Times New Roman" w:hAnsi="Times New Roman"/>
          <w:b/>
          <w:sz w:val="20"/>
        </w:rPr>
        <w:t>Parent Common Stock</w:t>
      </w:r>
      <w:r>
        <w:rPr>
          <w:rFonts w:ascii="Times New Roman" w:hAnsi="Times New Roman"/>
          <w:sz w:val="20"/>
        </w:rPr>
        <w:t xml:space="preserve">” means the common stock, $0.001 par value per share, of Parent. </w:t>
      </w:r>
    </w:p>
    <w:p>
      <w:pPr>
        <w:pStyle w:val="TextBody"/>
        <w:bidi w:val="0"/>
        <w:spacing w:before="240" w:after="0"/>
        <w:jc w:val="left"/>
        <w:rPr/>
      </w:pPr>
      <w:r>
        <w:rPr/>
        <w:t>“</w:t>
      </w:r>
      <w:r>
        <w:rPr>
          <w:rFonts w:ascii="Times New Roman" w:hAnsi="Times New Roman"/>
          <w:b/>
          <w:sz w:val="20"/>
        </w:rPr>
        <w:t>Party</w:t>
      </w:r>
      <w:r>
        <w:rPr>
          <w:rFonts w:ascii="Times New Roman" w:hAnsi="Times New Roman"/>
          <w:sz w:val="20"/>
        </w:rPr>
        <w:t>” or “</w:t>
      </w:r>
      <w:r>
        <w:rPr>
          <w:rFonts w:ascii="Times New Roman" w:hAnsi="Times New Roman"/>
          <w:b/>
          <w:sz w:val="20"/>
        </w:rPr>
        <w:t>Parties</w:t>
      </w:r>
      <w:r>
        <w:rPr>
          <w:rFonts w:ascii="Times New Roman" w:hAnsi="Times New Roman"/>
          <w:sz w:val="20"/>
        </w:rPr>
        <w:t xml:space="preserve">” means Caldera, Caldera Merger Sub, Synlogic, Synlogic Merger Sub and Parent. </w:t>
      </w:r>
    </w:p>
    <w:p>
      <w:pPr>
        <w:pStyle w:val="TextBody"/>
        <w:bidi w:val="0"/>
        <w:spacing w:before="240" w:after="0"/>
        <w:jc w:val="left"/>
        <w:rPr/>
      </w:pPr>
      <w:r>
        <w:rPr/>
        <w:t>“</w:t>
      </w:r>
      <w:r>
        <w:rPr>
          <w:rFonts w:ascii="Times New Roman" w:hAnsi="Times New Roman"/>
          <w:b/>
          <w:sz w:val="20"/>
        </w:rPr>
        <w:t>Permitted Encumbrance</w:t>
      </w:r>
      <w:r>
        <w:rPr>
          <w:rFonts w:ascii="Times New Roman" w:hAnsi="Times New Roman"/>
          <w:sz w:val="20"/>
        </w:rPr>
        <w:t xml:space="preserve">” means (i) any statutory liens for current Taxes not yet due and payable or for Taxes that are being contested in good faith and for which adequate reserves have been made on the Caldera Balance Sheet or the Synlogic Balance Sheet, as applicable, in accordance with GAAP, (ii) minor liens that have arisen in the Ordinary Course of Business and that do not (in any case or in the aggregate) materially detract from the value of the assets subject thereto or materially impair the operations of Caldera or Synlogic, as applicable, (iii) statutory liens to secure obligations to landlords, lessors or renters under leases or rental agreements, (iv) deposits or pledges made in connection with, or to secure payment of, workers’ compensation, unemployment insurance or similar programs mandated by Law, (v) statutory liens in favor of carriers, warehousemen, mechanics and materialmen, to secure claims for labor, materials or supplies, (vi) liens arising under applicable securities Law, (vii) imperfections of title with respect to Intellectual Property Rights that do not (in any case or in the aggregate) materially detract from the value of the assets subject thereto or materially impair the operations of Caldera or Synlogic, as applicable, and (viii) non-exclusive licenses of Intellectual Property granted by Synlogic or Caldera, as applicable, in the Ordinary Course of Business and that do not (in any case or in the aggregate) materially detract from the value of the Intellectual Property Rights subject thereto.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Entity or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Personal Information</w:t>
      </w:r>
      <w:r>
        <w:rPr>
          <w:rFonts w:ascii="Times New Roman" w:hAnsi="Times New Roman"/>
          <w:sz w:val="20"/>
        </w:rPr>
        <w:t xml:space="preserve">” means (i) data and information concerning an identifiable natural person, or (ii) any information that is otherwise considered “personally identifiable information,” “personal information,” “personal data,” or other analogous term under Privacy Laws. </w:t>
      </w:r>
    </w:p>
    <w:p>
      <w:pPr>
        <w:pStyle w:val="TextBody"/>
        <w:bidi w:val="0"/>
        <w:spacing w:before="240" w:after="0"/>
        <w:jc w:val="left"/>
        <w:rPr/>
      </w:pPr>
      <w:r>
        <w:rPr/>
        <w:t>“</w:t>
      </w:r>
      <w:r>
        <w:rPr>
          <w:rFonts w:ascii="Times New Roman" w:hAnsi="Times New Roman"/>
          <w:b/>
          <w:sz w:val="20"/>
        </w:rPr>
        <w:t>Privacy Laws</w:t>
      </w:r>
      <w:r>
        <w:rPr>
          <w:rFonts w:ascii="Times New Roman" w:hAnsi="Times New Roman"/>
          <w:sz w:val="20"/>
        </w:rPr>
        <w:t xml:space="preserve">” mean Laws relating to privacy, data security and/or collection, use or other processing of Personal Information. </w:t>
      </w:r>
    </w:p>
    <w:p>
      <w:pPr>
        <w:pStyle w:val="TextBody"/>
        <w:bidi w:val="0"/>
        <w:spacing w:before="240" w:after="0"/>
        <w:jc w:val="left"/>
        <w:rPr/>
      </w:pPr>
      <w:r>
        <w:rPr/>
        <w:t>“</w:t>
      </w:r>
      <w:r>
        <w:rPr>
          <w:rFonts w:ascii="Times New Roman" w:hAnsi="Times New Roman"/>
          <w:b/>
          <w:sz w:val="20"/>
        </w:rPr>
        <w:t>Representatives</w:t>
      </w:r>
      <w:r>
        <w:rPr>
          <w:rFonts w:ascii="Times New Roman" w:hAnsi="Times New Roman"/>
          <w:sz w:val="20"/>
        </w:rPr>
        <w:t xml:space="preserve">” means, with respect to any Person, such Person’s directors, officers, employees, agents, attorneys, accountants, investment bankers, advisors and representatives. </w:t>
      </w:r>
    </w:p>
    <w:p>
      <w:pPr>
        <w:pStyle w:val="TextBody"/>
        <w:bidi w:val="0"/>
        <w:spacing w:before="240" w:after="0"/>
        <w:jc w:val="left"/>
        <w:rPr/>
      </w:pPr>
      <w:r>
        <w:rPr/>
        <w:t>“</w:t>
      </w:r>
      <w:r>
        <w:rPr>
          <w:rFonts w:ascii="Times New Roman" w:hAnsi="Times New Roman"/>
          <w:b/>
          <w:sz w:val="20"/>
        </w:rPr>
        <w:t>Sarbanes-Oxley Act</w:t>
      </w:r>
      <w:r>
        <w:rPr>
          <w:rFonts w:ascii="Times New Roman" w:hAnsi="Times New Roman"/>
          <w:sz w:val="20"/>
        </w:rPr>
        <w:t xml:space="preserve">” means the Sarbanes-Oxley Act of 2002.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240" w:after="0"/>
        <w:jc w:val="left"/>
        <w:rPr/>
      </w:pPr>
      <w:r>
        <w:rPr/>
        <w:t>“</w:t>
      </w:r>
      <w:r>
        <w:rPr>
          <w:rFonts w:ascii="Times New Roman" w:hAnsi="Times New Roman"/>
          <w:b/>
          <w:sz w:val="20"/>
        </w:rPr>
        <w:t>Specified Stockholders</w:t>
      </w:r>
      <w:r>
        <w:rPr>
          <w:rFonts w:ascii="Times New Roman" w:hAnsi="Times New Roman"/>
          <w:sz w:val="20"/>
        </w:rPr>
        <w:t xml:space="preserve">” means the Synlogic stockholders party to the Synlogic Stockholder Support Agreements. </w:t>
      </w:r>
    </w:p>
    <w:p>
      <w:pPr>
        <w:pStyle w:val="TextBody"/>
        <w:bidi w:val="0"/>
        <w:spacing w:before="240" w:after="0"/>
        <w:jc w:val="left"/>
        <w:rPr/>
      </w:pPr>
      <w:r>
        <w:rPr/>
        <w:t>“</w:t>
      </w:r>
      <w:r>
        <w:rPr>
          <w:rFonts w:ascii="Times New Roman" w:hAnsi="Times New Roman"/>
          <w:b/>
          <w:sz w:val="20"/>
        </w:rPr>
        <w:t>Standard IP Contracts</w:t>
      </w:r>
      <w:r>
        <w:rPr>
          <w:rFonts w:ascii="Times New Roman" w:hAnsi="Times New Roman"/>
          <w:sz w:val="20"/>
        </w:rPr>
        <w:t xml:space="preserve">” means any and all such Contracts to the extent they fall into one or more of the following categories: (A) non-exclusive licenses for any off-the-shelf software or software-as-a-service that are generally commercially available on nondiscriminatory pricing terms, and for which such software or software-as-a-service is not incorporated into, or distributed with, the products or services provided by Synlogic or Caldera, as applicable, or its Subsidiaries; (B) non-disclosure agreements, (C) employment agreements, employee invention assignment agreements, consulting services agreements, clinical trial agreements, sponsored research agreements and materials transfer agreements, entered into in the Ordinary Course of Business; (D) licenses for open source software; (E) Contracts with any employees, contractors or service providers of Synlogic or Caldera, as applicable, or any other Contracts entered into in the Ordinary Course of Business, in each case, except to the extent such Contracts include a transfer of ownership of, or grant of rights to use for the development, supply, manufacturing or commercialization of products under, any material Intellectual Property rights owned by Synlogic or Caldera, as applicable, or its Subsidiaries (other than on behalf of or for the benefit of Synlogic or Caldera, as applicable, or its Subsidiaries); (E) transfers or grants of immaterial incidental rights (e.g., feedback or publicity rights) that are incidental to the primary purpose of the Contract (entered into in the Ordinary Course of Business) in which they are included; and (G) non-exclusive licenses granted in the Ordinary Course of Business by Synlogic or Caldera, as applicable, or its Subsidiaries to its customers, end users or distributors in connection with its sale of products. </w:t>
      </w:r>
    </w:p>
    <w:p>
      <w:pPr>
        <w:pStyle w:val="TextBody"/>
        <w:bidi w:val="0"/>
        <w:spacing w:before="240" w:after="0"/>
        <w:jc w:val="left"/>
        <w:rPr/>
      </w:pPr>
      <w:r>
        <w:rPr/>
        <w:t>“</w:t>
      </w:r>
      <w:r>
        <w:rPr>
          <w:rFonts w:ascii="Times New Roman" w:hAnsi="Times New Roman"/>
          <w:b/>
          <w:sz w:val="20"/>
        </w:rPr>
        <w:t>Subsequent Transaction</w:t>
      </w:r>
      <w:r>
        <w:rPr>
          <w:rFonts w:ascii="Times New Roman" w:hAnsi="Times New Roman"/>
          <w:sz w:val="20"/>
        </w:rPr>
        <w:t xml:space="preserve">” means any Acquisition Transaction (with all references to 20% in the definition of Acquisition Transaction being treated as references to 50% for this purpose).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 Person, an Entity of which more than 50% of the voting power of the equity securities or equity interests is owned, directly or indirectly, by such Person. </w:t>
      </w:r>
    </w:p>
    <w:p>
      <w:pPr>
        <w:pStyle w:val="TextBody"/>
        <w:bidi w:val="0"/>
        <w:spacing w:before="240" w:after="0"/>
        <w:jc w:val="left"/>
        <w:rPr/>
      </w:pPr>
      <w:r>
        <w:rPr/>
        <w:t>“</w:t>
      </w:r>
      <w:r>
        <w:rPr>
          <w:rFonts w:ascii="Times New Roman" w:hAnsi="Times New Roman"/>
          <w:b/>
          <w:sz w:val="20"/>
        </w:rPr>
        <w:t>Superior Offer</w:t>
      </w:r>
      <w:r>
        <w:rPr>
          <w:rFonts w:ascii="Times New Roman" w:hAnsi="Times New Roman"/>
          <w:sz w:val="20"/>
        </w:rPr>
        <w:t xml:space="preserve">” means an unsolicited bona fide written Acquisition Proposal (with all references to 20% in the definition of Acquisition Transaction being treated as references to 50% for these purposes) that: (i) was not obtained or made as a direct or indirect result of a breach of (or in violation of) this Agreement and (ii) is on terms and conditions that the Caldera Board or the Synlogic Board, as applicable, determines in good faith, based on such matters that it deems relevant (including the likelihood of consummation thereof and the financing terms and any termination or break-up fees and conditions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consummation thereof), as well as any written offer by the other Party to this Agreement to amend the terms of this Agreement, and following consultation with its outside legal counsel and financial advisors, if any, are more favorable, from a financial point of view, to Caldera’s stockholders or Synlogic’s stockholders, as applicable, than the terms of the Contemplated Transactions and is not subject to any financing conditions (and if financing is required, such financing is then fully committed to the third party). </w:t>
      </w:r>
    </w:p>
    <w:p>
      <w:pPr>
        <w:pStyle w:val="TextBody"/>
        <w:bidi w:val="0"/>
        <w:spacing w:before="240" w:after="0"/>
        <w:jc w:val="left"/>
        <w:rPr/>
      </w:pPr>
      <w:r>
        <w:rPr/>
        <w:t>“</w:t>
      </w:r>
      <w:r>
        <w:rPr>
          <w:rFonts w:ascii="Times New Roman" w:hAnsi="Times New Roman"/>
          <w:b/>
          <w:sz w:val="20"/>
        </w:rPr>
        <w:t>Synlogic Associate</w:t>
      </w:r>
      <w:r>
        <w:rPr>
          <w:rFonts w:ascii="Times New Roman" w:hAnsi="Times New Roman"/>
          <w:sz w:val="20"/>
        </w:rPr>
        <w:t xml:space="preserve">” means any current or former employee, officer, director, individual independent contractor or other individual non-employee service provider of Synlogic or any of its Subsidiaries. </w:t>
      </w:r>
    </w:p>
    <w:p>
      <w:pPr>
        <w:pStyle w:val="TextBody"/>
        <w:bidi w:val="0"/>
        <w:spacing w:before="240" w:after="0"/>
        <w:jc w:val="left"/>
        <w:rPr/>
      </w:pPr>
      <w:r>
        <w:rPr/>
        <w:t>“</w:t>
      </w:r>
      <w:r>
        <w:rPr>
          <w:rFonts w:ascii="Times New Roman" w:hAnsi="Times New Roman"/>
          <w:b/>
          <w:sz w:val="20"/>
        </w:rPr>
        <w:t>Synlogic Balance Sheet</w:t>
      </w:r>
      <w:r>
        <w:rPr>
          <w:rFonts w:ascii="Times New Roman" w:hAnsi="Times New Roman"/>
          <w:sz w:val="20"/>
        </w:rPr>
        <w:t>” means the audited balance sheet of Synlogic for the year ended December 31, 2025</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Synlogic Capitalization Representations</w:t>
      </w:r>
      <w:r>
        <w:rPr>
          <w:rFonts w:ascii="Times New Roman" w:hAnsi="Times New Roman"/>
          <w:sz w:val="20"/>
        </w:rPr>
        <w:t xml:space="preserve">” means the representations and warranties of Synlogic set forth in </w:t>
      </w:r>
      <w:r>
        <w:rPr>
          <w:rFonts w:ascii="Times New Roman" w:hAnsi="Times New Roman"/>
          <w:sz w:val="20"/>
          <w:u w:val="single"/>
        </w:rPr>
        <w:t>Sections 4.6(a)</w:t>
      </w:r>
      <w:r>
        <w:rPr>
          <w:rFonts w:ascii="Times New Roman" w:hAnsi="Times New Roman"/>
          <w:sz w:val="20"/>
        </w:rPr>
        <w:t xml:space="preserve"> and </w:t>
      </w:r>
      <w:r>
        <w:rPr>
          <w:rFonts w:ascii="Times New Roman" w:hAnsi="Times New Roman"/>
          <w:sz w:val="20"/>
          <w:u w:val="single"/>
        </w:rPr>
        <w:t>4.6(d)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Synlogic Contract</w:t>
      </w:r>
      <w:r>
        <w:rPr>
          <w:rFonts w:ascii="Times New Roman" w:hAnsi="Times New Roman"/>
          <w:sz w:val="20"/>
        </w:rPr>
        <w:t xml:space="preserve">” means any Contract: (i) to which Synlogic or any of its Subsidiaries is a party, (ii) by which Synlogic or any Synlogic Owned IP Rights or any other asset of Synlogic or any of its Subsidiaries, is or may become bound or under which Synlogic or any of its Subsidiaries has, or may become subject to, any obligation or (iii) under which Synlogic or any of its Subsidiaries has or may acquire any right or interest. </w:t>
      </w:r>
    </w:p>
    <w:p>
      <w:pPr>
        <w:pStyle w:val="TextBody"/>
        <w:bidi w:val="0"/>
        <w:spacing w:before="240" w:after="0"/>
        <w:jc w:val="left"/>
        <w:rPr/>
      </w:pPr>
      <w:r>
        <w:rPr/>
        <w:t>“</w:t>
      </w:r>
      <w:r>
        <w:rPr>
          <w:rFonts w:ascii="Times New Roman" w:hAnsi="Times New Roman"/>
          <w:b/>
          <w:sz w:val="20"/>
        </w:rPr>
        <w:t>Synlogic Covered Person</w:t>
      </w:r>
      <w:r>
        <w:rPr>
          <w:rFonts w:ascii="Times New Roman" w:hAnsi="Times New Roman"/>
          <w:sz w:val="20"/>
        </w:rPr>
        <w:t xml:space="preserve">” means, with respect to Synlogic as an “issuer” for purposes of Rule 506 promulgated under the Securities Act, any Person listed in the first paragraph of Rule 506(d)(1). </w:t>
      </w:r>
    </w:p>
    <w:p>
      <w:pPr>
        <w:pStyle w:val="TextBody"/>
        <w:bidi w:val="0"/>
        <w:spacing w:before="240" w:after="0"/>
        <w:jc w:val="left"/>
        <w:rPr/>
      </w:pPr>
      <w:r>
        <w:rPr/>
        <w:t>“</w:t>
      </w:r>
      <w:r>
        <w:rPr>
          <w:rFonts w:ascii="Times New Roman" w:hAnsi="Times New Roman"/>
          <w:b/>
          <w:sz w:val="20"/>
        </w:rPr>
        <w:t>Synlogic Employee Plan</w:t>
      </w:r>
      <w:r>
        <w:rPr>
          <w:rFonts w:ascii="Times New Roman" w:hAnsi="Times New Roman"/>
          <w:sz w:val="20"/>
        </w:rPr>
        <w:t xml:space="preserve">” means any Employee Plan that Synlogic or any of its Subsidiaries (i) sponsors, maintains, administers, or contributes to, or (ii) provides benefits under or through, or (iii) has any obligation to contribute to or provide benefits under or through, or (iv) may reasonably be expected to have any Liability with respect to (including on account of an ERISA Affiliate), or (v) utilizes to provide benefits to or otherwise cover any Synlogic Associate. </w:t>
      </w:r>
    </w:p>
    <w:p>
      <w:pPr>
        <w:pStyle w:val="TextBody"/>
        <w:bidi w:val="0"/>
        <w:spacing w:before="240" w:after="0"/>
        <w:jc w:val="left"/>
        <w:rPr/>
      </w:pPr>
      <w:r>
        <w:rPr/>
        <w:t>“</w:t>
      </w:r>
      <w:r>
        <w:rPr>
          <w:rFonts w:ascii="Times New Roman" w:hAnsi="Times New Roman"/>
          <w:b/>
          <w:sz w:val="20"/>
        </w:rPr>
        <w:t>Synlogic Equity Plans</w:t>
      </w:r>
      <w:r>
        <w:rPr>
          <w:rFonts w:ascii="Times New Roman" w:hAnsi="Times New Roman"/>
          <w:sz w:val="20"/>
        </w:rPr>
        <w:t xml:space="preserve">” means the Synlogic 2017 Stock Incentive Plan, as amended from time to time, the Synlogic 2023 Inducement Equity Incentive Award Plan, as amended from time to time and the Synlogic 2025 Equity Incentive Plan, as amended from time to time. </w:t>
      </w:r>
    </w:p>
    <w:p>
      <w:pPr>
        <w:pStyle w:val="TextBody"/>
        <w:bidi w:val="0"/>
        <w:spacing w:before="240" w:after="0"/>
        <w:jc w:val="left"/>
        <w:rPr/>
      </w:pPr>
      <w:r>
        <w:rPr/>
        <w:t>“</w:t>
      </w:r>
      <w:r>
        <w:rPr>
          <w:rFonts w:ascii="Times New Roman" w:hAnsi="Times New Roman"/>
          <w:b/>
          <w:sz w:val="20"/>
        </w:rPr>
        <w:t>Synlogic ESPP</w:t>
      </w:r>
      <w:r>
        <w:rPr>
          <w:rFonts w:ascii="Times New Roman" w:hAnsi="Times New Roman"/>
          <w:sz w:val="20"/>
        </w:rPr>
        <w:t xml:space="preserve">” means the Synlogic 2015 Employee Stock Purchase Plan, as amended from time to time. </w:t>
      </w:r>
    </w:p>
    <w:p>
      <w:pPr>
        <w:pStyle w:val="TextBody"/>
        <w:bidi w:val="0"/>
        <w:spacing w:before="240" w:after="0"/>
        <w:jc w:val="left"/>
        <w:rPr/>
      </w:pPr>
      <w:r>
        <w:rPr/>
        <w:t>“</w:t>
      </w:r>
      <w:r>
        <w:rPr>
          <w:rFonts w:ascii="Times New Roman" w:hAnsi="Times New Roman"/>
          <w:b/>
          <w:sz w:val="20"/>
        </w:rPr>
        <w:t>Synlogic Exchange Ratio</w:t>
      </w:r>
      <w:r>
        <w:rPr>
          <w:rFonts w:ascii="Times New Roman" w:hAnsi="Times New Roman"/>
          <w:sz w:val="20"/>
        </w:rPr>
        <w:t xml:space="preserve">” means the quotient (rounded to four decimal places) obtained by </w:t>
      </w:r>
      <w:r>
        <w:rPr>
          <w:rFonts w:ascii="Times New Roman" w:hAnsi="Times New Roman"/>
          <w:i/>
          <w:sz w:val="20"/>
        </w:rPr>
        <w:t>dividing</w:t>
      </w:r>
      <w:r>
        <w:rPr>
          <w:rFonts w:ascii="Times New Roman" w:hAnsi="Times New Roman"/>
          <w:sz w:val="20"/>
        </w:rPr>
        <w:t xml:space="preserve"> (i) the number of Synlogic Merger Shares </w:t>
      </w:r>
      <w:r>
        <w:rPr>
          <w:rFonts w:ascii="Times New Roman" w:hAnsi="Times New Roman"/>
          <w:i/>
          <w:sz w:val="20"/>
        </w:rPr>
        <w:t>by</w:t>
      </w:r>
      <w:r>
        <w:rPr>
          <w:rFonts w:ascii="Times New Roman" w:hAnsi="Times New Roman"/>
          <w:sz w:val="20"/>
        </w:rPr>
        <w:t xml:space="preserve"> (ii) the number of Synlogic Outstanding Shares. </w:t>
      </w:r>
    </w:p>
    <w:p>
      <w:pPr>
        <w:pStyle w:val="TextBody"/>
        <w:bidi w:val="0"/>
        <w:spacing w:before="240" w:after="0"/>
        <w:jc w:val="left"/>
        <w:rPr/>
      </w:pPr>
      <w:r>
        <w:rPr/>
        <w:t>“</w:t>
      </w:r>
      <w:r>
        <w:rPr>
          <w:rFonts w:ascii="Times New Roman" w:hAnsi="Times New Roman"/>
          <w:b/>
          <w:sz w:val="20"/>
        </w:rPr>
        <w:t>Synlogic Fundamental Representations</w:t>
      </w:r>
      <w:r>
        <w:rPr>
          <w:rFonts w:ascii="Times New Roman" w:hAnsi="Times New Roman"/>
          <w:sz w:val="20"/>
        </w:rPr>
        <w:t xml:space="preserve">” means the representations and warranties of Synlogic set forth in </w:t>
      </w:r>
      <w:r>
        <w:rPr>
          <w:rFonts w:ascii="Times New Roman" w:hAnsi="Times New Roman"/>
          <w:sz w:val="20"/>
          <w:u w:val="single"/>
        </w:rPr>
        <w:t>Sections 4.1(a)</w:t>
      </w:r>
      <w:r>
        <w:rPr>
          <w:rFonts w:ascii="Times New Roman" w:hAnsi="Times New Roman"/>
          <w:sz w:val="20"/>
        </w:rPr>
        <w:t xml:space="preserve">, </w:t>
      </w:r>
      <w:r>
        <w:rPr>
          <w:rFonts w:ascii="Times New Roman" w:hAnsi="Times New Roman"/>
          <w:sz w:val="20"/>
          <w:u w:val="single"/>
        </w:rPr>
        <w:t>4.1(b)</w:t>
      </w:r>
      <w:r>
        <w:rPr>
          <w:rFonts w:ascii="Times New Roman" w:hAnsi="Times New Roman"/>
          <w:sz w:val="20"/>
        </w:rPr>
        <w:t xml:space="preserve">, </w:t>
      </w:r>
      <w:r>
        <w:rPr>
          <w:rFonts w:ascii="Times New Roman" w:hAnsi="Times New Roman"/>
          <w:sz w:val="20"/>
          <w:u w:val="single"/>
        </w:rPr>
        <w:t>4.2</w:t>
      </w:r>
      <w:r>
        <w:rPr>
          <w:rFonts w:ascii="Times New Roman" w:hAnsi="Times New Roman"/>
          <w:sz w:val="20"/>
        </w:rPr>
        <w:t xml:space="preserve">, </w:t>
      </w:r>
      <w:r>
        <w:rPr>
          <w:rFonts w:ascii="Times New Roman" w:hAnsi="Times New Roman"/>
          <w:sz w:val="20"/>
          <w:u w:val="single"/>
        </w:rPr>
        <w:t>4.3</w:t>
      </w:r>
      <w:r>
        <w:rPr>
          <w:rFonts w:ascii="Times New Roman" w:hAnsi="Times New Roman"/>
          <w:sz w:val="20"/>
        </w:rPr>
        <w:t xml:space="preserve">, </w:t>
      </w:r>
      <w:r>
        <w:rPr>
          <w:rFonts w:ascii="Times New Roman" w:hAnsi="Times New Roman"/>
          <w:sz w:val="20"/>
          <w:u w:val="single"/>
        </w:rPr>
        <w:t>4.4</w:t>
      </w:r>
      <w:r>
        <w:rPr>
          <w:rFonts w:ascii="Times New Roman" w:hAnsi="Times New Roman"/>
          <w:sz w:val="20"/>
        </w:rPr>
        <w:t xml:space="preserve"> and </w:t>
      </w:r>
      <w:r>
        <w:rPr>
          <w:rFonts w:ascii="Times New Roman" w:hAnsi="Times New Roman"/>
          <w:sz w:val="20"/>
          <w:u w:val="single"/>
        </w:rPr>
        <w:t>4.22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Synlogic IP Rights</w:t>
      </w:r>
      <w:r>
        <w:rPr>
          <w:rFonts w:ascii="Times New Roman" w:hAnsi="Times New Roman"/>
          <w:sz w:val="20"/>
        </w:rPr>
        <w:t>” means all Intellectual Property rights that are (i) owned or purported to be owned, whether wholly or jointly with others, or controlled by Synlogic or any of its Subsidiaries (“</w:t>
      </w:r>
      <w:r>
        <w:rPr>
          <w:rFonts w:ascii="Times New Roman" w:hAnsi="Times New Roman"/>
          <w:b/>
          <w:sz w:val="20"/>
        </w:rPr>
        <w:t>Synlogic Owned IP Rights</w:t>
      </w:r>
      <w:r>
        <w:rPr>
          <w:rFonts w:ascii="Times New Roman" w:hAnsi="Times New Roman"/>
          <w:sz w:val="20"/>
        </w:rPr>
        <w:t>”), or (ii) licensed or sublicensed to Synlogic or any of its Subsidiaries (“</w:t>
      </w:r>
      <w:r>
        <w:rPr>
          <w:rFonts w:ascii="Times New Roman" w:hAnsi="Times New Roman"/>
          <w:b/>
          <w:sz w:val="20"/>
        </w:rPr>
        <w:t>Synlogic Licensed IP Rights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Synlogic IP Rights Agreement</w:t>
      </w:r>
      <w:r>
        <w:rPr>
          <w:rFonts w:ascii="Times New Roman" w:hAnsi="Times New Roman"/>
          <w:sz w:val="20"/>
        </w:rPr>
        <w:t xml:space="preserve">” means any Contract governing, transferring or licensing, any Synlogic IP Rights other than any confidential information provided under confidentiality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Synlogic ITM Option</w:t>
      </w:r>
      <w:r>
        <w:rPr>
          <w:rFonts w:ascii="Times New Roman" w:hAnsi="Times New Roman"/>
          <w:sz w:val="20"/>
        </w:rPr>
        <w:t xml:space="preserve">” means each Synlogic Option that is outstanding as of immediately prior to the Synlogic Effective Time with a per share exercise price less than the closing trading price of a share of Synlogic Common Stock on the last full trading day on which the Synlogic Common Stock is traded prior to the date on which the Synlogic Effective Time occurs. </w:t>
      </w:r>
    </w:p>
    <w:p>
      <w:pPr>
        <w:pStyle w:val="TextBody"/>
        <w:bidi w:val="0"/>
        <w:spacing w:before="240" w:after="0"/>
        <w:jc w:val="left"/>
        <w:rPr/>
      </w:pPr>
      <w:r>
        <w:rPr/>
        <w:t>“</w:t>
      </w:r>
      <w:r>
        <w:rPr>
          <w:rFonts w:ascii="Times New Roman" w:hAnsi="Times New Roman"/>
          <w:b/>
          <w:sz w:val="20"/>
        </w:rPr>
        <w:t>Synlogic Material Adverse Effect</w:t>
      </w:r>
      <w:r>
        <w:rPr>
          <w:rFonts w:ascii="Times New Roman" w:hAnsi="Times New Roman"/>
          <w:sz w:val="20"/>
        </w:rPr>
        <w:t xml:space="preserve">” means any Effect that, considered together with all other Effects that have occurred prior to the date of determination of the occurrence of a Synlogic Material Adverse Effect, has had or would reasonably be expected to have a material adverse effect on the business, assets, liabilities, financial condition or results of operations of Synlogic or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Effects arising or resulting from the following, alone or in combination, shall not be taken into account in determining whether there has been a Synlogic Material Adverse Effect: (i) the announcement of this Agreement, the pendency or the consummation of the Contemplated Transactions, including any adverse change in customer, supplier, governmental, landlord, employee or similar relationships resulting therefrom or with respect thereto (other than, in the case of this clause (i), for purposes of </w:t>
      </w:r>
      <w:r>
        <w:rPr>
          <w:rFonts w:ascii="Times New Roman" w:hAnsi="Times New Roman"/>
          <w:sz w:val="20"/>
          <w:u w:val="single"/>
        </w:rPr>
        <w:t>Section 6.4</w:t>
      </w:r>
      <w:r>
        <w:rPr>
          <w:rFonts w:ascii="Times New Roman" w:hAnsi="Times New Roman"/>
          <w:sz w:val="20"/>
        </w:rPr>
        <w:t xml:space="preserve">, or </w:t>
      </w:r>
      <w:r>
        <w:rPr>
          <w:rFonts w:ascii="Times New Roman" w:hAnsi="Times New Roman"/>
          <w:sz w:val="20"/>
          <w:u w:val="single"/>
        </w:rPr>
        <w:t>Section 6.5</w:t>
      </w:r>
      <w:r>
        <w:rPr>
          <w:rFonts w:ascii="Times New Roman" w:hAnsi="Times New Roman"/>
          <w:sz w:val="20"/>
        </w:rPr>
        <w:t>), (ii) the taking of any action, or the failure to take any action, by Synlogic that is expressly required to be taken or not taken under the terms and conditions of this Agreement, (iii) 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(iv) any change in, or any compliance with, GAAP or applicable Law or the interpretation thereof (</w:t>
      </w:r>
      <w:r>
        <w:rPr>
          <w:rFonts w:ascii="Times New Roman" w:hAnsi="Times New Roman"/>
          <w:sz w:val="20"/>
          <w:u w:val="single"/>
        </w:rPr>
        <w:t>provided</w:t>
      </w:r>
      <w:r>
        <w:rPr>
          <w:rFonts w:ascii="Times New Roman" w:hAnsi="Times New Roman"/>
          <w:sz w:val="20"/>
        </w:rPr>
        <w:t xml:space="preserve"> that, this clause (iv) does not exclude any Effect resulting from any underlying noncompliance with GAAP or applicable Law), (v) general economic, financial and capital markets, political conditions or conditions, including any instability in the banking sector, including the failure or placement into receivership of any financial institution, in each case generally affecting the industries in which Synlogic and its Subsidiaries operate or any changes in the conditions thereof, (vi) any change in the stock price or trading volume of Synlogic Common Stock, (vii) any change in the cash, position of Synlogic and its Subsidiaries which results from operations in the Ordinary Course of Business, or (viii) any failure of Synlogic to meet any projections, business plans or forecasts (provided that, this clause (viii) shall not prevent a determination that any change or effect underlying such failure to meet projections, business plans or forecasts has resulted in a Synlogic Material Adverse Effect (to the extent such change or effect is not otherwise excluded from this definition of Synlogic Material Adverse Effect)); except in each case with respect to clauses (iii), (iv) and (v), to the extent disproportionately affecting Synlogic and its Subsidiaries, taken as a whole, relative to other similarly situated companies in the industries in which Synlogic and its Subsidiaries operate. </w:t>
      </w:r>
    </w:p>
    <w:p>
      <w:pPr>
        <w:pStyle w:val="TextBody"/>
        <w:bidi w:val="0"/>
        <w:spacing w:before="240" w:after="0"/>
        <w:jc w:val="left"/>
        <w:rPr/>
      </w:pPr>
      <w:r>
        <w:rPr/>
        <w:t>“</w:t>
      </w:r>
      <w:r>
        <w:rPr>
          <w:rFonts w:ascii="Times New Roman" w:hAnsi="Times New Roman"/>
          <w:b/>
          <w:sz w:val="20"/>
        </w:rPr>
        <w:t>Synlogic Net Cash</w:t>
      </w:r>
      <w:r>
        <w:rPr>
          <w:rFonts w:ascii="Times New Roman" w:hAnsi="Times New Roman"/>
          <w:sz w:val="20"/>
        </w:rPr>
        <w:t xml:space="preserve">” means without duplication, and in the case of any deductions, to the extent unpaid by Synlogic or any of its Subsidiaries immediately prior to the Synlogic Effective Time, (i) Synlogic’s Cash and Cash Equivalents determined, to the extent in accordance with GAAP, in a manner consistent with the manner in which such items were historically determined and in accordance with the financial statements (including any related notes) contained or incorporated by reference in the Synlogic Balance Sheet; </w:t>
      </w:r>
      <w:r>
        <w:rPr>
          <w:rFonts w:ascii="Times New Roman" w:hAnsi="Times New Roman"/>
          <w:i/>
          <w:sz w:val="20"/>
          <w:u w:val="single"/>
        </w:rPr>
        <w:t>minus</w:t>
      </w:r>
      <w:r>
        <w:rPr>
          <w:rFonts w:ascii="Times New Roman" w:hAnsi="Times New Roman"/>
          <w:sz w:val="20"/>
        </w:rPr>
        <w:t xml:space="preserve"> (ii) all Transaction Expenses of Synlogic to the extent unpaid as of the Closing, and any Liabilities to any Synlogic Associate for change in control or transaction bonuses, retention bonuses, severance or other compensatory payments or benefits that are due and payable as a result of the completion of the Contemplated Transactions, either taken alone or in combination with any other event, including payments with “double trigger” provisions related to terminations occurring at or prior to the Closing (in each case, including the employer portion of any payroll or similar Taxes payable with respect thereto), </w:t>
      </w:r>
      <w:r>
        <w:rPr>
          <w:rFonts w:ascii="Times New Roman" w:hAnsi="Times New Roman"/>
          <w:i/>
          <w:sz w:val="20"/>
          <w:u w:val="single"/>
        </w:rPr>
        <w:t>minus</w:t>
      </w:r>
      <w:r>
        <w:rPr>
          <w:rFonts w:ascii="Times New Roman" w:hAnsi="Times New Roman"/>
          <w:sz w:val="20"/>
        </w:rPr>
        <w:t xml:space="preserve"> (iii) all long-term and short-term Liabilities of Synlogic as of immediately prior to the Synlogic Effective Time, including, without duplication, all Liabilities (A) with respect to accrued but unpaid bonuses, severance and vacation or paid time off (in each case, including the employer portion of any payroll or similar Taxes payable with respect thereto), (B) with respect to accounts payable and accrued expenses, (C) with respect to contractual commitments for future payments, whether absolute, contingent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otherwise, in connection with the Synlogic Real Estate Leases (including any payments due as a result of the termination thereof) and (D) with respect to contractual commitments for future payments, whether absolute, contingent or otherwise, pursuant to any Intellectual Property licensing agreements (including any payments due as a result of the termination thereof), </w:t>
      </w:r>
      <w:r>
        <w:rPr>
          <w:rFonts w:ascii="Times New Roman" w:hAnsi="Times New Roman"/>
          <w:i/>
          <w:sz w:val="20"/>
        </w:rPr>
        <w:t xml:space="preserve">minus </w:t>
      </w:r>
      <w:r>
        <w:rPr>
          <w:rFonts w:ascii="Times New Roman" w:hAnsi="Times New Roman"/>
          <w:sz w:val="20"/>
        </w:rPr>
        <w:t xml:space="preserve">(iv) all unpaid Liabilities and expenses incurred, or to be incurred, in connection with the wind-down of Synlogic’s business, </w:t>
      </w:r>
      <w:r>
        <w:rPr>
          <w:rFonts w:ascii="Times New Roman" w:hAnsi="Times New Roman"/>
          <w:i/>
          <w:sz w:val="20"/>
          <w:u w:val="single"/>
        </w:rPr>
        <w:t>minus</w:t>
      </w:r>
      <w:r>
        <w:rPr>
          <w:rFonts w:ascii="Times New Roman" w:hAnsi="Times New Roman"/>
          <w:sz w:val="20"/>
        </w:rPr>
        <w:t xml:space="preserve"> (v) the aggregate costs for obtaining the D&amp;O tail insurance policy under </w:t>
      </w:r>
      <w:r>
        <w:rPr>
          <w:rFonts w:ascii="Times New Roman" w:hAnsi="Times New Roman"/>
          <w:sz w:val="20"/>
          <w:u w:val="single"/>
        </w:rPr>
        <w:t>Section 7.6(d)</w:t>
      </w:r>
      <w:r>
        <w:rPr>
          <w:rFonts w:ascii="Times New Roman" w:hAnsi="Times New Roman"/>
          <w:sz w:val="20"/>
        </w:rPr>
        <w:t xml:space="preserve"> to the extent unpaid, </w:t>
      </w:r>
      <w:r>
        <w:rPr>
          <w:rFonts w:ascii="Times New Roman" w:hAnsi="Times New Roman"/>
          <w:i/>
          <w:sz w:val="20"/>
          <w:u w:val="single"/>
        </w:rPr>
        <w:t>minus</w:t>
      </w:r>
      <w:r>
        <w:rPr>
          <w:rFonts w:ascii="Times New Roman" w:hAnsi="Times New Roman"/>
          <w:sz w:val="20"/>
        </w:rPr>
        <w:t xml:space="preserve"> (vi) mutually agreed estimated settlement amounts and plaintiff fees and costs for any Legal Proceeding initiated, or threatened in writing against a Transaction Litigation Party and/or its directors or officers relating to the Registration Statement, existing as of the Closing (50% of such amounts in the case of Legal Proceedings or threatened Legal Proceedings based solely on disclosure in the Registration Statement or the Synlogic Proxy Statement or demands under Section 220 of the Delaware General Corporation Law reasonably expected to be resolved by supplemental disclosure). For avoidance of doubt, Cash and Cash Equivalents received in the Concurrent Financing will be excluded from the calculation of Synlogic Net Cash. </w:t>
      </w:r>
    </w:p>
    <w:p>
      <w:pPr>
        <w:pStyle w:val="TextBody"/>
        <w:bidi w:val="0"/>
        <w:spacing w:before="240" w:after="0"/>
        <w:jc w:val="left"/>
        <w:rPr/>
      </w:pPr>
      <w:r>
        <w:rPr/>
        <w:t>“</w:t>
      </w:r>
      <w:r>
        <w:rPr>
          <w:rFonts w:ascii="Times New Roman" w:hAnsi="Times New Roman"/>
          <w:b/>
          <w:sz w:val="20"/>
        </w:rPr>
        <w:t>Synlogic Option</w:t>
      </w:r>
      <w:r>
        <w:rPr>
          <w:rFonts w:ascii="Times New Roman" w:hAnsi="Times New Roman"/>
          <w:sz w:val="20"/>
        </w:rPr>
        <w:t xml:space="preserve">” means each option to purchase shares of Synlogic Common Stock granted by Synlogic, including, without limitation, under the Synlogic Equity Plans, but, for the avoidance of doubt, excluding the Synlogic ESPP. </w:t>
      </w:r>
    </w:p>
    <w:p>
      <w:pPr>
        <w:pStyle w:val="TextBody"/>
        <w:bidi w:val="0"/>
        <w:spacing w:before="240" w:after="0"/>
        <w:jc w:val="left"/>
        <w:rPr/>
      </w:pPr>
      <w:r>
        <w:rPr/>
        <w:t>“</w:t>
      </w:r>
      <w:r>
        <w:rPr>
          <w:rFonts w:ascii="Times New Roman" w:hAnsi="Times New Roman"/>
          <w:b/>
          <w:sz w:val="20"/>
        </w:rPr>
        <w:t>Synlogic Outstanding Shares</w:t>
      </w:r>
      <w:r>
        <w:rPr>
          <w:rFonts w:ascii="Times New Roman" w:hAnsi="Times New Roman"/>
          <w:sz w:val="20"/>
        </w:rPr>
        <w:t xml:space="preserve">” means the total number of shares of Synlogic Common Stock outstanding immediately prior to the Synlogic Effective Time expressed on a fully-diluted basis and assuming, without limitation or duplication, (A) the issuance of shares of Synlogic Common Stock as a result of the net exercise of all Synlogic ITM Options immediately prior to the Synlogic Effective Time, (B) the issuance of shares of Synlogic Common Stock as a result of the net exercise of all Synlogic Warrants immediately prior to the Synlogic Effective Time, and (C) the exclusion of shares of Synlogic Common Stock held by Synlogic as treasury stock or owned by Caldera or any of its Subsidiaries or any Subsidiary of Synlogic immediately prior to the Synlogic Effective Time. </w:t>
      </w:r>
    </w:p>
    <w:p>
      <w:pPr>
        <w:pStyle w:val="TextBody"/>
        <w:bidi w:val="0"/>
        <w:spacing w:before="240" w:after="0"/>
        <w:jc w:val="left"/>
        <w:rPr/>
      </w:pPr>
      <w:r>
        <w:rPr/>
        <w:t>“</w:t>
      </w:r>
      <w:r>
        <w:rPr>
          <w:rFonts w:ascii="Times New Roman" w:hAnsi="Times New Roman"/>
          <w:b/>
          <w:sz w:val="20"/>
        </w:rPr>
        <w:t>Synlogic Registered IP</w:t>
      </w:r>
      <w:r>
        <w:rPr>
          <w:rFonts w:ascii="Times New Roman" w:hAnsi="Times New Roman"/>
          <w:sz w:val="20"/>
        </w:rPr>
        <w:t xml:space="preserve">” means all Synlogic IP Rights, owned or purported to be owned by Synlogic or exclusively licensed to Synlogic or any of its Subsidiaries, that are registered, filed, issued or otherwise granted under the authority of, with or by any Governmental Authority, including all Patents, registered copyrights and registered trademarks and all applications and registrations for any of the foregoing. </w:t>
      </w:r>
    </w:p>
    <w:p>
      <w:pPr>
        <w:pStyle w:val="TextBody"/>
        <w:bidi w:val="0"/>
        <w:spacing w:before="240" w:after="0"/>
        <w:jc w:val="left"/>
        <w:rPr/>
      </w:pPr>
      <w:r>
        <w:rPr/>
        <w:t>“</w:t>
      </w:r>
      <w:r>
        <w:rPr>
          <w:rFonts w:ascii="Times New Roman" w:hAnsi="Times New Roman"/>
          <w:b/>
          <w:sz w:val="20"/>
        </w:rPr>
        <w:t>Synlogic Reverse Stock Split</w:t>
      </w:r>
      <w:r>
        <w:rPr>
          <w:rFonts w:ascii="Times New Roman" w:hAnsi="Times New Roman"/>
          <w:sz w:val="20"/>
        </w:rPr>
        <w:t xml:space="preserve">” means, subject to the approval by the Synlogic stockholders of an amendment to the Organizational Documents of the Synlogic authorizing the same, a reverse stock split of Synlogic Common Stock as may be effected by Synlogic upon a determination by the Synlogic Board no later than ten (10) calendar days following the Synlogic Stockholder Meeting. </w:t>
      </w:r>
    </w:p>
    <w:p>
      <w:pPr>
        <w:pStyle w:val="TextBody"/>
        <w:bidi w:val="0"/>
        <w:spacing w:before="240" w:after="0"/>
        <w:jc w:val="left"/>
        <w:rPr/>
      </w:pPr>
      <w:r>
        <w:rPr/>
        <w:t>“</w:t>
      </w:r>
      <w:r>
        <w:rPr>
          <w:rFonts w:ascii="Times New Roman" w:hAnsi="Times New Roman"/>
          <w:b/>
          <w:sz w:val="20"/>
        </w:rPr>
        <w:t>Synlogic Warrants</w:t>
      </w:r>
      <w:r>
        <w:rPr>
          <w:rFonts w:ascii="Times New Roman" w:hAnsi="Times New Roman"/>
          <w:sz w:val="20"/>
        </w:rPr>
        <w:t xml:space="preserve">” means those certain warrants to purchase an aggregate of 8,116,546 shares of Synlogic Common Stock, by and between Synlogic and the holders party thereto. </w:t>
      </w:r>
    </w:p>
    <w:p>
      <w:pPr>
        <w:pStyle w:val="TextBody"/>
        <w:bidi w:val="0"/>
        <w:spacing w:before="240" w:after="0"/>
        <w:jc w:val="left"/>
        <w:rPr/>
      </w:pPr>
      <w:r>
        <w:rPr/>
        <w:t>“</w:t>
      </w:r>
      <w:r>
        <w:rPr>
          <w:rFonts w:ascii="Times New Roman" w:hAnsi="Times New Roman"/>
          <w:b/>
          <w:sz w:val="20"/>
        </w:rPr>
        <w:t>Synlogic Triggering Event</w:t>
      </w:r>
      <w:r>
        <w:rPr>
          <w:rFonts w:ascii="Times New Roman" w:hAnsi="Times New Roman"/>
          <w:sz w:val="20"/>
        </w:rPr>
        <w:t xml:space="preserve">” shall be deemed to have occurred if: (i) Synlogic shall have failed to include in the Synlogic Proxy Statement the Synlogic Board Recommendation, (ii) the Synlogic Board or any committee thereof shall have made a Synlogic Board Adverse Recommendation Change or approved, endorsed or recommended any Acquisition Proposal (other than with Caldera), (iii) Synlogic shall have entered into any letter of intent or similar document or any Contract relating to any Acquisition Proposal (other than an Acceptable Confidentiality Agreement pursuant to </w:t>
      </w:r>
      <w:r>
        <w:rPr>
          <w:rFonts w:ascii="Times New Roman" w:hAnsi="Times New Roman"/>
          <w:sz w:val="20"/>
          <w:u w:val="single"/>
        </w:rPr>
        <w:t>Section 6.5</w:t>
      </w:r>
      <w:r>
        <w:rPr>
          <w:rFonts w:ascii="Times New Roman" w:hAnsi="Times New Roman"/>
          <w:sz w:val="20"/>
        </w:rPr>
        <w:t xml:space="preserve">) or (iv) the Synlogic Board or any committee thereof shall have failed to recommend against any Acquisition Proposal that is a tender offer or exchange offer within 10 Business Days after the commencement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Tax</w:t>
      </w:r>
      <w:r>
        <w:rPr>
          <w:rFonts w:ascii="Times New Roman" w:hAnsi="Times New Roman"/>
          <w:sz w:val="20"/>
        </w:rPr>
        <w:t xml:space="preserve">” means (i) any U.S. federal, state or local or non-U.S. tax, including any income tax, franchise tax, capital gains tax, gross receipts tax, value-added tax, surtax, estimated tax, unemployment tax, excise tax, ad valorem tax, transfer tax, stamp tax, sales tax, use tax, property tax, business tax, withholding tax, imputed underpayment amount, payroll tax, customs duty, escheat, unclaimed property, alternative or add-on minimum or other tax or similar charge (whether imposed directly or through withholding and whether or not disputed), and including any fine, penalty, addition to tax, interest or additional amount imposed by a Governmental Authority with respect thereto (or attributable to the nonpayment thereof) and (ii) any liability for payment of amounts described in clause (i) whether as a result of transferee or successor liability, of being a member of an affiliated, consolidated, combined or unitary group for any period, pursuant to a Contract, through operation of Law or otherwise. </w:t>
      </w:r>
    </w:p>
    <w:p>
      <w:pPr>
        <w:pStyle w:val="TextBody"/>
        <w:bidi w:val="0"/>
        <w:spacing w:before="240" w:after="0"/>
        <w:jc w:val="left"/>
        <w:rPr/>
      </w:pPr>
      <w:r>
        <w:rPr/>
        <w:t>“</w:t>
      </w:r>
      <w:r>
        <w:rPr>
          <w:rFonts w:ascii="Times New Roman" w:hAnsi="Times New Roman"/>
          <w:b/>
          <w:sz w:val="20"/>
        </w:rPr>
        <w:t>Tax Return</w:t>
      </w:r>
      <w:r>
        <w:rPr>
          <w:rFonts w:ascii="Times New Roman" w:hAnsi="Times New Roman"/>
          <w:sz w:val="20"/>
        </w:rPr>
        <w:t xml:space="preserve">” means any return (including any information return), report, statement, declaration, claim or refund, estimate, schedule, notice, notification, form, election, certificate or other document or information, and any amendment or supplement to any of the foregoing, filed or required to be filed with any Governmental Authority in connection with the determination, assessment, collection or payment of any Tax or in connection with the administration, implementation or enforcement of or compliance with any Law relating to any Tax. </w:t>
      </w:r>
    </w:p>
    <w:p>
      <w:pPr>
        <w:pStyle w:val="TextBody"/>
        <w:bidi w:val="0"/>
        <w:spacing w:before="240" w:after="0"/>
        <w:jc w:val="left"/>
        <w:rPr/>
      </w:pPr>
      <w:r>
        <w:rPr/>
        <w:t>“</w:t>
      </w:r>
      <w:r>
        <w:rPr>
          <w:rFonts w:ascii="Times New Roman" w:hAnsi="Times New Roman"/>
          <w:b/>
          <w:sz w:val="20"/>
        </w:rPr>
        <w:t>Transaction Expenses</w:t>
      </w:r>
      <w:r>
        <w:rPr>
          <w:rFonts w:ascii="Times New Roman" w:hAnsi="Times New Roman"/>
          <w:sz w:val="20"/>
        </w:rPr>
        <w:t xml:space="preserve">” means, with respect to Synlogic, the aggregate amount (without duplication) of all costs, fees, Taxes and expenses incurred by Synlogic and its Subsidiaries, or for which Synlogic and any of its Subsidiaries are or may become liable in connection with the Mergers and the negotiation, preparation and execution of this Agreement or any other agreement, document, instrument, filing, certificate, schedule, exhibit, letter or other document prepared or executed in connection with the Mergers, including (i) any fees and expenses of legal counsel, accountants, payable to financial advisors, investment bankers, brokers, consultants, tax advisors, transfer agents, proxy solicitor and other advisors of Synlogic; (ii) any Taxes actually incurred by Synlogic with respect to the payment of any other item listed in this definition of Transaction Expenses; (iii) the premiums, commissions and other fees paid or payable in connection with obtaining Synlogic’s D&amp;O tail policy and (iv) the greater of (a) fifty percent (50%) of all fees and expenses payable to the SEC and for printing and EDGAR services incurred in connection with the Mergers and (b) the total fees and expenses payable to the SEC and for printing and EDGAR services incurred in connection with the Mergers minus $150,000. </w:t>
      </w:r>
    </w:p>
    <w:p>
      <w:pPr>
        <w:pStyle w:val="TextBody"/>
        <w:bidi w:val="0"/>
        <w:spacing w:before="240" w:after="0"/>
        <w:jc w:val="left"/>
        <w:rPr/>
      </w:pPr>
      <w:r>
        <w:rPr/>
        <w:t>“</w:t>
      </w:r>
      <w:r>
        <w:rPr>
          <w:rFonts w:ascii="Times New Roman" w:hAnsi="Times New Roman"/>
          <w:b/>
          <w:sz w:val="20"/>
        </w:rPr>
        <w:t>Treasury Regulations</w:t>
      </w:r>
      <w:r>
        <w:rPr>
          <w:rFonts w:ascii="Times New Roman" w:hAnsi="Times New Roman"/>
          <w:sz w:val="20"/>
        </w:rPr>
        <w:t xml:space="preserve">” means the United States Treasury regulations promulgated under the Code. </w:t>
      </w:r>
    </w:p>
    <w:p>
      <w:pPr>
        <w:pStyle w:val="TextBody"/>
        <w:bidi w:val="0"/>
        <w:spacing w:before="240" w:after="0"/>
        <w:jc w:val="left"/>
        <w:rPr/>
      </w:pPr>
      <w:r>
        <w:rPr/>
        <w:t>“</w:t>
      </w:r>
      <w:r>
        <w:rPr>
          <w:rFonts w:ascii="Times New Roman" w:hAnsi="Times New Roman"/>
          <w:b/>
          <w:sz w:val="20"/>
        </w:rPr>
        <w:t>WARN Act</w:t>
      </w:r>
      <w:r>
        <w:rPr>
          <w:rFonts w:ascii="Times New Roman" w:hAnsi="Times New Roman"/>
          <w:sz w:val="20"/>
        </w:rPr>
        <w:t xml:space="preserve">” means the Worker Adjustment and Retraining Notification Act of 1988, as amended, and any similar law. </w:t>
      </w:r>
    </w:p>
    <w:p>
      <w:pPr>
        <w:pStyle w:val="TextBody"/>
        <w:bidi w:val="0"/>
        <w:spacing w:before="240" w:after="0"/>
        <w:jc w:val="left"/>
        <w:rPr>
          <w:rFonts w:ascii="Times New Roman" w:hAnsi="Times New Roman"/>
          <w:sz w:val="20"/>
        </w:rPr>
      </w:pPr>
      <w:r>
        <w:rPr>
          <w:rFonts w:ascii="Times New Roman" w:hAnsi="Times New Roman"/>
          <w:sz w:val="20"/>
        </w:rPr>
        <w:t xml:space="preserve">(i) Each of the following terms is defined in the Section set forth opposite such term: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70"/>
        <w:gridCol w:w="122"/>
        <w:gridCol w:w="4813"/>
      </w:tblGrid>
      <w:tr>
        <w:trPr/>
        <w:tc>
          <w:tcPr>
            <w:tcW w:w="527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13"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bottom"/>
          </w:tcPr>
          <w:p>
            <w:pPr>
              <w:pStyle w:val="TableContents"/>
              <w:bidi w:val="0"/>
              <w:spacing w:before="0" w:after="283"/>
              <w:jc w:val="left"/>
              <w:rPr>
                <w:b/>
              </w:rPr>
            </w:pPr>
            <w:r>
              <w:rPr>
                <w:b/>
              </w:rPr>
              <w:t>Term</w:t>
            </w:r>
          </w:p>
        </w:tc>
        <w:tc>
          <w:tcPr>
            <w:tcW w:w="122" w:type="dxa"/>
            <w:tcBorders/>
            <w:vAlign w:val="bottom"/>
          </w:tcPr>
          <w:p>
            <w:pPr>
              <w:pStyle w:val="TableContents"/>
              <w:bidi w:val="0"/>
              <w:spacing w:before="0" w:after="283"/>
              <w:jc w:val="left"/>
              <w:rPr/>
            </w:pPr>
            <w:r>
              <w:rPr/>
              <w:t>  </w:t>
            </w:r>
          </w:p>
        </w:tc>
        <w:tc>
          <w:tcPr>
            <w:tcW w:w="4813" w:type="dxa"/>
            <w:tcBorders/>
            <w:vAlign w:val="bottom"/>
          </w:tcPr>
          <w:p>
            <w:pPr>
              <w:pStyle w:val="TableContents"/>
              <w:bidi w:val="0"/>
              <w:spacing w:before="0" w:after="283"/>
              <w:jc w:val="left"/>
              <w:rPr>
                <w:b/>
              </w:rPr>
            </w:pPr>
            <w:r>
              <w:rPr>
                <w:b/>
              </w:rPr>
              <w:t>Section</w:t>
            </w:r>
          </w:p>
        </w:tc>
      </w:tr>
      <w:tr>
        <w:trPr/>
        <w:tc>
          <w:tcPr>
            <w:tcW w:w="5270" w:type="dxa"/>
            <w:tcBorders/>
          </w:tcPr>
          <w:p>
            <w:pPr>
              <w:pStyle w:val="TableContents"/>
              <w:bidi w:val="0"/>
              <w:spacing w:before="0" w:after="283"/>
              <w:jc w:val="left"/>
              <w:rPr/>
            </w:pPr>
            <w:r>
              <w:rPr/>
              <w:t>Accounting Firm</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2.10(e)</w:t>
            </w:r>
          </w:p>
        </w:tc>
      </w:tr>
      <w:tr>
        <w:trPr/>
        <w:tc>
          <w:tcPr>
            <w:tcW w:w="5270" w:type="dxa"/>
            <w:tcBorders/>
          </w:tcPr>
          <w:p>
            <w:pPr>
              <w:pStyle w:val="TableContents"/>
              <w:bidi w:val="0"/>
              <w:spacing w:before="0" w:after="283"/>
              <w:jc w:val="left"/>
              <w:rPr/>
            </w:pPr>
            <w:r>
              <w:rPr/>
              <w:t>Agreement</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Preamble</w:t>
            </w:r>
          </w:p>
        </w:tc>
      </w:tr>
      <w:tr>
        <w:trPr/>
        <w:tc>
          <w:tcPr>
            <w:tcW w:w="5270" w:type="dxa"/>
            <w:tcBorders/>
          </w:tcPr>
          <w:p>
            <w:pPr>
              <w:pStyle w:val="TableContents"/>
              <w:bidi w:val="0"/>
              <w:spacing w:before="0" w:after="283"/>
              <w:jc w:val="left"/>
              <w:rPr/>
            </w:pPr>
            <w:r>
              <w:rPr/>
              <w:t>Allocation Certificate</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7.13</w:t>
            </w:r>
          </w:p>
        </w:tc>
      </w:tr>
      <w:tr>
        <w:trPr/>
        <w:tc>
          <w:tcPr>
            <w:tcW w:w="5270" w:type="dxa"/>
            <w:tcBorders/>
          </w:tcPr>
          <w:p>
            <w:pPr>
              <w:pStyle w:val="TableContents"/>
              <w:bidi w:val="0"/>
              <w:spacing w:before="0" w:after="283"/>
              <w:jc w:val="left"/>
              <w:rPr/>
            </w:pPr>
            <w:r>
              <w:rPr/>
              <w:t>Annual Meeting Synlogic Stockholder Vote</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Recitals</w:t>
            </w:r>
          </w:p>
        </w:tc>
      </w:tr>
      <w:tr>
        <w:trPr/>
        <w:tc>
          <w:tcPr>
            <w:tcW w:w="5270" w:type="dxa"/>
            <w:tcBorders/>
          </w:tcPr>
          <w:p>
            <w:pPr>
              <w:pStyle w:val="TableContents"/>
              <w:bidi w:val="0"/>
              <w:spacing w:before="0" w:after="283"/>
              <w:jc w:val="left"/>
              <w:rPr/>
            </w:pPr>
            <w:r>
              <w:rPr/>
              <w:t>Anticipated Closing Date</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2.10(a)</w:t>
            </w:r>
          </w:p>
        </w:tc>
      </w:tr>
      <w:tr>
        <w:trPr/>
        <w:tc>
          <w:tcPr>
            <w:tcW w:w="5270" w:type="dxa"/>
            <w:tcBorders/>
          </w:tcPr>
          <w:p>
            <w:pPr>
              <w:pStyle w:val="TableContents"/>
              <w:bidi w:val="0"/>
              <w:spacing w:before="0" w:after="283"/>
              <w:jc w:val="left"/>
              <w:rPr/>
            </w:pPr>
            <w:r>
              <w:rPr/>
              <w:t>Assumed Caldera Option</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2.5(g)</w:t>
            </w:r>
          </w:p>
        </w:tc>
      </w:tr>
      <w:tr>
        <w:trPr/>
        <w:tc>
          <w:tcPr>
            <w:tcW w:w="5270" w:type="dxa"/>
            <w:tcBorders/>
          </w:tcPr>
          <w:p>
            <w:pPr>
              <w:pStyle w:val="TableContents"/>
              <w:bidi w:val="0"/>
              <w:spacing w:before="0" w:after="283"/>
              <w:jc w:val="left"/>
              <w:rPr/>
            </w:pPr>
            <w:r>
              <w:rPr/>
              <w:t>Cash Determination Time</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2.10(a)</w:t>
            </w:r>
          </w:p>
        </w:tc>
      </w:tr>
      <w:tr>
        <w:trPr/>
        <w:tc>
          <w:tcPr>
            <w:tcW w:w="5270" w:type="dxa"/>
            <w:tcBorders/>
          </w:tcPr>
          <w:p>
            <w:pPr>
              <w:pStyle w:val="TableContents"/>
              <w:bidi w:val="0"/>
              <w:spacing w:before="0" w:after="283"/>
              <w:jc w:val="left"/>
              <w:rPr/>
            </w:pPr>
            <w:r>
              <w:rPr/>
              <w:t>Caldera</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Preamble</w:t>
            </w:r>
          </w:p>
        </w:tc>
      </w:tr>
      <w:tr>
        <w:trPr/>
        <w:tc>
          <w:tcPr>
            <w:tcW w:w="5270" w:type="dxa"/>
            <w:tcBorders/>
          </w:tcPr>
          <w:p>
            <w:pPr>
              <w:pStyle w:val="TableContents"/>
              <w:bidi w:val="0"/>
              <w:spacing w:before="0" w:after="283"/>
              <w:jc w:val="left"/>
              <w:rPr/>
            </w:pPr>
            <w:r>
              <w:rPr/>
              <w:t>Caldera Board</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Recitals</w:t>
            </w:r>
          </w:p>
        </w:tc>
      </w:tr>
      <w:tr>
        <w:trPr/>
        <w:tc>
          <w:tcPr>
            <w:tcW w:w="5270" w:type="dxa"/>
            <w:tcBorders/>
          </w:tcPr>
          <w:p>
            <w:pPr>
              <w:pStyle w:val="TableContents"/>
              <w:bidi w:val="0"/>
              <w:spacing w:before="0" w:after="283"/>
              <w:jc w:val="left"/>
              <w:rPr/>
            </w:pPr>
            <w:r>
              <w:rPr/>
              <w:t>Caldera Board Adverse Recommendation Change</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7.2(b)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70"/>
        <w:gridCol w:w="122"/>
        <w:gridCol w:w="4813"/>
      </w:tblGrid>
      <w:tr>
        <w:trPr/>
        <w:tc>
          <w:tcPr>
            <w:tcW w:w="527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13"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bottom"/>
          </w:tcPr>
          <w:p>
            <w:pPr>
              <w:pStyle w:val="TableContents"/>
              <w:bidi w:val="0"/>
              <w:spacing w:before="0" w:after="283"/>
              <w:jc w:val="left"/>
              <w:rPr>
                <w:b/>
              </w:rPr>
            </w:pPr>
            <w:r>
              <w:rPr>
                <w:b/>
              </w:rPr>
              <w:t>Term</w:t>
            </w:r>
          </w:p>
        </w:tc>
        <w:tc>
          <w:tcPr>
            <w:tcW w:w="122" w:type="dxa"/>
            <w:tcBorders/>
            <w:vAlign w:val="bottom"/>
          </w:tcPr>
          <w:p>
            <w:pPr>
              <w:pStyle w:val="TableContents"/>
              <w:bidi w:val="0"/>
              <w:spacing w:before="0" w:after="283"/>
              <w:jc w:val="left"/>
              <w:rPr/>
            </w:pPr>
            <w:r>
              <w:rPr/>
              <w:t>  </w:t>
            </w:r>
          </w:p>
        </w:tc>
        <w:tc>
          <w:tcPr>
            <w:tcW w:w="4813" w:type="dxa"/>
            <w:tcBorders/>
            <w:vAlign w:val="bottom"/>
          </w:tcPr>
          <w:p>
            <w:pPr>
              <w:pStyle w:val="TableContents"/>
              <w:bidi w:val="0"/>
              <w:spacing w:before="0" w:after="283"/>
              <w:jc w:val="left"/>
              <w:rPr>
                <w:b/>
              </w:rPr>
            </w:pPr>
            <w:r>
              <w:rPr>
                <w:b/>
              </w:rPr>
              <w:t>Section</w:t>
            </w:r>
          </w:p>
        </w:tc>
      </w:tr>
      <w:tr>
        <w:trPr/>
        <w:tc>
          <w:tcPr>
            <w:tcW w:w="5270" w:type="dxa"/>
            <w:tcBorders/>
          </w:tcPr>
          <w:p>
            <w:pPr>
              <w:pStyle w:val="TableContents"/>
              <w:bidi w:val="0"/>
              <w:spacing w:before="0" w:after="283"/>
              <w:jc w:val="left"/>
              <w:rPr/>
            </w:pPr>
            <w:r>
              <w:rPr/>
              <w:t>Caldera Board Recommendation</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7.2(b)</w:t>
            </w:r>
          </w:p>
        </w:tc>
      </w:tr>
      <w:tr>
        <w:trPr/>
        <w:tc>
          <w:tcPr>
            <w:tcW w:w="5270" w:type="dxa"/>
            <w:tcBorders/>
          </w:tcPr>
          <w:p>
            <w:pPr>
              <w:pStyle w:val="TableContents"/>
              <w:bidi w:val="0"/>
              <w:spacing w:before="0" w:after="283"/>
              <w:jc w:val="left"/>
              <w:rPr/>
            </w:pPr>
            <w:r>
              <w:rPr/>
              <w:t>Caldera Certificate of Merger</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2.1</w:t>
            </w:r>
          </w:p>
        </w:tc>
      </w:tr>
      <w:tr>
        <w:trPr/>
        <w:tc>
          <w:tcPr>
            <w:tcW w:w="5270" w:type="dxa"/>
            <w:tcBorders/>
          </w:tcPr>
          <w:p>
            <w:pPr>
              <w:pStyle w:val="TableContents"/>
              <w:bidi w:val="0"/>
              <w:spacing w:before="0" w:after="283"/>
              <w:jc w:val="left"/>
              <w:rPr/>
            </w:pPr>
            <w:r>
              <w:rPr/>
              <w:t>Caldera Closing Certificate</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8.3(d)</w:t>
            </w:r>
          </w:p>
        </w:tc>
      </w:tr>
      <w:tr>
        <w:trPr/>
        <w:tc>
          <w:tcPr>
            <w:tcW w:w="5270" w:type="dxa"/>
            <w:tcBorders/>
          </w:tcPr>
          <w:p>
            <w:pPr>
              <w:pStyle w:val="TableContents"/>
              <w:bidi w:val="0"/>
              <w:spacing w:before="0" w:after="283"/>
              <w:jc w:val="left"/>
              <w:rPr/>
            </w:pPr>
            <w:r>
              <w:rPr/>
              <w:t>Caldera Disclosure Schedule</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Article III</w:t>
            </w:r>
          </w:p>
        </w:tc>
      </w:tr>
      <w:tr>
        <w:trPr/>
        <w:tc>
          <w:tcPr>
            <w:tcW w:w="5270" w:type="dxa"/>
            <w:tcBorders/>
          </w:tcPr>
          <w:p>
            <w:pPr>
              <w:pStyle w:val="TableContents"/>
              <w:bidi w:val="0"/>
              <w:spacing w:before="0" w:after="283"/>
              <w:jc w:val="left"/>
              <w:rPr/>
            </w:pPr>
            <w:r>
              <w:rPr/>
              <w:t>Caldera Effective Time</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2.1</w:t>
            </w:r>
          </w:p>
        </w:tc>
      </w:tr>
      <w:tr>
        <w:trPr/>
        <w:tc>
          <w:tcPr>
            <w:tcW w:w="5270" w:type="dxa"/>
            <w:tcBorders/>
          </w:tcPr>
          <w:p>
            <w:pPr>
              <w:pStyle w:val="TableContents"/>
              <w:bidi w:val="0"/>
              <w:spacing w:before="0" w:after="283"/>
              <w:jc w:val="left"/>
              <w:rPr/>
            </w:pPr>
            <w:r>
              <w:rPr/>
              <w:t>Caldera Financial Statements</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3.7(a)</w:t>
            </w:r>
          </w:p>
        </w:tc>
      </w:tr>
      <w:tr>
        <w:trPr/>
        <w:tc>
          <w:tcPr>
            <w:tcW w:w="5270" w:type="dxa"/>
            <w:tcBorders/>
          </w:tcPr>
          <w:p>
            <w:pPr>
              <w:pStyle w:val="TableContents"/>
              <w:bidi w:val="0"/>
              <w:spacing w:before="0" w:after="283"/>
              <w:jc w:val="left"/>
              <w:rPr/>
            </w:pPr>
            <w:r>
              <w:rPr/>
              <w:t>Caldera Intervening Event</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7.2(c)</w:t>
            </w:r>
          </w:p>
        </w:tc>
      </w:tr>
      <w:tr>
        <w:trPr/>
        <w:tc>
          <w:tcPr>
            <w:tcW w:w="5270" w:type="dxa"/>
            <w:tcBorders/>
          </w:tcPr>
          <w:p>
            <w:pPr>
              <w:pStyle w:val="TableContents"/>
              <w:bidi w:val="0"/>
              <w:spacing w:before="0" w:after="283"/>
              <w:jc w:val="left"/>
              <w:rPr/>
            </w:pPr>
            <w:r>
              <w:rPr/>
              <w:t>Caldera IT Systems</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3.22(b)</w:t>
            </w:r>
          </w:p>
        </w:tc>
      </w:tr>
      <w:tr>
        <w:trPr/>
        <w:tc>
          <w:tcPr>
            <w:tcW w:w="5270" w:type="dxa"/>
            <w:tcBorders/>
          </w:tcPr>
          <w:p>
            <w:pPr>
              <w:pStyle w:val="TableContents"/>
              <w:bidi w:val="0"/>
              <w:spacing w:before="0" w:after="283"/>
              <w:jc w:val="left"/>
              <w:rPr/>
            </w:pPr>
            <w:r>
              <w:rPr/>
              <w:t>Lock-Up Agreements</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Recitals</w:t>
            </w:r>
          </w:p>
        </w:tc>
      </w:tr>
      <w:tr>
        <w:trPr/>
        <w:tc>
          <w:tcPr>
            <w:tcW w:w="5270" w:type="dxa"/>
            <w:tcBorders/>
          </w:tcPr>
          <w:p>
            <w:pPr>
              <w:pStyle w:val="TableContents"/>
              <w:bidi w:val="0"/>
              <w:spacing w:before="0" w:after="283"/>
              <w:jc w:val="left"/>
              <w:rPr/>
            </w:pPr>
            <w:r>
              <w:rPr/>
              <w:t>Caldera Material Contract</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3.13(a)</w:t>
            </w:r>
          </w:p>
        </w:tc>
      </w:tr>
      <w:tr>
        <w:trPr/>
        <w:tc>
          <w:tcPr>
            <w:tcW w:w="5270" w:type="dxa"/>
            <w:tcBorders/>
          </w:tcPr>
          <w:p>
            <w:pPr>
              <w:pStyle w:val="TableContents"/>
              <w:bidi w:val="0"/>
              <w:spacing w:before="0" w:after="283"/>
              <w:jc w:val="left"/>
              <w:rPr/>
            </w:pPr>
            <w:r>
              <w:rPr/>
              <w:t>Caldera Merger</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Recitals</w:t>
            </w:r>
          </w:p>
        </w:tc>
      </w:tr>
      <w:tr>
        <w:trPr/>
        <w:tc>
          <w:tcPr>
            <w:tcW w:w="5270" w:type="dxa"/>
            <w:tcBorders/>
          </w:tcPr>
          <w:p>
            <w:pPr>
              <w:pStyle w:val="TableContents"/>
              <w:bidi w:val="0"/>
              <w:spacing w:before="0" w:after="283"/>
              <w:jc w:val="left"/>
              <w:rPr/>
            </w:pPr>
            <w:r>
              <w:rPr/>
              <w:t>Caldera Merger Sub</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Preamble</w:t>
            </w:r>
          </w:p>
        </w:tc>
      </w:tr>
      <w:tr>
        <w:trPr/>
        <w:tc>
          <w:tcPr>
            <w:tcW w:w="5270" w:type="dxa"/>
            <w:tcBorders/>
          </w:tcPr>
          <w:p>
            <w:pPr>
              <w:pStyle w:val="TableContents"/>
              <w:bidi w:val="0"/>
              <w:spacing w:before="0" w:after="283"/>
              <w:jc w:val="left"/>
              <w:rPr/>
            </w:pPr>
            <w:r>
              <w:rPr/>
              <w:t>Caldera Merger Sub Board</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Recitals</w:t>
            </w:r>
          </w:p>
        </w:tc>
      </w:tr>
      <w:tr>
        <w:trPr/>
        <w:tc>
          <w:tcPr>
            <w:tcW w:w="5270" w:type="dxa"/>
            <w:tcBorders/>
          </w:tcPr>
          <w:p>
            <w:pPr>
              <w:pStyle w:val="TableContents"/>
              <w:bidi w:val="0"/>
              <w:spacing w:before="0" w:after="283"/>
              <w:jc w:val="left"/>
              <w:rPr/>
            </w:pPr>
            <w:r>
              <w:rPr/>
              <w:t>Caldera Merger Surviving Corporation</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2.1</w:t>
            </w:r>
          </w:p>
        </w:tc>
      </w:tr>
      <w:tr>
        <w:trPr/>
        <w:tc>
          <w:tcPr>
            <w:tcW w:w="5270" w:type="dxa"/>
            <w:tcBorders/>
          </w:tcPr>
          <w:p>
            <w:pPr>
              <w:pStyle w:val="TableContents"/>
              <w:bidi w:val="0"/>
              <w:spacing w:before="0" w:after="283"/>
              <w:jc w:val="left"/>
              <w:rPr/>
            </w:pPr>
            <w:r>
              <w:rPr/>
              <w:t>Caldera Notice Period</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7.2(c)</w:t>
            </w:r>
          </w:p>
        </w:tc>
      </w:tr>
      <w:tr>
        <w:trPr/>
        <w:tc>
          <w:tcPr>
            <w:tcW w:w="5270" w:type="dxa"/>
            <w:tcBorders/>
          </w:tcPr>
          <w:p>
            <w:pPr>
              <w:pStyle w:val="TableContents"/>
              <w:bidi w:val="0"/>
              <w:spacing w:before="0" w:after="283"/>
              <w:jc w:val="left"/>
              <w:rPr/>
            </w:pPr>
            <w:r>
              <w:rPr/>
              <w:t>Filing Deadline</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7.1(a)</w:t>
            </w:r>
          </w:p>
        </w:tc>
      </w:tr>
      <w:tr>
        <w:trPr/>
        <w:tc>
          <w:tcPr>
            <w:tcW w:w="5270" w:type="dxa"/>
            <w:tcBorders/>
          </w:tcPr>
          <w:p>
            <w:pPr>
              <w:pStyle w:val="TableContents"/>
              <w:bidi w:val="0"/>
              <w:spacing w:before="0" w:after="283"/>
              <w:jc w:val="left"/>
              <w:rPr/>
            </w:pPr>
            <w:r>
              <w:rPr/>
              <w:t>Intended Tax Treatment</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Recitals</w:t>
            </w:r>
          </w:p>
        </w:tc>
      </w:tr>
      <w:tr>
        <w:trPr/>
        <w:tc>
          <w:tcPr>
            <w:tcW w:w="5270" w:type="dxa"/>
            <w:tcBorders/>
          </w:tcPr>
          <w:p>
            <w:pPr>
              <w:pStyle w:val="TableContents"/>
              <w:bidi w:val="0"/>
              <w:spacing w:before="0" w:after="283"/>
              <w:jc w:val="left"/>
              <w:rPr/>
            </w:pPr>
            <w:r>
              <w:rPr/>
              <w:t>Liability</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3.9</w:t>
            </w:r>
          </w:p>
        </w:tc>
      </w:tr>
      <w:tr>
        <w:trPr/>
        <w:tc>
          <w:tcPr>
            <w:tcW w:w="5270" w:type="dxa"/>
            <w:tcBorders/>
          </w:tcPr>
          <w:p>
            <w:pPr>
              <w:pStyle w:val="TableContents"/>
              <w:bidi w:val="0"/>
              <w:spacing w:before="0" w:after="283"/>
              <w:jc w:val="left"/>
              <w:rPr/>
            </w:pPr>
            <w:r>
              <w:rPr/>
              <w:t>Mergers</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Recitals</w:t>
            </w:r>
          </w:p>
        </w:tc>
      </w:tr>
      <w:tr>
        <w:trPr/>
        <w:tc>
          <w:tcPr>
            <w:tcW w:w="5270" w:type="dxa"/>
            <w:tcBorders/>
          </w:tcPr>
          <w:p>
            <w:pPr>
              <w:pStyle w:val="TableContents"/>
              <w:bidi w:val="0"/>
              <w:spacing w:before="0" w:after="283"/>
              <w:jc w:val="left"/>
              <w:rPr/>
            </w:pPr>
            <w:r>
              <w:rPr/>
              <w:t>Nasdaq Listing Application</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7.8</w:t>
            </w:r>
          </w:p>
        </w:tc>
      </w:tr>
      <w:tr>
        <w:trPr/>
        <w:tc>
          <w:tcPr>
            <w:tcW w:w="5270" w:type="dxa"/>
            <w:tcBorders/>
          </w:tcPr>
          <w:p>
            <w:pPr>
              <w:pStyle w:val="TableContents"/>
              <w:bidi w:val="0"/>
              <w:spacing w:before="0" w:after="283"/>
              <w:jc w:val="left"/>
              <w:rPr/>
            </w:pPr>
            <w:r>
              <w:rPr/>
              <w:t>Net Synlogic Option Shares</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2.6(g)</w:t>
            </w:r>
          </w:p>
        </w:tc>
      </w:tr>
      <w:tr>
        <w:trPr/>
        <w:tc>
          <w:tcPr>
            <w:tcW w:w="5270" w:type="dxa"/>
            <w:tcBorders/>
          </w:tcPr>
          <w:p>
            <w:pPr>
              <w:pStyle w:val="TableContents"/>
              <w:bidi w:val="0"/>
              <w:spacing w:before="0" w:after="283"/>
              <w:jc w:val="left"/>
              <w:rPr/>
            </w:pPr>
            <w:r>
              <w:rPr/>
              <w:t>Ordinary Course Agreement</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3.16(f)</w:t>
            </w:r>
          </w:p>
        </w:tc>
      </w:tr>
      <w:tr>
        <w:trPr/>
        <w:tc>
          <w:tcPr>
            <w:tcW w:w="5270" w:type="dxa"/>
            <w:tcBorders/>
          </w:tcPr>
          <w:p>
            <w:pPr>
              <w:pStyle w:val="TableContents"/>
              <w:bidi w:val="0"/>
              <w:spacing w:before="0" w:after="283"/>
              <w:jc w:val="left"/>
              <w:rPr/>
            </w:pPr>
            <w:r>
              <w:rPr/>
              <w:t>Outside Date</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10.1(b)</w:t>
            </w:r>
          </w:p>
        </w:tc>
      </w:tr>
      <w:tr>
        <w:trPr/>
        <w:tc>
          <w:tcPr>
            <w:tcW w:w="5270" w:type="dxa"/>
            <w:tcBorders/>
          </w:tcPr>
          <w:p>
            <w:pPr>
              <w:pStyle w:val="TableContents"/>
              <w:bidi w:val="0"/>
              <w:spacing w:before="0" w:after="283"/>
              <w:jc w:val="left"/>
              <w:rPr/>
            </w:pPr>
            <w:r>
              <w:rPr/>
              <w:t>Parent</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Preamble</w:t>
            </w:r>
          </w:p>
        </w:tc>
      </w:tr>
      <w:tr>
        <w:trPr/>
        <w:tc>
          <w:tcPr>
            <w:tcW w:w="5270" w:type="dxa"/>
            <w:tcBorders/>
          </w:tcPr>
          <w:p>
            <w:pPr>
              <w:pStyle w:val="TableContents"/>
              <w:bidi w:val="0"/>
              <w:spacing w:before="0" w:after="283"/>
              <w:jc w:val="left"/>
              <w:rPr/>
            </w:pPr>
            <w:r>
              <w:rPr/>
              <w:t>Parent Board</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Recitals</w:t>
            </w:r>
          </w:p>
        </w:tc>
      </w:tr>
      <w:tr>
        <w:trPr/>
        <w:tc>
          <w:tcPr>
            <w:tcW w:w="5270" w:type="dxa"/>
            <w:tcBorders/>
          </w:tcPr>
          <w:p>
            <w:pPr>
              <w:pStyle w:val="TableContents"/>
              <w:bidi w:val="0"/>
              <w:spacing w:before="0" w:after="283"/>
              <w:jc w:val="left"/>
              <w:rPr/>
            </w:pPr>
            <w:r>
              <w:rPr/>
              <w:t>PCAOB</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3.7(e)</w:t>
            </w:r>
          </w:p>
        </w:tc>
      </w:tr>
      <w:tr>
        <w:trPr/>
        <w:tc>
          <w:tcPr>
            <w:tcW w:w="5270" w:type="dxa"/>
            <w:tcBorders/>
          </w:tcPr>
          <w:p>
            <w:pPr>
              <w:pStyle w:val="TableContents"/>
              <w:bidi w:val="0"/>
              <w:spacing w:before="0" w:after="283"/>
              <w:jc w:val="left"/>
              <w:rPr/>
            </w:pPr>
            <w:r>
              <w:rPr/>
              <w:t>PCAOB Auditor</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3.7(e)</w:t>
            </w:r>
          </w:p>
        </w:tc>
      </w:tr>
      <w:tr>
        <w:trPr/>
        <w:tc>
          <w:tcPr>
            <w:tcW w:w="5270" w:type="dxa"/>
            <w:tcBorders/>
          </w:tcPr>
          <w:p>
            <w:pPr>
              <w:pStyle w:val="TableContents"/>
              <w:bidi w:val="0"/>
              <w:spacing w:before="0" w:after="283"/>
              <w:jc w:val="left"/>
              <w:rPr/>
            </w:pPr>
            <w:r>
              <w:rPr/>
              <w:t>Permitted Alternative Agreement</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10.1(j)</w:t>
            </w:r>
          </w:p>
        </w:tc>
      </w:tr>
      <w:tr>
        <w:trPr/>
        <w:tc>
          <w:tcPr>
            <w:tcW w:w="5270" w:type="dxa"/>
            <w:tcBorders/>
          </w:tcPr>
          <w:p>
            <w:pPr>
              <w:pStyle w:val="TableContents"/>
              <w:bidi w:val="0"/>
              <w:spacing w:before="0" w:after="283"/>
              <w:jc w:val="left"/>
              <w:rPr/>
            </w:pPr>
            <w:r>
              <w:rPr/>
              <w:t>PHSA</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3.14(a)</w:t>
            </w:r>
          </w:p>
        </w:tc>
      </w:tr>
      <w:tr>
        <w:trPr/>
        <w:tc>
          <w:tcPr>
            <w:tcW w:w="5270" w:type="dxa"/>
            <w:tcBorders/>
          </w:tcPr>
          <w:p>
            <w:pPr>
              <w:pStyle w:val="TableContents"/>
              <w:bidi w:val="0"/>
              <w:spacing w:before="0" w:after="283"/>
              <w:jc w:val="left"/>
              <w:rPr/>
            </w:pPr>
            <w:r>
              <w:rPr/>
              <w:t>Pre-Closing Period</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6.1(a)</w:t>
            </w:r>
          </w:p>
        </w:tc>
      </w:tr>
      <w:tr>
        <w:trPr/>
        <w:tc>
          <w:tcPr>
            <w:tcW w:w="5270" w:type="dxa"/>
            <w:tcBorders/>
          </w:tcPr>
          <w:p>
            <w:pPr>
              <w:pStyle w:val="TableContents"/>
              <w:bidi w:val="0"/>
              <w:spacing w:before="0" w:after="283"/>
              <w:jc w:val="left"/>
              <w:rPr/>
            </w:pPr>
            <w:r>
              <w:rPr/>
              <w:t>Registration Statement</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7.1(a)</w:t>
            </w:r>
          </w:p>
        </w:tc>
      </w:tr>
      <w:tr>
        <w:trPr/>
        <w:tc>
          <w:tcPr>
            <w:tcW w:w="5270" w:type="dxa"/>
            <w:tcBorders/>
          </w:tcPr>
          <w:p>
            <w:pPr>
              <w:pStyle w:val="TableContents"/>
              <w:bidi w:val="0"/>
              <w:spacing w:before="0" w:after="283"/>
              <w:jc w:val="left"/>
              <w:rPr/>
            </w:pPr>
            <w:r>
              <w:rPr/>
              <w:t>Required Synlogic Stockholder Approval</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4.4</w:t>
            </w:r>
          </w:p>
        </w:tc>
      </w:tr>
      <w:tr>
        <w:trPr/>
        <w:tc>
          <w:tcPr>
            <w:tcW w:w="5270" w:type="dxa"/>
            <w:tcBorders/>
          </w:tcPr>
          <w:p>
            <w:pPr>
              <w:pStyle w:val="TableContents"/>
              <w:bidi w:val="0"/>
              <w:spacing w:before="0" w:after="283"/>
              <w:jc w:val="left"/>
              <w:rPr/>
            </w:pPr>
            <w:r>
              <w:rPr/>
              <w:t>Required Caldera Stockholder Approval</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3.4</w:t>
            </w:r>
          </w:p>
        </w:tc>
      </w:tr>
      <w:tr>
        <w:trPr/>
        <w:tc>
          <w:tcPr>
            <w:tcW w:w="5270" w:type="dxa"/>
            <w:tcBorders/>
          </w:tcPr>
          <w:p>
            <w:pPr>
              <w:pStyle w:val="TableContents"/>
              <w:bidi w:val="0"/>
              <w:spacing w:before="0" w:after="283"/>
              <w:jc w:val="left"/>
              <w:rPr/>
            </w:pPr>
            <w:r>
              <w:rPr/>
              <w:t>Response Date</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2.10(b)</w:t>
            </w:r>
          </w:p>
        </w:tc>
      </w:tr>
      <w:tr>
        <w:trPr/>
        <w:tc>
          <w:tcPr>
            <w:tcW w:w="5270" w:type="dxa"/>
            <w:tcBorders/>
          </w:tcPr>
          <w:p>
            <w:pPr>
              <w:pStyle w:val="TableContents"/>
              <w:bidi w:val="0"/>
              <w:spacing w:before="0" w:after="283"/>
              <w:jc w:val="left"/>
              <w:rPr/>
            </w:pPr>
            <w:r>
              <w:rPr/>
              <w:t>Securities Purchase Agreement</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Recitals</w:t>
            </w:r>
          </w:p>
        </w:tc>
      </w:tr>
      <w:tr>
        <w:trPr/>
        <w:tc>
          <w:tcPr>
            <w:tcW w:w="5270" w:type="dxa"/>
            <w:tcBorders/>
          </w:tcPr>
          <w:p>
            <w:pPr>
              <w:pStyle w:val="TableContents"/>
              <w:bidi w:val="0"/>
              <w:spacing w:before="0" w:after="283"/>
              <w:jc w:val="left"/>
              <w:rPr/>
            </w:pPr>
            <w:r>
              <w:rPr/>
              <w:t>Stock Issuance</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Recitals</w:t>
            </w:r>
          </w:p>
        </w:tc>
      </w:tr>
      <w:tr>
        <w:trPr/>
        <w:tc>
          <w:tcPr>
            <w:tcW w:w="5270" w:type="dxa"/>
            <w:tcBorders/>
          </w:tcPr>
          <w:p>
            <w:pPr>
              <w:pStyle w:val="TableContents"/>
              <w:bidi w:val="0"/>
              <w:spacing w:before="0" w:after="283"/>
              <w:jc w:val="left"/>
              <w:rPr/>
            </w:pPr>
            <w:r>
              <w:rPr/>
              <w:t>Synlogic</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Preamble</w:t>
            </w:r>
          </w:p>
        </w:tc>
      </w:tr>
      <w:tr>
        <w:trPr/>
        <w:tc>
          <w:tcPr>
            <w:tcW w:w="5270" w:type="dxa"/>
            <w:tcBorders/>
          </w:tcPr>
          <w:p>
            <w:pPr>
              <w:pStyle w:val="TableContents"/>
              <w:bidi w:val="0"/>
              <w:spacing w:before="0" w:after="283"/>
              <w:jc w:val="left"/>
              <w:rPr/>
            </w:pPr>
            <w:r>
              <w:rPr/>
              <w:t>Synlogic 401(k) Plan</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7.18</w:t>
            </w:r>
          </w:p>
        </w:tc>
      </w:tr>
      <w:tr>
        <w:trPr/>
        <w:tc>
          <w:tcPr>
            <w:tcW w:w="5270" w:type="dxa"/>
            <w:tcBorders/>
          </w:tcPr>
          <w:p>
            <w:pPr>
              <w:pStyle w:val="TableContents"/>
              <w:bidi w:val="0"/>
              <w:spacing w:before="0" w:after="283"/>
              <w:jc w:val="left"/>
              <w:rPr/>
            </w:pPr>
            <w:r>
              <w:rPr/>
              <w:t>Synlogic Board</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Recitals</w:t>
            </w:r>
          </w:p>
        </w:tc>
      </w:tr>
      <w:tr>
        <w:trPr/>
        <w:tc>
          <w:tcPr>
            <w:tcW w:w="5270" w:type="dxa"/>
            <w:tcBorders/>
          </w:tcPr>
          <w:p>
            <w:pPr>
              <w:pStyle w:val="TableContents"/>
              <w:bidi w:val="0"/>
              <w:spacing w:before="0" w:after="283"/>
              <w:jc w:val="left"/>
              <w:rPr/>
            </w:pPr>
            <w:r>
              <w:rPr/>
              <w:t>Synlogic Board Adverse Recommendation Change</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7.3(b)</w:t>
            </w:r>
          </w:p>
        </w:tc>
      </w:tr>
      <w:tr>
        <w:trPr/>
        <w:tc>
          <w:tcPr>
            <w:tcW w:w="5270" w:type="dxa"/>
            <w:tcBorders/>
          </w:tcPr>
          <w:p>
            <w:pPr>
              <w:pStyle w:val="TableContents"/>
              <w:bidi w:val="0"/>
              <w:spacing w:before="0" w:after="283"/>
              <w:jc w:val="left"/>
              <w:rPr/>
            </w:pPr>
            <w:r>
              <w:rPr/>
              <w:t>Synlogic Board Recommendation</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7.3(b)</w:t>
            </w:r>
          </w:p>
        </w:tc>
      </w:tr>
      <w:tr>
        <w:trPr/>
        <w:tc>
          <w:tcPr>
            <w:tcW w:w="5270" w:type="dxa"/>
            <w:tcBorders/>
          </w:tcPr>
          <w:p>
            <w:pPr>
              <w:pStyle w:val="TableContents"/>
              <w:bidi w:val="0"/>
              <w:spacing w:before="0" w:after="283"/>
              <w:jc w:val="left"/>
              <w:rPr/>
            </w:pPr>
            <w:r>
              <w:rPr/>
              <w:t>Synlogic Certificate of Merger</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2.2</w:t>
            </w:r>
          </w:p>
        </w:tc>
      </w:tr>
      <w:tr>
        <w:trPr/>
        <w:tc>
          <w:tcPr>
            <w:tcW w:w="5270" w:type="dxa"/>
            <w:tcBorders/>
          </w:tcPr>
          <w:p>
            <w:pPr>
              <w:pStyle w:val="TableContents"/>
              <w:bidi w:val="0"/>
              <w:spacing w:before="0" w:after="283"/>
              <w:jc w:val="left"/>
              <w:rPr/>
            </w:pPr>
            <w:r>
              <w:rPr/>
              <w:t>Synlogic Certifications</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4.7(a)</w:t>
            </w:r>
          </w:p>
        </w:tc>
      </w:tr>
      <w:tr>
        <w:trPr/>
        <w:tc>
          <w:tcPr>
            <w:tcW w:w="5270" w:type="dxa"/>
            <w:tcBorders/>
          </w:tcPr>
          <w:p>
            <w:pPr>
              <w:pStyle w:val="TableContents"/>
              <w:bidi w:val="0"/>
              <w:spacing w:before="0" w:after="283"/>
              <w:jc w:val="left"/>
              <w:rPr/>
            </w:pPr>
            <w:r>
              <w:rPr/>
              <w:t>Synlogic Closing Certificate</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8.2(d)</w:t>
            </w:r>
          </w:p>
        </w:tc>
      </w:tr>
      <w:tr>
        <w:trPr/>
        <w:tc>
          <w:tcPr>
            <w:tcW w:w="5270" w:type="dxa"/>
            <w:tcBorders/>
          </w:tcPr>
          <w:p>
            <w:pPr>
              <w:pStyle w:val="TableContents"/>
              <w:bidi w:val="0"/>
              <w:spacing w:before="0" w:after="283"/>
              <w:jc w:val="left"/>
              <w:rPr/>
            </w:pPr>
            <w:r>
              <w:rPr/>
              <w:t>Synlogic Common Stock</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4.6(a)</w:t>
            </w:r>
          </w:p>
        </w:tc>
      </w:tr>
      <w:tr>
        <w:trPr/>
        <w:tc>
          <w:tcPr>
            <w:tcW w:w="5270" w:type="dxa"/>
            <w:tcBorders/>
          </w:tcPr>
          <w:p>
            <w:pPr>
              <w:pStyle w:val="TableContents"/>
              <w:bidi w:val="0"/>
              <w:spacing w:before="0" w:after="283"/>
              <w:jc w:val="left"/>
              <w:rPr/>
            </w:pPr>
            <w:r>
              <w:rPr/>
              <w:t>Synlogic Contingent Worker</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4.18(b)</w:t>
            </w:r>
          </w:p>
        </w:tc>
      </w:tr>
      <w:tr>
        <w:trPr/>
        <w:tc>
          <w:tcPr>
            <w:tcW w:w="5270" w:type="dxa"/>
            <w:tcBorders/>
          </w:tcPr>
          <w:p>
            <w:pPr>
              <w:pStyle w:val="TableContents"/>
              <w:bidi w:val="0"/>
              <w:spacing w:before="0" w:after="283"/>
              <w:jc w:val="left"/>
              <w:rPr/>
            </w:pPr>
            <w:r>
              <w:rPr/>
              <w:t>Synlogic Disclosure Schedule</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Article IV</w:t>
            </w:r>
          </w:p>
        </w:tc>
      </w:tr>
      <w:tr>
        <w:trPr/>
        <w:tc>
          <w:tcPr>
            <w:tcW w:w="5270" w:type="dxa"/>
            <w:tcBorders/>
          </w:tcPr>
          <w:p>
            <w:pPr>
              <w:pStyle w:val="TableContents"/>
              <w:bidi w:val="0"/>
              <w:spacing w:before="0" w:after="283"/>
              <w:jc w:val="left"/>
              <w:rPr/>
            </w:pPr>
            <w:r>
              <w:rPr/>
              <w:t>Synlogic Effective Time</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2.2</w:t>
            </w:r>
          </w:p>
        </w:tc>
      </w:tr>
      <w:tr>
        <w:trPr/>
        <w:tc>
          <w:tcPr>
            <w:tcW w:w="5270" w:type="dxa"/>
            <w:tcBorders/>
          </w:tcPr>
          <w:p>
            <w:pPr>
              <w:pStyle w:val="TableContents"/>
              <w:bidi w:val="0"/>
              <w:spacing w:before="0" w:after="283"/>
              <w:jc w:val="left"/>
              <w:rPr/>
            </w:pPr>
            <w:r>
              <w:rPr/>
              <w:t>Synlogic Proxy Statement</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7.1(a)</w:t>
            </w:r>
          </w:p>
        </w:tc>
      </w:tr>
      <w:tr>
        <w:trPr/>
        <w:tc>
          <w:tcPr>
            <w:tcW w:w="5270" w:type="dxa"/>
            <w:tcBorders/>
          </w:tcPr>
          <w:p>
            <w:pPr>
              <w:pStyle w:val="TableContents"/>
              <w:bidi w:val="0"/>
              <w:spacing w:before="0" w:after="283"/>
              <w:jc w:val="left"/>
              <w:rPr/>
            </w:pPr>
            <w:r>
              <w:rPr/>
              <w:t>Synlogic Intervening Event</w:t>
            </w:r>
          </w:p>
        </w:tc>
        <w:tc>
          <w:tcPr>
            <w:tcW w:w="122" w:type="dxa"/>
            <w:tcBorders/>
            <w:vAlign w:val="bottom"/>
          </w:tcPr>
          <w:p>
            <w:pPr>
              <w:pStyle w:val="TableContents"/>
              <w:bidi w:val="0"/>
              <w:spacing w:before="0" w:after="283"/>
              <w:jc w:val="left"/>
              <w:rPr/>
            </w:pPr>
            <w:r>
              <w:rPr/>
              <w:t>  </w:t>
            </w:r>
          </w:p>
        </w:tc>
        <w:tc>
          <w:tcPr>
            <w:tcW w:w="4813" w:type="dxa"/>
            <w:tcBorders/>
          </w:tcPr>
          <w:p>
            <w:pPr>
              <w:pStyle w:val="TableContents"/>
              <w:bidi w:val="0"/>
              <w:spacing w:before="0" w:after="283"/>
              <w:jc w:val="left"/>
              <w:rPr/>
            </w:pPr>
            <w:r>
              <w:rPr/>
              <w:t>7.3(c)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18"/>
        <w:gridCol w:w="122"/>
        <w:gridCol w:w="4865"/>
      </w:tblGrid>
      <w:tr>
        <w:trPr/>
        <w:tc>
          <w:tcPr>
            <w:tcW w:w="521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283"/>
              <w:jc w:val="left"/>
              <w:rPr>
                <w:sz w:val="4"/>
                <w:szCs w:val="4"/>
              </w:rPr>
            </w:pPr>
            <w:r>
              <w:rPr>
                <w:sz w:val="4"/>
                <w:szCs w:val="4"/>
              </w:rPr>
            </w:r>
          </w:p>
        </w:tc>
      </w:tr>
      <w:tr>
        <w:trPr/>
        <w:tc>
          <w:tcPr>
            <w:tcW w:w="5218" w:type="dxa"/>
            <w:tcBorders/>
            <w:vAlign w:val="bottom"/>
          </w:tcPr>
          <w:p>
            <w:pPr>
              <w:pStyle w:val="TableContents"/>
              <w:bidi w:val="0"/>
              <w:spacing w:before="0" w:after="283"/>
              <w:jc w:val="left"/>
              <w:rPr>
                <w:b/>
              </w:rPr>
            </w:pPr>
            <w:r>
              <w:rPr>
                <w:b/>
              </w:rPr>
              <w:t>Term</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b/>
              </w:rPr>
            </w:pPr>
            <w:r>
              <w:rPr>
                <w:b/>
              </w:rPr>
              <w:t>Section</w:t>
            </w:r>
          </w:p>
        </w:tc>
      </w:tr>
      <w:tr>
        <w:trPr/>
        <w:tc>
          <w:tcPr>
            <w:tcW w:w="5218" w:type="dxa"/>
            <w:tcBorders/>
            <w:vAlign w:val="bottom"/>
          </w:tcPr>
          <w:p>
            <w:pPr>
              <w:pStyle w:val="TableContents"/>
              <w:bidi w:val="0"/>
              <w:spacing w:before="0" w:after="283"/>
              <w:jc w:val="left"/>
              <w:rPr/>
            </w:pPr>
            <w:r>
              <w:rPr/>
              <w:t>Synlogic IT Systems</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4.24(b)</w:t>
            </w:r>
          </w:p>
        </w:tc>
      </w:tr>
      <w:tr>
        <w:trPr/>
        <w:tc>
          <w:tcPr>
            <w:tcW w:w="5218" w:type="dxa"/>
            <w:tcBorders/>
            <w:vAlign w:val="bottom"/>
          </w:tcPr>
          <w:p>
            <w:pPr>
              <w:pStyle w:val="TableContents"/>
              <w:bidi w:val="0"/>
              <w:spacing w:before="0" w:after="283"/>
              <w:jc w:val="left"/>
              <w:rPr/>
            </w:pPr>
            <w:r>
              <w:rPr/>
              <w:t>Synlogic Material Contract</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4.13(a)</w:t>
            </w:r>
          </w:p>
        </w:tc>
      </w:tr>
      <w:tr>
        <w:trPr/>
        <w:tc>
          <w:tcPr>
            <w:tcW w:w="5218" w:type="dxa"/>
            <w:tcBorders/>
            <w:vAlign w:val="bottom"/>
          </w:tcPr>
          <w:p>
            <w:pPr>
              <w:pStyle w:val="TableContents"/>
              <w:bidi w:val="0"/>
              <w:spacing w:before="0" w:after="283"/>
              <w:jc w:val="left"/>
              <w:rPr/>
            </w:pPr>
            <w:r>
              <w:rPr/>
              <w:t>Synlogic Merger</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Recitals</w:t>
            </w:r>
          </w:p>
        </w:tc>
      </w:tr>
      <w:tr>
        <w:trPr/>
        <w:tc>
          <w:tcPr>
            <w:tcW w:w="5218" w:type="dxa"/>
            <w:tcBorders/>
            <w:vAlign w:val="bottom"/>
          </w:tcPr>
          <w:p>
            <w:pPr>
              <w:pStyle w:val="TableContents"/>
              <w:bidi w:val="0"/>
              <w:spacing w:before="0" w:after="283"/>
              <w:jc w:val="left"/>
              <w:rPr/>
            </w:pPr>
            <w:r>
              <w:rPr/>
              <w:t>Synlogic Merger Sub</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Preamble</w:t>
            </w:r>
          </w:p>
        </w:tc>
      </w:tr>
      <w:tr>
        <w:trPr/>
        <w:tc>
          <w:tcPr>
            <w:tcW w:w="5218" w:type="dxa"/>
            <w:tcBorders/>
            <w:vAlign w:val="bottom"/>
          </w:tcPr>
          <w:p>
            <w:pPr>
              <w:pStyle w:val="TableContents"/>
              <w:bidi w:val="0"/>
              <w:spacing w:before="0" w:after="283"/>
              <w:jc w:val="left"/>
              <w:rPr/>
            </w:pPr>
            <w:r>
              <w:rPr/>
              <w:t>Synlogic Merger Sub Board</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Recitals</w:t>
            </w:r>
          </w:p>
        </w:tc>
      </w:tr>
      <w:tr>
        <w:trPr/>
        <w:tc>
          <w:tcPr>
            <w:tcW w:w="5218" w:type="dxa"/>
            <w:tcBorders/>
            <w:vAlign w:val="bottom"/>
          </w:tcPr>
          <w:p>
            <w:pPr>
              <w:pStyle w:val="TableContents"/>
              <w:bidi w:val="0"/>
              <w:spacing w:before="0" w:after="283"/>
              <w:jc w:val="left"/>
              <w:rPr/>
            </w:pPr>
            <w:r>
              <w:rPr/>
              <w:t>Synlogic Merger Surviving Corporation</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2.2</w:t>
            </w:r>
          </w:p>
        </w:tc>
      </w:tr>
      <w:tr>
        <w:trPr/>
        <w:tc>
          <w:tcPr>
            <w:tcW w:w="5218" w:type="dxa"/>
            <w:tcBorders/>
            <w:vAlign w:val="bottom"/>
          </w:tcPr>
          <w:p>
            <w:pPr>
              <w:pStyle w:val="TableContents"/>
              <w:bidi w:val="0"/>
              <w:spacing w:before="0" w:after="283"/>
              <w:jc w:val="left"/>
              <w:rPr/>
            </w:pPr>
            <w:r>
              <w:rPr/>
              <w:t>Synlogic Net Cash Calculation</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2.10(a)</w:t>
            </w:r>
          </w:p>
        </w:tc>
      </w:tr>
      <w:tr>
        <w:trPr/>
        <w:tc>
          <w:tcPr>
            <w:tcW w:w="5218" w:type="dxa"/>
            <w:tcBorders/>
            <w:vAlign w:val="bottom"/>
          </w:tcPr>
          <w:p>
            <w:pPr>
              <w:pStyle w:val="TableContents"/>
              <w:bidi w:val="0"/>
              <w:spacing w:before="0" w:after="283"/>
              <w:jc w:val="left"/>
              <w:rPr/>
            </w:pPr>
            <w:r>
              <w:rPr/>
              <w:t>Synlogic Net Cash Schedule</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2.10(a)</w:t>
            </w:r>
          </w:p>
        </w:tc>
      </w:tr>
      <w:tr>
        <w:trPr/>
        <w:tc>
          <w:tcPr>
            <w:tcW w:w="5218" w:type="dxa"/>
            <w:tcBorders/>
            <w:vAlign w:val="bottom"/>
          </w:tcPr>
          <w:p>
            <w:pPr>
              <w:pStyle w:val="TableContents"/>
              <w:bidi w:val="0"/>
              <w:spacing w:before="0" w:after="283"/>
              <w:jc w:val="left"/>
              <w:rPr/>
            </w:pPr>
            <w:r>
              <w:rPr/>
              <w:t>Synlogic Notice Period</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7.3(c)</w:t>
            </w:r>
          </w:p>
        </w:tc>
      </w:tr>
      <w:tr>
        <w:trPr/>
        <w:tc>
          <w:tcPr>
            <w:tcW w:w="5218" w:type="dxa"/>
            <w:tcBorders/>
            <w:vAlign w:val="bottom"/>
          </w:tcPr>
          <w:p>
            <w:pPr>
              <w:pStyle w:val="TableContents"/>
              <w:bidi w:val="0"/>
              <w:spacing w:before="0" w:after="283"/>
              <w:jc w:val="left"/>
              <w:rPr/>
            </w:pPr>
            <w:r>
              <w:rPr/>
              <w:t>Synlogic Owned IP Rights</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1.1</w:t>
            </w:r>
          </w:p>
        </w:tc>
      </w:tr>
      <w:tr>
        <w:trPr/>
        <w:tc>
          <w:tcPr>
            <w:tcW w:w="5218" w:type="dxa"/>
            <w:tcBorders/>
            <w:vAlign w:val="bottom"/>
          </w:tcPr>
          <w:p>
            <w:pPr>
              <w:pStyle w:val="TableContents"/>
              <w:bidi w:val="0"/>
              <w:spacing w:before="0" w:after="283"/>
              <w:jc w:val="left"/>
              <w:rPr/>
            </w:pPr>
            <w:r>
              <w:rPr/>
              <w:t>Synlogic Permits</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4.15(b)</w:t>
            </w:r>
          </w:p>
        </w:tc>
      </w:tr>
      <w:tr>
        <w:trPr/>
        <w:tc>
          <w:tcPr>
            <w:tcW w:w="5218" w:type="dxa"/>
            <w:tcBorders/>
            <w:vAlign w:val="bottom"/>
          </w:tcPr>
          <w:p>
            <w:pPr>
              <w:pStyle w:val="TableContents"/>
              <w:bidi w:val="0"/>
              <w:spacing w:before="0" w:after="283"/>
              <w:jc w:val="left"/>
              <w:rPr/>
            </w:pPr>
            <w:r>
              <w:rPr/>
              <w:t>Synlogic Privacy Policies</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4.24(a)</w:t>
            </w:r>
          </w:p>
        </w:tc>
      </w:tr>
      <w:tr>
        <w:trPr/>
        <w:tc>
          <w:tcPr>
            <w:tcW w:w="5218" w:type="dxa"/>
            <w:tcBorders/>
            <w:vAlign w:val="bottom"/>
          </w:tcPr>
          <w:p>
            <w:pPr>
              <w:pStyle w:val="TableContents"/>
              <w:bidi w:val="0"/>
              <w:spacing w:before="0" w:after="283"/>
              <w:jc w:val="left"/>
              <w:rPr/>
            </w:pPr>
            <w:r>
              <w:rPr/>
              <w:t>Synlogic Product Candidates</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4.15(d)</w:t>
            </w:r>
          </w:p>
        </w:tc>
      </w:tr>
      <w:tr>
        <w:trPr/>
        <w:tc>
          <w:tcPr>
            <w:tcW w:w="5218" w:type="dxa"/>
            <w:tcBorders/>
            <w:vAlign w:val="bottom"/>
          </w:tcPr>
          <w:p>
            <w:pPr>
              <w:pStyle w:val="TableContents"/>
              <w:bidi w:val="0"/>
              <w:spacing w:before="0" w:after="283"/>
              <w:jc w:val="left"/>
              <w:rPr/>
            </w:pPr>
            <w:r>
              <w:rPr/>
              <w:t>Synlogic Regulatory Permits</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4.15(d)</w:t>
            </w:r>
          </w:p>
        </w:tc>
      </w:tr>
      <w:tr>
        <w:trPr/>
        <w:tc>
          <w:tcPr>
            <w:tcW w:w="5218" w:type="dxa"/>
            <w:tcBorders/>
            <w:vAlign w:val="bottom"/>
          </w:tcPr>
          <w:p>
            <w:pPr>
              <w:pStyle w:val="TableContents"/>
              <w:bidi w:val="0"/>
              <w:spacing w:before="0" w:after="283"/>
              <w:jc w:val="left"/>
              <w:rPr/>
            </w:pPr>
            <w:r>
              <w:rPr/>
              <w:t>Synlogic Real Estate Leases</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4.11</w:t>
            </w:r>
          </w:p>
        </w:tc>
      </w:tr>
      <w:tr>
        <w:trPr/>
        <w:tc>
          <w:tcPr>
            <w:tcW w:w="5218" w:type="dxa"/>
            <w:tcBorders/>
            <w:vAlign w:val="bottom"/>
          </w:tcPr>
          <w:p>
            <w:pPr>
              <w:pStyle w:val="TableContents"/>
              <w:bidi w:val="0"/>
              <w:spacing w:before="0" w:after="283"/>
              <w:jc w:val="left"/>
              <w:rPr/>
            </w:pPr>
            <w:r>
              <w:rPr/>
              <w:t>Synlogic SEC Documents</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4.7(a)</w:t>
            </w:r>
          </w:p>
        </w:tc>
      </w:tr>
      <w:tr>
        <w:trPr/>
        <w:tc>
          <w:tcPr>
            <w:tcW w:w="5218" w:type="dxa"/>
            <w:tcBorders/>
            <w:vAlign w:val="bottom"/>
          </w:tcPr>
          <w:p>
            <w:pPr>
              <w:pStyle w:val="TableContents"/>
              <w:bidi w:val="0"/>
              <w:spacing w:before="0" w:after="283"/>
              <w:jc w:val="left"/>
              <w:rPr/>
            </w:pPr>
            <w:r>
              <w:rPr/>
              <w:t>Synlogic Stockholder Matters</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Recitals</w:t>
            </w:r>
          </w:p>
        </w:tc>
      </w:tr>
      <w:tr>
        <w:trPr/>
        <w:tc>
          <w:tcPr>
            <w:tcW w:w="5218" w:type="dxa"/>
            <w:tcBorders/>
            <w:vAlign w:val="bottom"/>
          </w:tcPr>
          <w:p>
            <w:pPr>
              <w:pStyle w:val="TableContents"/>
              <w:bidi w:val="0"/>
              <w:spacing w:before="0" w:after="283"/>
              <w:jc w:val="left"/>
              <w:rPr/>
            </w:pPr>
            <w:r>
              <w:rPr/>
              <w:t>Synlogic Stockholder Meeting</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7.3(a)</w:t>
            </w:r>
          </w:p>
        </w:tc>
      </w:tr>
      <w:tr>
        <w:trPr/>
        <w:tc>
          <w:tcPr>
            <w:tcW w:w="5218" w:type="dxa"/>
            <w:tcBorders/>
            <w:vAlign w:val="bottom"/>
          </w:tcPr>
          <w:p>
            <w:pPr>
              <w:pStyle w:val="TableContents"/>
              <w:bidi w:val="0"/>
              <w:spacing w:before="0" w:after="283"/>
              <w:jc w:val="left"/>
              <w:rPr/>
            </w:pPr>
            <w:r>
              <w:rPr/>
              <w:t>Synlogic Stockholder Support Agreement</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Recitals</w:t>
            </w:r>
          </w:p>
        </w:tc>
      </w:tr>
      <w:tr>
        <w:trPr/>
        <w:tc>
          <w:tcPr>
            <w:tcW w:w="5218" w:type="dxa"/>
            <w:tcBorders/>
            <w:vAlign w:val="bottom"/>
          </w:tcPr>
          <w:p>
            <w:pPr>
              <w:pStyle w:val="TableContents"/>
              <w:bidi w:val="0"/>
              <w:spacing w:before="0" w:after="283"/>
              <w:jc w:val="left"/>
              <w:rPr/>
            </w:pPr>
            <w:r>
              <w:rPr/>
              <w:t>Synlogic Termination Fee</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10.3(b)</w:t>
            </w:r>
          </w:p>
        </w:tc>
      </w:tr>
      <w:tr>
        <w:trPr/>
        <w:tc>
          <w:tcPr>
            <w:tcW w:w="5218" w:type="dxa"/>
            <w:tcBorders/>
            <w:vAlign w:val="bottom"/>
          </w:tcPr>
          <w:p>
            <w:pPr>
              <w:pStyle w:val="TableContents"/>
              <w:bidi w:val="0"/>
              <w:spacing w:before="0" w:after="283"/>
              <w:jc w:val="left"/>
              <w:rPr/>
            </w:pPr>
            <w:r>
              <w:rPr/>
              <w:t>Termination Fee</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10.3(b)</w:t>
            </w:r>
          </w:p>
        </w:tc>
      </w:tr>
      <w:tr>
        <w:trPr/>
        <w:tc>
          <w:tcPr>
            <w:tcW w:w="5218" w:type="dxa"/>
            <w:tcBorders/>
            <w:vAlign w:val="bottom"/>
          </w:tcPr>
          <w:p>
            <w:pPr>
              <w:pStyle w:val="TableContents"/>
              <w:bidi w:val="0"/>
              <w:spacing w:before="0" w:after="283"/>
              <w:jc w:val="left"/>
              <w:rPr/>
            </w:pPr>
            <w:r>
              <w:rPr/>
              <w:t>Transaction Litigation</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7.4(c)</w:t>
            </w:r>
          </w:p>
        </w:tc>
      </w:tr>
      <w:tr>
        <w:trPr/>
        <w:tc>
          <w:tcPr>
            <w:tcW w:w="5218" w:type="dxa"/>
            <w:tcBorders/>
            <w:vAlign w:val="bottom"/>
          </w:tcPr>
          <w:p>
            <w:pPr>
              <w:pStyle w:val="TableContents"/>
              <w:bidi w:val="0"/>
              <w:spacing w:before="0" w:after="283"/>
              <w:jc w:val="left"/>
              <w:rPr/>
            </w:pPr>
            <w:r>
              <w:rPr/>
              <w:t>Transaction Litigation Party</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7.4(c)</w:t>
            </w:r>
          </w:p>
        </w:tc>
      </w:tr>
      <w:tr>
        <w:trPr/>
        <w:tc>
          <w:tcPr>
            <w:tcW w:w="5218" w:type="dxa"/>
            <w:tcBorders/>
            <w:vAlign w:val="bottom"/>
          </w:tcPr>
          <w:p>
            <w:pPr>
              <w:pStyle w:val="TableContents"/>
              <w:bidi w:val="0"/>
              <w:spacing w:before="0" w:after="283"/>
              <w:jc w:val="left"/>
              <w:rPr/>
            </w:pPr>
            <w:r>
              <w:rPr/>
              <w:t>Transfer Taxes</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7.7(a)</w:t>
            </w:r>
          </w:p>
        </w:tc>
      </w:tr>
      <w:tr>
        <w:trPr/>
        <w:tc>
          <w:tcPr>
            <w:tcW w:w="5218" w:type="dxa"/>
            <w:tcBorders/>
            <w:vAlign w:val="bottom"/>
          </w:tcPr>
          <w:p>
            <w:pPr>
              <w:pStyle w:val="TableContents"/>
              <w:bidi w:val="0"/>
              <w:spacing w:before="0" w:after="283"/>
              <w:jc w:val="left"/>
              <w:rPr/>
            </w:pPr>
            <w:r>
              <w:rPr/>
              <w:t>Withholding Agent</w:t>
            </w:r>
          </w:p>
        </w:tc>
        <w:tc>
          <w:tcPr>
            <w:tcW w:w="122"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left"/>
              <w:rPr/>
            </w:pPr>
            <w:r>
              <w:rPr/>
              <w:t>2.12</w:t>
            </w:r>
          </w:p>
        </w:tc>
      </w:tr>
    </w:tbl>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Other Definitional and Interpretative Provisions</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Caldera Disclosure Schedule or the Synlogic Disclosure Schedule shall be arranged in sections and subsections corresponding to the numbered and lettered sections and subsections contained in </w:t>
      </w:r>
      <w:r>
        <w:rPr>
          <w:rFonts w:ascii="Times New Roman" w:hAnsi="Times New Roman"/>
          <w:sz w:val="20"/>
          <w:u w:val="single"/>
        </w:rPr>
        <w:t>Article III</w:t>
      </w:r>
      <w:r>
        <w:rPr>
          <w:rFonts w:ascii="Times New Roman" w:hAnsi="Times New Roman"/>
          <w:sz w:val="20"/>
        </w:rPr>
        <w:t xml:space="preserve"> or </w:t>
      </w:r>
      <w:r>
        <w:rPr>
          <w:rFonts w:ascii="Times New Roman" w:hAnsi="Times New Roman"/>
          <w:sz w:val="20"/>
          <w:u w:val="single"/>
        </w:rPr>
        <w:t>Article IV</w:t>
      </w:r>
      <w:r>
        <w:rPr>
          <w:rFonts w:ascii="Times New Roman" w:hAnsi="Times New Roman"/>
          <w:sz w:val="20"/>
        </w:rPr>
        <w:t xml:space="preserve"> respectively. The disclosures in any section or subsection of the Caldera Disclosure Schedule or the Synlogic Disclosure Schedule shall qualify other sections and subsections in </w:t>
      </w:r>
      <w:r>
        <w:rPr>
          <w:rFonts w:ascii="Times New Roman" w:hAnsi="Times New Roman"/>
          <w:sz w:val="20"/>
          <w:u w:val="single"/>
        </w:rPr>
        <w:t>Article III</w:t>
      </w:r>
      <w:r>
        <w:rPr>
          <w:rFonts w:ascii="Times New Roman" w:hAnsi="Times New Roman"/>
          <w:sz w:val="20"/>
        </w:rPr>
        <w:t xml:space="preserve"> or </w:t>
      </w:r>
      <w:r>
        <w:rPr>
          <w:rFonts w:ascii="Times New Roman" w:hAnsi="Times New Roman"/>
          <w:sz w:val="20"/>
          <w:u w:val="single"/>
        </w:rPr>
        <w:t>Article IV</w:t>
      </w:r>
      <w:r>
        <w:rPr>
          <w:rFonts w:ascii="Times New Roman" w:hAnsi="Times New Roman"/>
          <w:sz w:val="20"/>
        </w:rPr>
        <w:t xml:space="preserve"> respectively, to the extent it is readily apparent from a reading of the disclosure that such disclosure is applicable to such other sections and subsections. The words “delivered” or “made available” mean, with respect to any documentation, that prior to 5:00 p.m. (New York City time) on the date that is the day prior to the date of this Agreement, a copy of such material has been posted to and made available by a Party to the other Party and its Representatives in the electronic data room maintained by such disclosing Party for the purposes of the Contemplated Transactions. The inclusion of any information in the Caldera Disclosure Schedule or Synlogic Disclosure Schedule (or any update thereto) shall not be deemed to be an admission or acknowledgement, in and of itself, that such information is required by the terms hereof to be disclosed, is material, has resulted in or would result in a Caldera Material Adverse Effect or Synlogic Material Adverse Effect, as the case may be, or is outside the Ordinary Course of Business.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The Caldera Merger</w:t>
      </w:r>
      <w:r>
        <w:rPr>
          <w:rFonts w:ascii="Times New Roman" w:hAnsi="Times New Roman"/>
          <w:sz w:val="20"/>
        </w:rPr>
        <w:t>. Upon the terms and subject to the conditions set forth in this Agreement and subject to the applicable provisions of Delaware Law, at the Closing, Parent and Caldera shall cause Caldera Merger Sub to be merged with and into Caldera, whereupon the separate existence of Caldera Merger Sub shall cease and Caldera shall continue as the surviving corporation of the Caldera Merger and as a wholly owned Subsidiary of Parent (the “</w:t>
      </w:r>
      <w:r>
        <w:rPr>
          <w:rFonts w:ascii="Times New Roman" w:hAnsi="Times New Roman"/>
          <w:b/>
          <w:sz w:val="20"/>
        </w:rPr>
        <w:t>Caldera Merger</w:t>
      </w:r>
      <w:r>
        <w:rPr>
          <w:rFonts w:ascii="Times New Roman" w:hAnsi="Times New Roman"/>
          <w:sz w:val="20"/>
        </w:rPr>
        <w:t xml:space="preserve"> </w:t>
      </w:r>
      <w:r>
        <w:rPr>
          <w:rFonts w:ascii="Times New Roman" w:hAnsi="Times New Roman"/>
          <w:b/>
          <w:sz w:val="20"/>
        </w:rPr>
        <w:t>Surviving Corporation</w:t>
      </w:r>
      <w:r>
        <w:rPr>
          <w:rFonts w:ascii="Times New Roman" w:hAnsi="Times New Roman"/>
          <w:sz w:val="20"/>
        </w:rPr>
        <w:t>”). Parent and Caldera shall cause the Caldera Merger to be consummated and effective under Delaware Law by executing and filing with the Secretary of State of the State of Delaware a certificate of merger, satisfying the applicable requirements of Delaware Law in a form mutually agreed by Parent and Caldera (the “</w:t>
      </w:r>
      <w:r>
        <w:rPr>
          <w:rFonts w:ascii="Times New Roman" w:hAnsi="Times New Roman"/>
          <w:b/>
          <w:sz w:val="20"/>
        </w:rPr>
        <w:t>Caldera Certificate of Merger</w:t>
      </w:r>
      <w:r>
        <w:rPr>
          <w:rFonts w:ascii="Times New Roman" w:hAnsi="Times New Roman"/>
          <w:sz w:val="20"/>
        </w:rPr>
        <w:t>”). The Caldera Merger shall become effective at the time of the filing of such Caldera Certificate of Merger and the acceptance by the Secretary of State of the State of Delaware, or at such later time as may be specified in such Caldera Certificate of Merger with the consent of Synlogic and Caldera (the time as of which the Caldera Merger becomes effective being referred to as the “</w:t>
      </w:r>
      <w:r>
        <w:rPr>
          <w:rFonts w:ascii="Times New Roman" w:hAnsi="Times New Roman"/>
          <w:b/>
          <w:sz w:val="20"/>
        </w:rPr>
        <w:t>Caldera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The Synlogic Merger</w:t>
      </w:r>
      <w:r>
        <w:rPr>
          <w:rFonts w:ascii="Times New Roman" w:hAnsi="Times New Roman"/>
          <w:sz w:val="20"/>
        </w:rPr>
        <w:t>. Immediately following the Caldera Effective Time, upon the terms and subject to the conditions set forth in this Agreement and subject to the applicable provisions of Delaware Law, Parent and Synlogic shall cause Synlogic Merger Sub to be merged with and into Synlogic, whereupon the separate existence of Synlogic Merger Sub shall cease and Synlogic shall continue as the surviving corporation of the Synlogic Merger and as a wholly owned Subsidiary of Parent (the “</w:t>
      </w:r>
      <w:r>
        <w:rPr>
          <w:rFonts w:ascii="Times New Roman" w:hAnsi="Times New Roman"/>
          <w:b/>
          <w:sz w:val="20"/>
        </w:rPr>
        <w:t>Synlogic Merger</w:t>
      </w:r>
      <w:r>
        <w:rPr>
          <w:rFonts w:ascii="Times New Roman" w:hAnsi="Times New Roman"/>
          <w:sz w:val="20"/>
        </w:rPr>
        <w:t xml:space="preserve"> </w:t>
      </w:r>
      <w:r>
        <w:rPr>
          <w:rFonts w:ascii="Times New Roman" w:hAnsi="Times New Roman"/>
          <w:b/>
          <w:sz w:val="20"/>
        </w:rPr>
        <w:t>Surviving Corporation</w:t>
      </w:r>
      <w:r>
        <w:rPr>
          <w:rFonts w:ascii="Times New Roman" w:hAnsi="Times New Roman"/>
          <w:sz w:val="20"/>
        </w:rPr>
        <w:t>”). Parent and Synlogic shall cause the Synlogic Merger to be consummated and effective under Delaware Law by executing and filing with the Secretary of State of the State of Delaware a certificate of merger, satisfying the applicable requirements of Delaware Law in a form mutually agreed by Synlogic and Caldera (the “</w:t>
      </w:r>
      <w:r>
        <w:rPr>
          <w:rFonts w:ascii="Times New Roman" w:hAnsi="Times New Roman"/>
          <w:b/>
          <w:sz w:val="20"/>
        </w:rPr>
        <w:t>Synlogic Certificate of Merger</w:t>
      </w:r>
      <w:r>
        <w:rPr>
          <w:rFonts w:ascii="Times New Roman" w:hAnsi="Times New Roman"/>
          <w:sz w:val="20"/>
        </w:rPr>
        <w:t>”). The Synlogic Merger shall become effective at the time of the filing of such Synlogic Certificate of Merger and the acceptance by the Secretary of State of the State of Delaware, or at such later time as may be specified in such Synlogic Certificate of Merger with the consent of Synlogic and Caldera; provided that, for the avoidance of doubt, the Synlogic Merger shall be effective after the Caldera Effective Time (the time as of which the Mergers become effective being referred to as the “</w:t>
      </w:r>
      <w:r>
        <w:rPr>
          <w:rFonts w:ascii="Times New Roman" w:hAnsi="Times New Roman"/>
          <w:b/>
          <w:sz w:val="20"/>
        </w:rPr>
        <w:t>Synlogic Effective Time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Closing</w:t>
      </w:r>
      <w:r>
        <w:rPr>
          <w:rFonts w:ascii="Times New Roman" w:hAnsi="Times New Roman"/>
          <w:sz w:val="20"/>
        </w:rPr>
        <w:t>. Subject to the satisfaction or waiver of the conditions set forth in this Agreement, the consummation of the Mergers (the “</w:t>
      </w:r>
      <w:r>
        <w:rPr>
          <w:rFonts w:ascii="Times New Roman" w:hAnsi="Times New Roman"/>
          <w:b/>
          <w:sz w:val="20"/>
        </w:rPr>
        <w:t>Closing</w:t>
      </w:r>
      <w:r>
        <w:rPr>
          <w:rFonts w:ascii="Times New Roman" w:hAnsi="Times New Roman"/>
          <w:sz w:val="20"/>
        </w:rPr>
        <w:t xml:space="preserve">”) shall take place remotely via the electronic exchange of documents and signatures, (a) no later than the second Business Day after all the conditions precedent set forth in </w:t>
      </w:r>
      <w:r>
        <w:rPr>
          <w:rFonts w:ascii="Times New Roman" w:hAnsi="Times New Roman"/>
          <w:sz w:val="20"/>
          <w:u w:val="single"/>
        </w:rPr>
        <w:t>Article VII</w:t>
      </w:r>
      <w:r>
        <w:rPr>
          <w:rFonts w:ascii="Times New Roman" w:hAnsi="Times New Roman"/>
          <w:sz w:val="20"/>
        </w:rPr>
        <w:t xml:space="preserve"> shall have been satisfied or waived (other than those conditions that, by their nature, are to be satisfied at the Closing (provided such conditions would be so satisfied)) or (b) at such other time, date and place as the Parties may mutually agree in writing. The date on which the Closing actually takes place is referred to as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Organizational Documents; Directors and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Caldera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 the certificate of incorporation of the Caldera Merger Surviving Corporation shall be amended and restated at or prior to the Caldera Effective Time as set forth in an exhibit to the Caldera Certificate of Merger, and as so amended and restated shall be the certificate of incorporation of the Caldera Merger Surviving Corporation until thereafter amended as provided by Delaware Law; </w:t>
      </w:r>
    </w:p>
    <w:p>
      <w:pPr>
        <w:pStyle w:val="TextBody"/>
        <w:bidi w:val="0"/>
        <w:spacing w:before="240" w:after="0"/>
        <w:jc w:val="left"/>
        <w:rPr>
          <w:rFonts w:ascii="Times New Roman" w:hAnsi="Times New Roman"/>
          <w:sz w:val="20"/>
        </w:rPr>
      </w:pPr>
      <w:r>
        <w:rPr>
          <w:rFonts w:ascii="Times New Roman" w:hAnsi="Times New Roman"/>
          <w:sz w:val="20"/>
        </w:rPr>
        <w:t xml:space="preserve">(ii) the bylaws of the Caldera Merger Surviving Corporation shall be amended and restated to be identical to the bylaws of Caldera Merger Sub as in effect immediately prior to the Caldera Effective Time (with the name of Caldera Therapeutics Sub, Inc. as the Caldera Merger Surviving Corporation’s name) until thereafter amended in accordance with Delaware Law and as provided in Caldera Merger Surviving Corporation’s Organizational Documents; and </w:t>
      </w:r>
    </w:p>
    <w:p>
      <w:pPr>
        <w:pStyle w:val="TextBody"/>
        <w:bidi w:val="0"/>
        <w:spacing w:before="240" w:after="0"/>
        <w:jc w:val="left"/>
        <w:rPr>
          <w:rFonts w:ascii="Times New Roman" w:hAnsi="Times New Roman"/>
          <w:sz w:val="20"/>
        </w:rPr>
      </w:pPr>
      <w:r>
        <w:rPr>
          <w:rFonts w:ascii="Times New Roman" w:hAnsi="Times New Roman"/>
          <w:sz w:val="20"/>
        </w:rPr>
        <w:t xml:space="preserve">(iii) the directors and officers of Caldera Merger Surviving Corporation, each to hold office in accordance with the provisions of Delaware Law and Caldera Merger Surviving Corporation’s Organizational Documents shall be as set forth in </w:t>
      </w:r>
      <w:r>
        <w:rPr>
          <w:rFonts w:ascii="Times New Roman" w:hAnsi="Times New Roman"/>
          <w:sz w:val="20"/>
          <w:u w:val="single"/>
        </w:rPr>
        <w:t>Section 7.10(c)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At the Synlogic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 the certificate of incorporation of the Synlogic Merger Surviving Corporation shall be amended and restated as set forth in an exhibit to the Synlogic Certificate of Merger, and as so amended and restated shall be the certificate of incorporation of the Synlogic Merger Surviving Corporation until thereafter amended as provided by Delaware Law; </w:t>
      </w:r>
    </w:p>
    <w:p>
      <w:pPr>
        <w:pStyle w:val="TextBody"/>
        <w:bidi w:val="0"/>
        <w:spacing w:before="240" w:after="0"/>
        <w:jc w:val="left"/>
        <w:rPr>
          <w:rFonts w:ascii="Times New Roman" w:hAnsi="Times New Roman"/>
          <w:sz w:val="20"/>
        </w:rPr>
      </w:pPr>
      <w:r>
        <w:rPr>
          <w:rFonts w:ascii="Times New Roman" w:hAnsi="Times New Roman"/>
          <w:sz w:val="20"/>
        </w:rPr>
        <w:t xml:space="preserve">(ii) the bylaws of the Synlogic Merger Surviving Corporation shall be amended and restated to be identical to the bylaws of Synlogic Merger Sub as in effect immediately prior to the Synlogic Effective Time (with the name of Synlogic, Inc. as the Synlogic Merger Surviving Corporation’s name) until thereafter amended in accordance with Delaware Law and as provided in Synlogic Merger Surviving Corporation’s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(iii) the directors and officers of Synlogic Merger Surviving Corporation, each to hold office in accordance with the provisions of Delaware Law and Synlogic Merger Surviving Corporation’s Organizational Documents shall be as set forth in </w:t>
      </w:r>
      <w:r>
        <w:rPr>
          <w:rFonts w:ascii="Times New Roman" w:hAnsi="Times New Roman"/>
          <w:sz w:val="20"/>
          <w:u w:val="single"/>
        </w:rPr>
        <w:t>Section 7.10(b)</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(iv) Parent shall file one or more amendments to its certificate of incorporation to change the name of Parent to Caldera Therapeutics,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Following the Synlogic Effective Time, Parent shall further take all actions reasonably necessary so that the certificate of incorporation of Parent shall remain in effect, until thereafter amended as provided by Delaware Law, provided, however, that at or prior to the Synlogic Effective Time, Parent shall file one or more amendments to its certificate of incorporation to make such other changes as are agreeable to Caldera.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Conversion of Shares of Caldera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Immediately prior to the Caldera Effective Time, all issued and outstanding Caldera Preferred Stock shall be converted into Caldera Common Stock in accordance with, and pursuant to the terms and conditions of, the Organizational Documents of Caldera (the “</w:t>
      </w:r>
      <w:r>
        <w:rPr>
          <w:rFonts w:ascii="Times New Roman" w:hAnsi="Times New Roman"/>
          <w:b/>
          <w:sz w:val="20"/>
        </w:rPr>
        <w:t>Caldera Preferred Stock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At the Caldera Effective Time (after giving effect to Caldera Preferred Stock Conversion), by virtue of the Caldera Merger and without any further action on the part of Caldera, Parent, Caldera Merger Sub, or any stockholder of Caldera, subject to </w:t>
      </w:r>
      <w:r>
        <w:rPr>
          <w:rFonts w:ascii="Times New Roman" w:hAnsi="Times New Roman"/>
          <w:sz w:val="20"/>
          <w:u w:val="single"/>
        </w:rPr>
        <w:t>Section 2.5(d)</w:t>
      </w:r>
      <w:r>
        <w:rPr>
          <w:rFonts w:ascii="Times New Roman" w:hAnsi="Times New Roman"/>
          <w:sz w:val="20"/>
        </w:rPr>
        <w:t xml:space="preserve">, the Caldera Common Stock outstanding immediately prior to the Caldera Effective Time (including the shares of Caldera Common Stock issued pursuant to the Concurrent Financing) shall be converted solely into the right to receive a number of shares of Parent Common Stock equal to the Caldera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(c) If any Caldera Common Stock underlying any restricted stock award agreement or other similar agreement with Caldera outstanding immediately prior to the Caldera Effective Time is unvested or is subject to a repurchase option or a risk of forfeiture, then the shares of Parent Common Stock issued in exchange for such Caldera Common Stock will to the same extent be unvested and subject to the same repurchase option or risk of forfeiture and other applicable terms and conditions, and such shares of Parent Common Stock shall accordingly be marked with appropriate legends. From and after the Closing, Parent shall be entitled to exercise any such repurchase option or other right set forth in any such restricted stock award agreement or other agreement without any further action by Caldera, Parent, Caldera Merger Sub or any holder of Caldera Capital Stock. </w:t>
      </w:r>
    </w:p>
    <w:p>
      <w:pPr>
        <w:pStyle w:val="TextBody"/>
        <w:bidi w:val="0"/>
        <w:spacing w:before="240" w:after="0"/>
        <w:jc w:val="left"/>
        <w:rPr>
          <w:rFonts w:ascii="Times New Roman" w:hAnsi="Times New Roman"/>
          <w:sz w:val="20"/>
        </w:rPr>
      </w:pPr>
      <w:r>
        <w:rPr>
          <w:rFonts w:ascii="Times New Roman" w:hAnsi="Times New Roman"/>
          <w:sz w:val="20"/>
        </w:rPr>
        <w:t xml:space="preserve">(d) No fractional shares of Parent Common Stock shall be issued in connection with the Caldera Merger, and no certificates or scrip for any such fractional shares shall be issued, with no cash being paid for any fractional share eliminated by such rounding. Any fractional shares of Parent Common Stock a holder of Caldera Common Stock would otherwise be entitled to receive shall be aggregated together first prior to eliminating any remaining fractional share. Any remaining fractional share of Parent Common Stock will be rounded up to the nearest whole share. </w:t>
      </w:r>
    </w:p>
    <w:p>
      <w:pPr>
        <w:pStyle w:val="TextBody"/>
        <w:bidi w:val="0"/>
        <w:spacing w:before="240" w:after="0"/>
        <w:jc w:val="left"/>
        <w:rPr>
          <w:rFonts w:ascii="Times New Roman" w:hAnsi="Times New Roman"/>
          <w:sz w:val="20"/>
        </w:rPr>
      </w:pPr>
      <w:r>
        <w:rPr>
          <w:rFonts w:ascii="Times New Roman" w:hAnsi="Times New Roman"/>
          <w:sz w:val="20"/>
        </w:rPr>
        <w:t xml:space="preserve">(e) At the Caldera Effective Time, by virtue of the Caldera Merger and without any further action on the part of Caldera, Parent, Caldera Merger Sub, or any stockholder of Caldera, each share of common stock, $0.001 par value per share, of Caldera Merger Sub issued and outstanding immediately prior to the Caldera Effective Time shall be converted into and exchanged for one validly issued, fully paid and nonassessable share of common stock, $0.001 par value per share, of the Caldera Merger Surviving Corporation. If applicable, each stock certificate of Caldera Merger Sub evidencing ownership of any such shares shall, as of the Caldera Effective Time, evidence ownership of such shares of common stock of the Caldera Merger Surviving Corporation until presented for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(f) If, between the date of this Agreement and the Caldera Effective Time, the outstanding Caldera Common Stock or Parent Common Stock shall have been changed into, or exchanged for, a different number of shares or a different class, by reason of any stock dividend, subdivision, reclassification, recapitalization, split, combination or exchange of shares or other like change, Caldera Merger Shares shall, to the extent necessary, be equitably adjusted to reflect such change to the extent necessary to provide the holders of Caldera Common Stock and Parent Common Stock with the same economic effect as contemplated by this Agreement prior to such stock dividend, subdivision, reclassification, recapitalization, split, combination or exchange of shares or other like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will be construed to permit Caldera or Parent to take any action with respect to Caldera Common Stock or Parent Common Stock, respectively, that is prohibited or not expressly permitted by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At the Caldera Effective Time, each Caldera Option outstanding and unexercised immediately prior to the Caldera Effective Time shall automatically without any further action on the part of Caldera, Parent, Caldera Merger Sub, or any holder of a Caldera Option, be assumed and converted into an option (an “</w:t>
      </w:r>
      <w:r>
        <w:rPr>
          <w:rFonts w:ascii="Times New Roman" w:hAnsi="Times New Roman"/>
          <w:b/>
          <w:sz w:val="20"/>
        </w:rPr>
        <w:t>Assumed Caldera Option</w:t>
      </w:r>
      <w:r>
        <w:rPr>
          <w:rFonts w:ascii="Times New Roman" w:hAnsi="Times New Roman"/>
          <w:sz w:val="20"/>
        </w:rPr>
        <w:t xml:space="preserve">”) to acquire, on the same terms and conditions (including the same vesting and exercisability terms and conditions) as were applicable under the Caldera Equity Plan and option agreement applicable to such Caldera Option immediately prior to the Caldera Effective Time, the number of shares of Parent Common Stock determined by multiplying the number of shares of Caldera Common Stock subject to such Caldera Option immediately prior to the Caldera Effective Time by the Caldera Exchange Ratio, rounding down to the nearest whole number of shares, at a per share exercise price determined by dividing the per share exercise price of such Caldera Option immediately prior to the Caldera Effective Time by the Caldera Exchange Ratio, rounding up to the nearest whole cent; </w:t>
      </w:r>
      <w:r>
        <w:rPr>
          <w:rFonts w:ascii="Times New Roman" w:hAnsi="Times New Roman"/>
          <w:sz w:val="20"/>
          <w:u w:val="single"/>
        </w:rPr>
        <w:t>provided</w:t>
      </w:r>
      <w:r>
        <w:rPr>
          <w:rFonts w:ascii="Times New Roman" w:hAnsi="Times New Roman"/>
          <w:sz w:val="20"/>
        </w:rPr>
        <w:t xml:space="preserve">, that the conversion of the Caldera Options will be made in a manner consistent with Treasury Regulations Section 1.424-1, such that the conversion will not constitute a “modification” of such Caldera Options for purposes of Section 409A or Section 424 of the Code. As of the Caldera Effective Time, Parent will assume the Caldera Equity Plan;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 the terms of the Assumed Caldera Options shall be further amended as may be necessary to reflect such assumption and conversion of the Caldera Options into Assumed Caldera Options (such as by making any change in control or similar definition relate to Parent instead of Caldera and having any provision that provides for the adjustment of Caldera Options upon the occurrence of certain corporate events of Caldera relate to similar corporate events of Parent instead); and (ii) the Parent Board or a committee thereof shall succeed to the authority and responsibility of the Caldera Board or any committee thereof with respect to each Assumed Caldera Option. </w:t>
      </w:r>
    </w:p>
    <w:p>
      <w:pPr>
        <w:pStyle w:val="TextBody"/>
        <w:bidi w:val="0"/>
        <w:spacing w:before="240" w:after="0"/>
        <w:jc w:val="left"/>
        <w:rPr>
          <w:rFonts w:ascii="Times New Roman" w:hAnsi="Times New Roman"/>
          <w:sz w:val="20"/>
        </w:rPr>
      </w:pPr>
      <w:r>
        <w:rPr>
          <w:rFonts w:ascii="Times New Roman" w:hAnsi="Times New Roman"/>
          <w:sz w:val="20"/>
        </w:rPr>
        <w:t xml:space="preserve">(h) As soon as reasonably practicable following the Closing Date (but in no event later than five (5) Business Days after Parent first becomes eligible to use Form S-8 for the Assumed Caldera Options and Assumed Synlogic Options), Parent will file an appropriate registration statement on Form S-8 (or such other appropriate form, if required) with respect to the offering of the shares of Parent Common Stock issuable upon the exercise of the Assumed Caldera Options and Assumed Synlogic Options and will use reasonable best efforts to maintain the effectiveness of the registration statement thereafter for so long as any of such options remain outstanding.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Conversion of Shares of Synlogic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Synlogic Effective Time, by virtue of the Synlogic Merger and without any further action on the part of Synlogic, Parent, Synlogic Merger Sub, or any stockholder of Synlogic, subject to </w:t>
      </w:r>
      <w:r>
        <w:rPr>
          <w:rFonts w:ascii="Times New Roman" w:hAnsi="Times New Roman"/>
          <w:sz w:val="20"/>
          <w:u w:val="single"/>
        </w:rPr>
        <w:t>Section 2.6(e)</w:t>
      </w:r>
      <w:r>
        <w:rPr>
          <w:rFonts w:ascii="Times New Roman" w:hAnsi="Times New Roman"/>
          <w:sz w:val="20"/>
        </w:rPr>
        <w:t xml:space="preserve">, each share of Synlogic Common Stock outstanding immediately prior to the Synlogic Effective Time shall be converted into the right to receive a number of shares of Parent Common Stock equal to the Synlogic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(b) At the Synlogic Effective Time, each Synlogic Warrant shall be treated in accordance with its terms. As soon as reasonably possible following the date hereof, Synlogic shall provide, in accordance with the terms of such Synlogic Warrant, any notices required to be provided to the holder of such Synlogic Warrant, the form of which shall be given to Caldera and its counsel for a reasonable opportunity to review and comment before such notice is provided to the holder of such Synlogic Warrant, and take all such other actions that may be required in accordance with the terms of such Synlogic Warrant prior to the Synlogic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any Synlogic Common Stock outstanding immediately prior to the Synlogic Effective Time, respectively, is unvested or is subject to a repurchase option or a risk of forfeiture under any applicable restricted stock award agreement or other similar agreement with Synlogic, then the shares of Parent Common Stock issued in exchange for such Synlogic Common Stock will to the same extent be unvested and subject to the same repurchase option or risk of forfeiture and other applicable terms and conditions, and such shares of Parent Common Stock shall accordingly be marked with appropriate legends. Synlogic shall take all actions that may be necessary to ensure that, from and after the Synlogic Effective Time, Parent is entitled to exercise any such repurchase option or other right set forth in any such restricted stock award agreement or other agreement. </w:t>
      </w:r>
    </w:p>
    <w:p>
      <w:pPr>
        <w:pStyle w:val="TextBody"/>
        <w:bidi w:val="0"/>
        <w:spacing w:before="240" w:after="0"/>
        <w:jc w:val="left"/>
        <w:rPr>
          <w:rFonts w:ascii="Times New Roman" w:hAnsi="Times New Roman"/>
          <w:sz w:val="20"/>
        </w:rPr>
      </w:pPr>
      <w:r>
        <w:rPr>
          <w:rFonts w:ascii="Times New Roman" w:hAnsi="Times New Roman"/>
          <w:sz w:val="20"/>
        </w:rPr>
        <w:t xml:space="preserve">(d) No fractional shares of Parent Common Stock shall be issued in connection with the Synlogic Merger, and no certificates or scrip for any such fractional shares shall be issued, with no cash being paid for any fractional share eliminated by such rounding. Any fractional shares of Parent Common Stock a holder of Synlogic Common Stock would otherwise be entitled to receive shall be aggregated together first prior to eliminating any remaining fractional share. Any remaining fractional share of Parent Common Stock will be rounded up to the nearest whole share. </w:t>
      </w:r>
    </w:p>
    <w:p>
      <w:pPr>
        <w:pStyle w:val="TextBody"/>
        <w:bidi w:val="0"/>
        <w:spacing w:before="240" w:after="0"/>
        <w:jc w:val="left"/>
        <w:rPr>
          <w:rFonts w:ascii="Times New Roman" w:hAnsi="Times New Roman"/>
          <w:sz w:val="20"/>
        </w:rPr>
      </w:pPr>
      <w:r>
        <w:rPr>
          <w:rFonts w:ascii="Times New Roman" w:hAnsi="Times New Roman"/>
          <w:sz w:val="20"/>
        </w:rPr>
        <w:t xml:space="preserve">(e) At the Synlogic Effective Time, by virtue of the Synlogic Merger and without any further action on the part of Synlogic, Parent, Synlogic Merger Sub, or any stockholder of Synlogic, each share of common stock, $0.001 par value per share, of Synlogic Merger Sub issued and outstanding immediately prior to the Synlogic Effective Time shall be converted into and exchanged for one validly issued, fully paid and nonassessable share of common stock, $0.001 par value per share, of the Synlogic Merger Surviving Corporation. If applicable, each stock certificate of Synlogic Merger Sub evidencing ownership of any such shares shall, as of the Synlogic Effective Time, evidence ownership of such shares of common stock of the Synlogic Merger Surviving Corporation until presented for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(f) If, between the date of this Agreement and the Synlogic Effective Time, the outstanding Synlogic Common Stock or Parent Common Stock shall have been changed into, or exchanged for, a different number of shares or a different class, by reason of any stock dividend, subdivision, reclassification, recapitalization, split, combination or exchange of shares or other like change, Synlogic Merger Shares shall, to the extent necessary, be equitably adjusted to reflect such change to the extent necessary to provide the holders of Synlogic Common Stock and Parent Common Stock with the same economic effect as contemplated by this Agreement prior to such stock dividend, subdivision, reclassification, recapitalization, split, combination or exchange of shares or other like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will be construed to permit Synlogic or Parent to take any action with respect to Synlogic Common Stock or Parent Common Stock, respectively, that is prohibited or not expressly permitted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(g) Each outstanding Synlogic ITM Option immediately prior to the Synlogic Effective Time shall automatically without any further action on the part of Synlogic, Parent, Synlogic Merger Sub, or any holder of a Synlogic Option, become fully vested and be converted, at the Synlogic Effective Time, into a net exercised share of Parent Common Stock determined by (i) multiplying the number of shares of Synlogic Common Stock subject to such Synlogic Option immediately prior to the Synlogic Effective Time by the Synlogic Exchange Ratio, rounding down to the nearest whole number of shares, and (ii) reducing such number of shares of Parent Common Stock by the number of shares of Parent Common Stock with an aggregate value equal to the sum of (a) the total exercise price for such Synlogic Option (determined by dividing the per share exercise price of such Synlogic Option immediately prior to the Synlogic Effective Time by the Synlogic Exchange Ratio, rounding up to the nearest whole cent) plus (b) any required withholding taxes required to be paid by Synlogic with respect to such net exercise, and (c) dividing such sum of (a) and (b) by the per share price of Parent Common Stock as of the Effective Time (such net number of shares of Parent Common Stock the “</w:t>
      </w:r>
      <w:r>
        <w:rPr>
          <w:rFonts w:ascii="Times New Roman" w:hAnsi="Times New Roman"/>
          <w:b/>
          <w:sz w:val="20"/>
        </w:rPr>
        <w:t>Net Synlogic Option Shares</w:t>
      </w:r>
      <w:r>
        <w:rPr>
          <w:rFonts w:ascii="Times New Roman" w:hAnsi="Times New Roman"/>
          <w:sz w:val="20"/>
        </w:rPr>
        <w:t xml:space="preserve">”);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that the net exercise of the Synlogic Options will be made in a manner consistent with applicable Law. Each outstanding Synlogic Option that is not a Synlogic ITM Option immediately prior to the Synlogic Effective Time shall automatically without any further action on the part of Synlogic, Parent, Synlogic Merger Sub, or any holder of a Synlogic Option, be assumed and converted into an option (an “</w:t>
      </w:r>
      <w:r>
        <w:rPr>
          <w:rFonts w:ascii="Times New Roman" w:hAnsi="Times New Roman"/>
          <w:b/>
          <w:sz w:val="20"/>
        </w:rPr>
        <w:t>Assumed Synlogic Option</w:t>
      </w:r>
      <w:r>
        <w:rPr>
          <w:rFonts w:ascii="Times New Roman" w:hAnsi="Times New Roman"/>
          <w:sz w:val="20"/>
        </w:rPr>
        <w:t xml:space="preserve">”) to acquire, on the same terms and conditions (including the same vesting and exercisability terms and conditions) as were applicable under the Synlogic Equity Plans and option agreement applicable to such Synlogic Option immediately prior to the Synlogic Effective Time, the number of shares of Parent Common Stock determined by multiplying the number of shares of Synlogic Common Stock subject to such Synlogic Option immediately prior to the Synlogic Effective Time by the Synlogic Exchange Ratio, rounding down to the nearest whole number of shares, at a per share exercise price determined by dividing the per share exercise price of such Synlogic Option immediately prior to the Synlogic Effective Time by the Synlogic Exchange Ratio, rounding up to the nearest whole cent; provided, that the conversion of the Synlogic Options will be made in a manner consistent with Treasury Regulations Section 1.424-1, such that the conversion will not constitute a “modification” of such Synlogic Options for purposes of Section 409A or Section 424 of the Code. As of the Synlogic Effective Time, Parent will assume the Synlogic Equity Plans; provided, further, that (i) the terms of the Synlogic Options shall be further amended as may be necessary to reflect such assumption and conversion of the Synlogic Options into Assumed Synlogic Options (such as by making any change in control or similar definition relate to Parent instead of Synlogic and having any provision that provides for the adjustment of Synlogic Options upon the occurrence of certain corporate events of Synlogic relate to similar corporate events of Parent instead); and (ii) the Parent Board or a committee thereof shall succeed to the authority and responsibility of the Synlogic Board or any committee thereof with respect to each Assumed Synlogic Option.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Closing of Transfer Books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Caldera Effective Time, (i) all Caldera Common Stock outstanding immediately prior to the Caldera Effective Time shall be treated in accordance with </w:t>
      </w:r>
      <w:r>
        <w:rPr>
          <w:rFonts w:ascii="Times New Roman" w:hAnsi="Times New Roman"/>
          <w:sz w:val="20"/>
          <w:u w:val="single"/>
        </w:rPr>
        <w:t>Section 2.5</w:t>
      </w:r>
      <w:r>
        <w:rPr>
          <w:rFonts w:ascii="Times New Roman" w:hAnsi="Times New Roman"/>
          <w:sz w:val="20"/>
        </w:rPr>
        <w:t xml:space="preserve">, and all holders of certificates representing Caldera Common Stock that were outstanding immediately prior to the Caldera Effective Time shall cease to have any rights as stockholders of Caldera (other than the right to receive Caldera Merger Shares) and (ii) the stock transfer books of Caldera shall be closed with respect to all Caldera Common Stock outstanding immediately prior to the Caldera Effective Time. No further transfer of any such Caldera Common Stock shall be made on such stock transfer books after the Caldera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At the Synlogic Effective Time: (i) all Synlogic Common Stock outstanding immediately prior to the Synlogic Effective Time shall be treated in accordance with </w:t>
      </w:r>
      <w:r>
        <w:rPr>
          <w:rFonts w:ascii="Times New Roman" w:hAnsi="Times New Roman"/>
          <w:sz w:val="20"/>
          <w:u w:val="single"/>
        </w:rPr>
        <w:t>Section 2.6</w:t>
      </w:r>
      <w:r>
        <w:rPr>
          <w:rFonts w:ascii="Times New Roman" w:hAnsi="Times New Roman"/>
          <w:sz w:val="20"/>
        </w:rPr>
        <w:t xml:space="preserve">, and all holders of certificates representing Synlogic Common Stock that were outstanding immediately prior to the Synlogic Effective Time shall cease to have any rights as stockholders of Synlogic (other than the right to receive Synlogic Merger Shares) and (ii) the stock transfer books of Synlogic shall be closed with respect to all Synlogic Common Stock (including any Synlogic Common Stock underlying Synlogic Warrants and Synlogic Options) outstanding immediately prior to the Synlogic Effective Time. No further transfer of any such Synlogic Common Stock shall be made on such stock transfer books after the Synlogic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Surrender of Caldera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On or prior to the Closing Date, Synlogic and Caldera shall jointly select a reputable bank, transfer agent or trust company to act as exchange agent in the Mergers (the “</w:t>
      </w:r>
      <w:r>
        <w:rPr>
          <w:rFonts w:ascii="Times New Roman" w:hAnsi="Times New Roman"/>
          <w:b/>
          <w:sz w:val="20"/>
        </w:rPr>
        <w:t>Exchange Agent</w:t>
      </w:r>
      <w:r>
        <w:rPr>
          <w:rFonts w:ascii="Times New Roman" w:hAnsi="Times New Roman"/>
          <w:sz w:val="20"/>
        </w:rPr>
        <w:t xml:space="preserve">”). At the Caldera Effective Time, Parent shall deposit with the Exchange Agent evidence of book-entry shares representing the shares of Parent Common Stock issuable pursuant to </w:t>
      </w:r>
      <w:r>
        <w:rPr>
          <w:rFonts w:ascii="Times New Roman" w:hAnsi="Times New Roman"/>
          <w:sz w:val="20"/>
          <w:u w:val="single"/>
        </w:rPr>
        <w:t>Section 2.5</w:t>
      </w:r>
      <w:r>
        <w:rPr>
          <w:rFonts w:ascii="Times New Roman" w:hAnsi="Times New Roman"/>
          <w:sz w:val="20"/>
        </w:rPr>
        <w:t xml:space="preserve"> in exchange for Caldera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Promptly after the Caldera Effective Time, the Parties shall cause the Exchange Agent to mail to the Persons who were record holders of Caldera Common Stock that were converted into the right to receive Caldera Merger Shares: (i) if required by the Exchange Agent, a letter of transmittal in customary form and containing such provisions as Parent may reasonably specify and (ii) instructions for effecting the surrender of Caldera Common Stock in exchange for book-entry shares of Parent Common Stock. Upon execution and delivery of a duly executed letter of transmittal, if required by the Exchange Agent, and such other documents as may be reasonably required by the Exchange Agent or Parent, the holder of such Caldera Common Stock shall be entitled to receive in exchange therefor book-entry shares representing Caldera Merger Shares (in a number of whole shares of Parent Common Stock) that such holder has the right to receive pursuant to the provisions of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 dividends or other distributions declared or made with respect to Parent Common Stock with a record date after the Caldera Effective Time shall be paid to the holder of any Caldera Common Stock with respect to the shares of Parent Common Stock that such holder has the right to receive in the Mergers until such holder delivers a duly executed letter of transmittal (at which time (or, if later, on the applicable payment date) such holder shall be entitled, subject to the effect of applicable abandoned property, escheat or similar Laws, to receive all such dividends and distributions,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(d) Any shares of Parent Common Stock deposited with the Exchange Agent that remain undistributed to holders of Caldera Common Stock as of the date that is 180 days after the Closing Date shall be delivered to Parent upon demand, and any holders of Caldera Common Stock who have not theretofore delivered a duly executed letter of transmittal in accordance with this </w:t>
      </w:r>
      <w:r>
        <w:rPr>
          <w:rFonts w:ascii="Times New Roman" w:hAnsi="Times New Roman"/>
          <w:sz w:val="20"/>
          <w:u w:val="single"/>
        </w:rPr>
        <w:t>Section 2.8</w:t>
      </w:r>
      <w:r>
        <w:rPr>
          <w:rFonts w:ascii="Times New Roman" w:hAnsi="Times New Roman"/>
          <w:sz w:val="20"/>
        </w:rPr>
        <w:t xml:space="preserve"> shall thereafter look only to Parent for satisfaction of their claims for Parent Common Stock and any dividends or distributions with respect to shares of Parent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No Party shall be liable to any former holder of any Caldera Common Stock or to any other Person with respect to any shares of Parent Common Stock (or dividends or distributions with respect thereto) or for any cash amounts delivered to any public official pursuant to any applicable abandoned property Law, escheat Law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Surrender of Synlogic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Synlogic Effective Time, Parent shall deposit with the Exchange Agent evidence of book-entry shares representing the shares of Parent Common Stock issuable pursuant to </w:t>
      </w:r>
      <w:r>
        <w:rPr>
          <w:rFonts w:ascii="Times New Roman" w:hAnsi="Times New Roman"/>
          <w:sz w:val="20"/>
          <w:u w:val="single"/>
        </w:rPr>
        <w:t>Section 2.6</w:t>
      </w:r>
      <w:r>
        <w:rPr>
          <w:rFonts w:ascii="Times New Roman" w:hAnsi="Times New Roman"/>
          <w:sz w:val="20"/>
        </w:rPr>
        <w:t xml:space="preserve"> in exchange for Synlogic Common Stock.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Synlogic Effective Time, the Parties shall cause the Exchange Agent to mail to the Persons who were record holders of Synlogic Common Stock that were converted into the right to receive Synlogic Merger Shares: (i) if required by the Exchange Agent, a letter of transmittal in customary form and containing such provisions as Parent may reasonably specify and (ii) instructions for effecting the surrender of Synlogic Common Stock in exchange for book-entry shares of Parent Common Stock. Upon execution and delivery of a duly executed letter of transmittal, if required by the Exchange Agent, and such other documents as may be reasonably required by the Exchange Agent or Parent, the holder of such Synlogic Common Stock shall be entitled to receive in exchange therefor book-entry shares representing Synlogic Merger Shares (in a number of whole shares of Parent Common Stock) that such holder has the right to receive pursuant to the provisions of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 dividends or other distributions declared or made with respect to Parent Common Stock with a record date after the Synlogic Effective Time shall be paid to the holder of any Synlogic Common Stock with respect to the shares of Parent Common Stock that such holder has the right to receive in the Mergers until such holder delivers a duly executed letter of transmittal (at which time (or, if later, on the applicable payment date) such holder shall be entitled, subject to the effect of applicable abandoned property, escheat or similar Laws, to receive all such dividends and distributions, without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shares of Parent Common Stock deposited with the Exchange Agent that remain undistributed to holders of Synlogic Common Stock as of the date that is 180 days after the Closing Date shall be delivered to Parent upon demand, and any holders of Synlogic Common Stock who have not theretofore delivered a duly executed letter of transmittal in accordance with this </w:t>
      </w:r>
      <w:r>
        <w:rPr>
          <w:rFonts w:ascii="Times New Roman" w:hAnsi="Times New Roman"/>
          <w:sz w:val="20"/>
          <w:u w:val="single"/>
        </w:rPr>
        <w:t>Section 2.9</w:t>
      </w:r>
      <w:r>
        <w:rPr>
          <w:rFonts w:ascii="Times New Roman" w:hAnsi="Times New Roman"/>
          <w:sz w:val="20"/>
        </w:rPr>
        <w:t xml:space="preserve"> shall thereafter look only to Parent for satisfaction of their claims for Parent Common Stock and any dividends or distributions with respect to shares of Parent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No Party shall be liable to any former holder of any Synlogic Common Stock or to any other Person with respect to any shares of Parent Common Stock (or dividends or distributions with respect thereto) or for any cash amounts delivered to any public official pursuant to any applicable abandoned property Law, escheat Law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Calculation of Net Cash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 less than ten (10) Business Days prior to the anticipated date for Closing as mutually agreed in good faith by Synlogic and Caldera (the “</w:t>
      </w:r>
      <w:r>
        <w:rPr>
          <w:rFonts w:ascii="Times New Roman" w:hAnsi="Times New Roman"/>
          <w:b/>
          <w:sz w:val="20"/>
        </w:rPr>
        <w:t>Anticipated Closing Date</w:t>
      </w:r>
      <w:r>
        <w:rPr>
          <w:rFonts w:ascii="Times New Roman" w:hAnsi="Times New Roman"/>
          <w:sz w:val="20"/>
        </w:rPr>
        <w:t>”), Synlogic will deliver to Caldera a certificate that includes a schedule (the “</w:t>
      </w:r>
      <w:r>
        <w:rPr>
          <w:rFonts w:ascii="Times New Roman" w:hAnsi="Times New Roman"/>
          <w:b/>
          <w:sz w:val="20"/>
        </w:rPr>
        <w:t>Synlogic Net Cash Schedule</w:t>
      </w:r>
      <w:r>
        <w:rPr>
          <w:rFonts w:ascii="Times New Roman" w:hAnsi="Times New Roman"/>
          <w:sz w:val="20"/>
        </w:rPr>
        <w:t>”, and the date of delivery of the Synlogic Net Cash Schedule, the “</w:t>
      </w:r>
      <w:r>
        <w:rPr>
          <w:rFonts w:ascii="Times New Roman" w:hAnsi="Times New Roman"/>
          <w:b/>
          <w:sz w:val="20"/>
        </w:rPr>
        <w:t>Delivery Date</w:t>
      </w:r>
      <w:r>
        <w:rPr>
          <w:rFonts w:ascii="Times New Roman" w:hAnsi="Times New Roman"/>
          <w:sz w:val="20"/>
        </w:rPr>
        <w:t>”) setting forth, in reasonable detail, Synlogic’s good faith, estimated calculation of Synlogic Net Cash (the “</w:t>
      </w:r>
      <w:r>
        <w:rPr>
          <w:rFonts w:ascii="Times New Roman" w:hAnsi="Times New Roman"/>
          <w:b/>
          <w:sz w:val="20"/>
        </w:rPr>
        <w:t>Synlogic Net Cash Calculation</w:t>
      </w:r>
      <w:r>
        <w:rPr>
          <w:rFonts w:ascii="Times New Roman" w:hAnsi="Times New Roman"/>
          <w:sz w:val="20"/>
        </w:rPr>
        <w:t>”) at the close of business of the Closing Date (the “</w:t>
      </w:r>
      <w:r>
        <w:rPr>
          <w:rFonts w:ascii="Times New Roman" w:hAnsi="Times New Roman"/>
          <w:b/>
          <w:sz w:val="20"/>
        </w:rPr>
        <w:t>Cash Determination Time</w:t>
      </w:r>
      <w:r>
        <w:rPr>
          <w:rFonts w:ascii="Times New Roman" w:hAnsi="Times New Roman"/>
          <w:sz w:val="20"/>
        </w:rPr>
        <w:t xml:space="preserve">”) prepared and signed by Synlogic’s chief financial officer (or if there is no chief financial officer at such time, the principal financial and accounting officer for Synlogic). Synlogic will deliver to Caldera an estimated Synlogic Net Cash Schedule seven (7) days prior to the filing of the Registration Statement and every four weeks thereafter. Synlogic shall make available to Caldera (electronically to the greatest extent possible), as reasonably requested by Caldera, the work papers and back-up materials used or useful in preparing the Synlogic Net Cash Schedule and the estimated Synlogic Net Cash Schedules and, if reasonably requested by Caldera, Synlogic’s accountants and counsel at reasonable times and upon reasonable notice. The Synlogic Net Cash Calculation shall include Synlogic’s determination, as of the Cash Determination Time, of the defined terms in </w:t>
      </w:r>
      <w:r>
        <w:rPr>
          <w:rFonts w:ascii="Times New Roman" w:hAnsi="Times New Roman"/>
          <w:sz w:val="20"/>
          <w:u w:val="single"/>
        </w:rPr>
        <w:t>Section 1.1</w:t>
      </w:r>
      <w:r>
        <w:rPr>
          <w:rFonts w:ascii="Times New Roman" w:hAnsi="Times New Roman"/>
          <w:sz w:val="20"/>
        </w:rPr>
        <w:t xml:space="preserve"> necessary to calculate Caldera Merger Shares. Set forth on </w:t>
      </w:r>
      <w:r>
        <w:rPr>
          <w:rFonts w:ascii="Times New Roman" w:hAnsi="Times New Roman"/>
          <w:sz w:val="20"/>
          <w:u w:val="single"/>
        </w:rPr>
        <w:t>Section 2.10(a)</w:t>
      </w:r>
      <w:r>
        <w:rPr>
          <w:rFonts w:ascii="Times New Roman" w:hAnsi="Times New Roman"/>
          <w:sz w:val="20"/>
        </w:rPr>
        <w:t xml:space="preserve"> of the Synlogic Disclosure Schedule is an illustrative example of Synlogic Net Cash calculation calculated on a hypothetical basis as of the date described therein. </w:t>
      </w:r>
    </w:p>
    <w:p>
      <w:pPr>
        <w:pStyle w:val="TextBody"/>
        <w:bidi w:val="0"/>
        <w:spacing w:before="240" w:after="0"/>
        <w:jc w:val="left"/>
        <w:rPr>
          <w:rFonts w:ascii="Times New Roman" w:hAnsi="Times New Roman"/>
          <w:sz w:val="20"/>
        </w:rPr>
      </w:pPr>
      <w:r>
        <w:rPr>
          <w:rFonts w:ascii="Times New Roman" w:hAnsi="Times New Roman"/>
          <w:sz w:val="20"/>
        </w:rPr>
        <w:t>(b) Within five (5) Business Days after the Delivery Date (the last day of such period, the “</w:t>
      </w:r>
      <w:r>
        <w:rPr>
          <w:rFonts w:ascii="Times New Roman" w:hAnsi="Times New Roman"/>
          <w:b/>
          <w:sz w:val="20"/>
        </w:rPr>
        <w:t>Response Date</w:t>
      </w:r>
      <w:r>
        <w:rPr>
          <w:rFonts w:ascii="Times New Roman" w:hAnsi="Times New Roman"/>
          <w:sz w:val="20"/>
        </w:rPr>
        <w:t>”), Caldera shall have the right to dispute any part of the Synlogic Net Cash Calculation by delivering a written notice to that effect to Synlogic (a “</w:t>
      </w:r>
      <w:r>
        <w:rPr>
          <w:rFonts w:ascii="Times New Roman" w:hAnsi="Times New Roman"/>
          <w:b/>
          <w:sz w:val="20"/>
        </w:rPr>
        <w:t>Dispute Notice</w:t>
      </w:r>
      <w:r>
        <w:rPr>
          <w:rFonts w:ascii="Times New Roman" w:hAnsi="Times New Roman"/>
          <w:sz w:val="20"/>
        </w:rPr>
        <w:t xml:space="preserve">”). Any Dispute Notice shall identify in reasonable detail the nature and amounts of any proposed revisions to the Synlogic Net Cash Calculation. </w:t>
      </w:r>
    </w:p>
    <w:p>
      <w:pPr>
        <w:pStyle w:val="TextBody"/>
        <w:bidi w:val="0"/>
        <w:spacing w:before="240" w:after="0"/>
        <w:jc w:val="left"/>
        <w:rPr>
          <w:rFonts w:ascii="Times New Roman" w:hAnsi="Times New Roman"/>
          <w:sz w:val="20"/>
        </w:rPr>
      </w:pPr>
      <w:r>
        <w:rPr>
          <w:rFonts w:ascii="Times New Roman" w:hAnsi="Times New Roman"/>
          <w:sz w:val="20"/>
        </w:rPr>
        <w:t xml:space="preserve">(c) If, on or prior to the Response Date, (i) Caldera notifies Synlogic in writing that it has no objections to the Synlogic Net Cash Calculation or (ii) if prior to 5:00 p.m. (New York City time) on the Response Date, Caldera has failed to deliver a Dispute Notice as provided in </w:t>
      </w:r>
      <w:r>
        <w:rPr>
          <w:rFonts w:ascii="Times New Roman" w:hAnsi="Times New Roman"/>
          <w:sz w:val="20"/>
          <w:u w:val="single"/>
        </w:rPr>
        <w:t>Section 2.10(b)</w:t>
      </w:r>
      <w:r>
        <w:rPr>
          <w:rFonts w:ascii="Times New Roman" w:hAnsi="Times New Roman"/>
          <w:sz w:val="20"/>
        </w:rPr>
        <w:t>, then the Synlogic Net Cash Calculation as set forth in the Synlogic Net Cash Schedule shall be deemed to have been finally determined for purposes of this Agreement and to represent the Synlogic Net Cash at the Cash Determination Time (the “</w:t>
      </w:r>
      <w:r>
        <w:rPr>
          <w:rFonts w:ascii="Times New Roman" w:hAnsi="Times New Roman"/>
          <w:b/>
          <w:sz w:val="20"/>
        </w:rPr>
        <w:t>Final Synlogic Net Cash</w:t>
      </w:r>
      <w:r>
        <w:rPr>
          <w:rFonts w:ascii="Times New Roman" w:hAnsi="Times New Roman"/>
          <w:sz w:val="20"/>
        </w:rPr>
        <w:t xml:space="preserve">”)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Caldera delivers a Dispute Notice on or prior to 5:00 p.m. (New York City time) on the Response Date, then Representatives of Synlogic and Caldera shall promptly, and in no event later than one calendar day after the Response Date, meet and attempt in good faith to resolve the disputed item(s) and negotiate an agreed-upon determination of Synlogic Net Cash, which agreed upon Synlogic Net Cash amount shall be deemed to have been finally determined for purposes of this Agreement and to represent the Final Synlogic Net Cash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If Representatives of Synlogic and Caldera are unable to negotiate an agreed-upon determination of Final Synlogic Net Cash pursuant to </w:t>
      </w:r>
      <w:r>
        <w:rPr>
          <w:rFonts w:ascii="Times New Roman" w:hAnsi="Times New Roman"/>
          <w:sz w:val="20"/>
          <w:u w:val="single"/>
        </w:rPr>
        <w:t>Section 2.10(d)</w:t>
      </w:r>
      <w:r>
        <w:rPr>
          <w:rFonts w:ascii="Times New Roman" w:hAnsi="Times New Roman"/>
          <w:sz w:val="20"/>
        </w:rPr>
        <w:t xml:space="preserve"> within two (2) calendar days after delivery of the Dispute Notice (or such other period as Synlogic and Caldera may mutually agree upon), then any remaining disagreements as to the calculation of Synlogic Net Cash shall be referred to an independent auditor of recognized national standing jointly selected by Synlogic and Caldera (the “</w:t>
      </w:r>
      <w:r>
        <w:rPr>
          <w:rFonts w:ascii="Times New Roman" w:hAnsi="Times New Roman"/>
          <w:b/>
          <w:sz w:val="20"/>
        </w:rPr>
        <w:t>Accounting Firm</w:t>
      </w:r>
      <w:r>
        <w:rPr>
          <w:rFonts w:ascii="Times New Roman" w:hAnsi="Times New Roman"/>
          <w:sz w:val="20"/>
        </w:rPr>
        <w:t xml:space="preserve">”). Synlogic shall promptly deliver to the Accounting Firm all work papers and back-up materials used in preparing the Synlogic Net Cash Schedule, and Synlogic and Caldera shall use commercially reasonable efforts to cause the Accounting Firm to make its determination within five (5) calendar days of accepting its selection. Synlogic and Caldera shall be afforded the opportunity to present to the Accounting Firm any material related to the unresolved disputes and to discuss the issues with the Accounting Firm;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presentation or discussion shall occur without the presence of a Representative of each of Synlogic and Caldera. The determination of the Accounting Firm shall be limited to the disagreements submitted to the Accounting Firm. The determination of the amount of Synlogic Net Cash made by the Accounting Firm shall be made in writing delivered to each of Synlogic and Caldera, shall be final and binding on Synlogic and Caldera and shall be deemed to have been finally determined for purposes of this Agreement and to represent the Final Synlogic Net Cash for purposes of this Agreement. The Parties shall delay the Closing until the resolution of the matters described in this </w:t>
      </w:r>
      <w:r>
        <w:rPr>
          <w:rFonts w:ascii="Times New Roman" w:hAnsi="Times New Roman"/>
          <w:sz w:val="20"/>
          <w:u w:val="single"/>
        </w:rPr>
        <w:t>Section 2.10(e)</w:t>
      </w:r>
      <w:r>
        <w:rPr>
          <w:rFonts w:ascii="Times New Roman" w:hAnsi="Times New Roman"/>
          <w:sz w:val="20"/>
        </w:rPr>
        <w:t xml:space="preserve">. The fees and expenses of the Accounting Firm shall be allocated between Synlogic and Caldera in the same proportion that the disputed amount of the Synlogic Net Cash that was unsuccessfully disputed by such Party (as finally determined by the Accounting Firm) bears to the total disputed amount of the Synlogic Net Cash amount and such portion of the costs and expenses of the Accounting Firm borne by Caldera and any other fees, costs or expenses incurred by Caldera following the Anticipated Closing Date in connection with the procedures set forth in this </w:t>
      </w:r>
      <w:r>
        <w:rPr>
          <w:rFonts w:ascii="Times New Roman" w:hAnsi="Times New Roman"/>
          <w:sz w:val="20"/>
          <w:u w:val="single"/>
        </w:rPr>
        <w:t>Section 2.10(e)</w:t>
      </w:r>
      <w:r>
        <w:rPr>
          <w:rFonts w:ascii="Times New Roman" w:hAnsi="Times New Roman"/>
          <w:sz w:val="20"/>
        </w:rPr>
        <w:t xml:space="preserve"> shall be deducted from the final determination of the amount of Synlogic Net Cash. If this </w:t>
      </w:r>
      <w:r>
        <w:rPr>
          <w:rFonts w:ascii="Times New Roman" w:hAnsi="Times New Roman"/>
          <w:sz w:val="20"/>
          <w:u w:val="single"/>
        </w:rPr>
        <w:t>Section 2.10(e)</w:t>
      </w:r>
      <w:r>
        <w:rPr>
          <w:rFonts w:ascii="Times New Roman" w:hAnsi="Times New Roman"/>
          <w:sz w:val="20"/>
        </w:rPr>
        <w:t xml:space="preserve"> applies as to the determination of the Final Synlogic Net Cash described in </w:t>
      </w:r>
      <w:r>
        <w:rPr>
          <w:rFonts w:ascii="Times New Roman" w:hAnsi="Times New Roman"/>
          <w:sz w:val="20"/>
          <w:u w:val="single"/>
        </w:rPr>
        <w:t>Section 2.10(a)</w:t>
      </w:r>
      <w:r>
        <w:rPr>
          <w:rFonts w:ascii="Times New Roman" w:hAnsi="Times New Roman"/>
          <w:sz w:val="20"/>
        </w:rPr>
        <w:t xml:space="preserve">, upon resolution of the matter in accordance with this </w:t>
      </w:r>
      <w:r>
        <w:rPr>
          <w:rFonts w:ascii="Times New Roman" w:hAnsi="Times New Roman"/>
          <w:sz w:val="20"/>
          <w:u w:val="single"/>
        </w:rPr>
        <w:t>Section 2.10(e)</w:t>
      </w:r>
      <w:r>
        <w:rPr>
          <w:rFonts w:ascii="Times New Roman" w:hAnsi="Times New Roman"/>
          <w:sz w:val="20"/>
        </w:rPr>
        <w:t xml:space="preserve">, the Parties shall not be required to determine Synlogic Net Cash again even though the Closing Date may occur later than the Anticipated Closing Date, except that either Synlogic and Caldera may require a redetermination of the Final Synlogic Net Cash if the Closing Date is more than ten (10) calendar days after the Anticipated Closing Date.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Further 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at any time after the Caldera Effective Time, any further action is determined by the Caldera Merger Surviving Corporation to be necessary or desirable to carry out the purposes of this Agreement or to vest the Caldera Merger Surviving Corporation with full right, title and possession of and to all rights and property of Caldera, then the officers and directors of the Caldera Merger Surviving Corporation shall be fully authorized, and shall use their and its commercially reasonable efforts (in the name of Caldera, in the name of Caldera Merger Sub, in the name of the Caldera Merger Surviving Corporation and otherwise) to take such action. </w:t>
      </w:r>
    </w:p>
    <w:p>
      <w:pPr>
        <w:pStyle w:val="TextBody"/>
        <w:bidi w:val="0"/>
        <w:spacing w:before="240" w:after="0"/>
        <w:jc w:val="left"/>
        <w:rPr>
          <w:rFonts w:ascii="Times New Roman" w:hAnsi="Times New Roman"/>
          <w:sz w:val="20"/>
        </w:rPr>
      </w:pPr>
      <w:r>
        <w:rPr>
          <w:rFonts w:ascii="Times New Roman" w:hAnsi="Times New Roman"/>
          <w:sz w:val="20"/>
        </w:rPr>
        <w:t xml:space="preserve">(b) If, at any time after the Synlogic Effective Time, any further action is determined by the Synlogic Merger Surviving Corporation to be necessary or desirable to carry out the purposes of this Agreement or to vest the Synlogic Merger Surviving Corporation with full right, title and possession of and to all rights and property of Synlogic, then the officers and directors of the Synlogic Merger Surviving Corporation shall be fully authorized, and shall use their and its commercially reasonable efforts (in the name of Synlogic, in the name of Synlogic Merger Sub, in the name of the Synlogic Merger Surviving Corporation and otherwise) to take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Withholding</w:t>
      </w:r>
      <w:r>
        <w:rPr>
          <w:rFonts w:ascii="Times New Roman" w:hAnsi="Times New Roman"/>
          <w:sz w:val="20"/>
        </w:rPr>
        <w:t>. Each of the Exchange Agent, Parent, the Caldera Merger Surviving Corporation and the Synlogic Merger Surviving Corporation (each, a “</w:t>
      </w:r>
      <w:r>
        <w:rPr>
          <w:rFonts w:ascii="Times New Roman" w:hAnsi="Times New Roman"/>
          <w:b/>
          <w:sz w:val="20"/>
        </w:rPr>
        <w:t>Withholding Agent</w:t>
      </w:r>
      <w:r>
        <w:rPr>
          <w:rFonts w:ascii="Times New Roman" w:hAnsi="Times New Roman"/>
          <w:sz w:val="20"/>
        </w:rPr>
        <w:t xml:space="preserve">”) shall be entitled to deduct and withhold from any consideration deliverable pursuant to this Agreement such amounts as are required to be deducted or withheld from such consideration under the Code or under any other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 Withholding Agent determines that any payment in connection with the Contemplated Transactions is subject to deduction and/or withholding, then, except with respect to compensatory payments or as a result of a failure to deliver the certificate described in </w:t>
      </w:r>
      <w:r>
        <w:rPr>
          <w:rFonts w:ascii="Times New Roman" w:hAnsi="Times New Roman"/>
          <w:sz w:val="20"/>
          <w:u w:val="single"/>
        </w:rPr>
        <w:t>Section 7.7(b)</w:t>
      </w:r>
      <w:r>
        <w:rPr>
          <w:rFonts w:ascii="Times New Roman" w:hAnsi="Times New Roman"/>
          <w:sz w:val="20"/>
        </w:rPr>
        <w:t xml:space="preserve">, such Withholding Agent shall use reasonable best efforts to (i) provide reasonable advance notice to such recipient after such determination and (ii) reasonably cooperate with such recipient prior to the Closing to reduce or eliminate any such deduction and/or withholding. To the extent such amounts are so deducted or withheld, and remitted to the appropriate Governmental Authority, such amounts shall be treated for all purposes under this Agreement as having been paid to the Person to whom such amounts would otherwise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Appraisal Rights</w:t>
      </w:r>
      <w:r>
        <w:rPr>
          <w:rFonts w:ascii="Times New Roman" w:hAnsi="Times New Roman"/>
          <w:sz w:val="20"/>
        </w:rPr>
        <w:t>. Notwithstanding any provision of this Agreement to the contrary, shares of Synlogic Common Stock that are outstanding immediately prior to the Synlogic Effective Time and which are held by stockholders who have exercised and perfected appraisal rights for such shares of Synlogic Common Stock in accordance with Delaware Law or shares of Caldera Common Stock that are outstanding immediately prior to the Caldera Effective Time and which are held by stockholders who have exercised and perfected appraisal rights for such shares of Caldera Common Stock in accordance with Delaware Law (collectively, the “</w:t>
      </w:r>
      <w:r>
        <w:rPr>
          <w:rFonts w:ascii="Times New Roman" w:hAnsi="Times New Roman"/>
          <w:b/>
          <w:sz w:val="20"/>
        </w:rPr>
        <w:t>Dissenting Shares</w:t>
      </w:r>
      <w:r>
        <w:rPr>
          <w:rFonts w:ascii="Times New Roman" w:hAnsi="Times New Roman"/>
          <w:sz w:val="20"/>
        </w:rPr>
        <w:t xml:space="preserve">”) shall not be converted into or represent the right to receive the consideration described in </w:t>
      </w:r>
      <w:r>
        <w:rPr>
          <w:rFonts w:ascii="Times New Roman" w:hAnsi="Times New Roman"/>
          <w:sz w:val="20"/>
          <w:u w:val="single"/>
        </w:rPr>
        <w:t>Section 2.5</w:t>
      </w:r>
      <w:r>
        <w:rPr>
          <w:rFonts w:ascii="Times New Roman" w:hAnsi="Times New Roman"/>
          <w:sz w:val="20"/>
        </w:rPr>
        <w:t xml:space="preserve"> or </w:t>
      </w:r>
      <w:r>
        <w:rPr>
          <w:rFonts w:ascii="Times New Roman" w:hAnsi="Times New Roman"/>
          <w:sz w:val="20"/>
          <w:u w:val="single"/>
        </w:rPr>
        <w:t>Section 2.6</w:t>
      </w:r>
      <w:r>
        <w:rPr>
          <w:rFonts w:ascii="Times New Roman" w:hAnsi="Times New Roman"/>
          <w:sz w:val="20"/>
        </w:rPr>
        <w:t xml:space="preserve">, respectively, attributable to such Dissenting Shares. Such stockholders shall be entitled to receive payment of the appraised value of such shares of Synlogic Common Stock or shares of Caldera Common Stock, as applicable, held by them in accordance with Delaware Law, unless and until such stockholders fail to perfect or effectively withdraw or otherwise lose their appraisal rights under Delaware Law. All Dissenting Shares held by stockholders who shall have failed to perfect or shall have effectively withdrawn or lost their right to appraisal of such shares of Synlogic Common Stock or shares of Caldera Common Stock, as applicable, under Delaware Law (whether occurring before, at or after the Synlogic Effective Time or Caldera Effective Time, as applicable) shall thereupon be deemed to be converted into and to have become exchangeable for, as of the Synlogic Effective Time or Caldera Effective Time, as applicable, the right to receive the consideration attributable to such Dissenting Shares upon their surrender in the manner provided in </w:t>
      </w:r>
      <w:r>
        <w:rPr>
          <w:rFonts w:ascii="Times New Roman" w:hAnsi="Times New Roman"/>
          <w:sz w:val="20"/>
          <w:u w:val="single"/>
        </w:rPr>
        <w:t>Section 2.5</w:t>
      </w:r>
      <w:r>
        <w:rPr>
          <w:rFonts w:ascii="Times New Roman" w:hAnsi="Times New Roman"/>
          <w:sz w:val="20"/>
        </w:rPr>
        <w:t xml:space="preserve"> or </w:t>
      </w:r>
      <w:r>
        <w:rPr>
          <w:rFonts w:ascii="Times New Roman" w:hAnsi="Times New Roman"/>
          <w:sz w:val="20"/>
          <w:u w:val="single"/>
        </w:rPr>
        <w:t>Section 2.6</w:t>
      </w:r>
      <w:r>
        <w:rPr>
          <w:rFonts w:ascii="Times New Roman" w:hAnsi="Times New Roman"/>
          <w:sz w:val="20"/>
        </w:rPr>
        <w:t xml:space="preserve">, respectively. Each Party shall give the other prompt written notice of any demands by dissenting stockholders received thereby, withdrawals of such demands and any other instruments served thereupon and any material correspondence received thereby in connection with such demands, and Parent shall have the right to direct all negotiations and proceedings with respect to such demands; </w:t>
      </w:r>
      <w:r>
        <w:rPr>
          <w:rFonts w:ascii="Times New Roman" w:hAnsi="Times New Roman"/>
          <w:sz w:val="20"/>
          <w:u w:val="single"/>
        </w:rPr>
        <w:t>provided</w:t>
      </w:r>
      <w:r>
        <w:rPr>
          <w:rFonts w:ascii="Times New Roman" w:hAnsi="Times New Roman"/>
          <w:sz w:val="20"/>
        </w:rPr>
        <w:t xml:space="preserve"> that Synlogic and Caldera shall have the right to participate in such negotiations and proceedings. No Party, except with the other Parties’ prior written consent (which shall not be unreasonably withheld, conditioned or delayed), voluntarily make any payment with respect to, or settle or offer to settle, any such demands, or approve any withdrawal of any such demands or agree to do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CALDERA </w:t>
      </w:r>
    </w:p>
    <w:p>
      <w:pPr>
        <w:pStyle w:val="TextBody"/>
        <w:bidi w:val="0"/>
        <w:spacing w:before="240" w:after="0"/>
        <w:jc w:val="left"/>
        <w:rPr>
          <w:rFonts w:ascii="Times New Roman" w:hAnsi="Times New Roman"/>
          <w:sz w:val="20"/>
        </w:rPr>
      </w:pPr>
      <w:r>
        <w:rPr>
          <w:rFonts w:ascii="Times New Roman" w:hAnsi="Times New Roman"/>
          <w:sz w:val="20"/>
        </w:rPr>
        <w:t>Except as set forth in the written disclosure schedule delivered by Caldera to Synlogic (the “</w:t>
      </w:r>
      <w:r>
        <w:rPr>
          <w:rFonts w:ascii="Times New Roman" w:hAnsi="Times New Roman"/>
          <w:b/>
          <w:sz w:val="20"/>
        </w:rPr>
        <w:t>Caldera Disclosure Schedule</w:t>
      </w:r>
      <w:r>
        <w:rPr>
          <w:rFonts w:ascii="Times New Roman" w:hAnsi="Times New Roman"/>
          <w:sz w:val="20"/>
        </w:rPr>
        <w:t xml:space="preserve">”), Caldera represents and warrants to Synlogic as follows: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Due Organization;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Caldera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All of Caldera’s Subsidiaries are directly or indirectly wholly-owned by Caldera. </w:t>
      </w:r>
    </w:p>
    <w:p>
      <w:pPr>
        <w:pStyle w:val="TextBody"/>
        <w:bidi w:val="0"/>
        <w:spacing w:before="240" w:after="0"/>
        <w:jc w:val="left"/>
        <w:rPr>
          <w:rFonts w:ascii="Times New Roman" w:hAnsi="Times New Roman"/>
          <w:sz w:val="20"/>
        </w:rPr>
      </w:pPr>
      <w:r>
        <w:rPr>
          <w:rFonts w:ascii="Times New Roman" w:hAnsi="Times New Roman"/>
          <w:sz w:val="20"/>
        </w:rPr>
        <w:t xml:space="preserve">(b) Each of Caldera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Caldera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Section 3.1(c)</w:t>
      </w:r>
      <w:r>
        <w:rPr>
          <w:rFonts w:ascii="Times New Roman" w:hAnsi="Times New Roman"/>
          <w:sz w:val="20"/>
        </w:rPr>
        <w:t xml:space="preserve"> of the Caldera Disclosure Schedule, Caldera has no Subsidiaries and Caldera does not directly or indirectly own any capital stock of, or any equity ownership or profit sharing interest of any nature in, or control directly or indirectly, any other Entity. Caldera is not and has not otherwise been, directly or indirectly, a party to, member of or participant in any partnership, joint venture or similar business entity. Caldera has not agreed and is not obligated to make, nor is Caldera bound by any Contract under which it may become obligated to make, any future investment in or capital contribution to any other Entity. Caldera has not, at any time, been a general partner of, and has not otherwise been liable for any of the debts or other obligations of, any general partnership, limited partnership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Organizational Documents</w:t>
      </w:r>
      <w:r>
        <w:rPr>
          <w:rFonts w:ascii="Times New Roman" w:hAnsi="Times New Roman"/>
          <w:sz w:val="20"/>
        </w:rPr>
        <w:t xml:space="preserve">. Caldera has delivered to Synlogic accurate and complete copies of Caldera’s and its Subsidiaries’ Organizational Documents. Neither Caldera nor any of its Subsidiaries is in breach or violation of its Organizational Documents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Authority; Binding Nature of Agreement</w:t>
      </w:r>
      <w:r>
        <w:rPr>
          <w:rFonts w:ascii="Times New Roman" w:hAnsi="Times New Roman"/>
          <w:sz w:val="20"/>
        </w:rPr>
        <w:t xml:space="preserve">. Each of Caldera and its Subsidiaries has all necessary corporate power and authority to enter into and to perform its obligations under this Agreement and to consummate the Contemplated Transactions. The Caldera Board (at meetings duly called and held) has (i) determined that the Contemplated Transactions are fair to, advisable and in the best interests of Caldera and its stockholders, (ii) approved and declared advisable this Agreement and the Contemplated Transactions and (iii) determined to recommend the Caldera Board Recommendation to the stockholders of Caldera as promptly as practicable after the forms thereof are mutually agreed to by Synlogic and Caldera. This Agreement has been duly executed and delivered by Caldera and assuming the due authorization, execution and delivery by Synlogic, constitutes the legal, valid and binding obligation of Caldera, enforceable against Caldera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Vote Required</w:t>
      </w:r>
      <w:r>
        <w:rPr>
          <w:rFonts w:ascii="Times New Roman" w:hAnsi="Times New Roman"/>
          <w:sz w:val="20"/>
        </w:rPr>
        <w:t>. The affirmative vote of the holders of at least (i) a majority of the then outstanding shares of Caldera Common Stock outstanding on the record date for the Caldera Stockholder Written Consent and (ii) a majority of the then outstanding shares of Caldera Preferred Stock voting as a single class on an as-converted basis (together, the “</w:t>
      </w:r>
      <w:r>
        <w:rPr>
          <w:rFonts w:ascii="Times New Roman" w:hAnsi="Times New Roman"/>
          <w:b/>
          <w:sz w:val="20"/>
        </w:rPr>
        <w:t>Required Caldera</w:t>
      </w:r>
      <w:r>
        <w:rPr>
          <w:rFonts w:ascii="Times New Roman" w:hAnsi="Times New Roman"/>
          <w:sz w:val="20"/>
        </w:rPr>
        <w:t xml:space="preserve"> </w:t>
      </w:r>
      <w:r>
        <w:rPr>
          <w:rFonts w:ascii="Times New Roman" w:hAnsi="Times New Roman"/>
          <w:b/>
          <w:sz w:val="20"/>
        </w:rPr>
        <w:t>Stockholder Approval</w:t>
      </w:r>
      <w:r>
        <w:rPr>
          <w:rFonts w:ascii="Times New Roman" w:hAnsi="Times New Roman"/>
          <w:sz w:val="20"/>
        </w:rPr>
        <w:t xml:space="preserve">”), is the only vote of the holders of any class or series of Caldera Capital Stock necessary to adopt and approve this Agreement and approve the Contemplated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Non-Contravention;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obtaining the Required Caldera Stockholder Approval and the filing of the Caldera Certificate of Merger required by Delaware Law, neither (x) the execution, delivery or performance of this Agreement by Caldera,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(i) contravene, conflict with or result in a violation of any of the provisions of the Organizational Documents of Caldera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(ii) contravene, conflict with or result in a material violation of, or give any Governmental Authority or other Person the right to challenge the Contemplated Transactions or to exercise any remedy or obtain any relief under, any Law or any Order to which Caldera or its Subsidiaries, or any of the assets owned or used by Caldera or its Subsidiaries, is subject; </w:t>
      </w:r>
    </w:p>
    <w:p>
      <w:pPr>
        <w:pStyle w:val="TextBody"/>
        <w:bidi w:val="0"/>
        <w:spacing w:before="240" w:after="0"/>
        <w:jc w:val="left"/>
        <w:rPr>
          <w:rFonts w:ascii="Times New Roman" w:hAnsi="Times New Roman"/>
          <w:sz w:val="20"/>
        </w:rPr>
      </w:pPr>
      <w:r>
        <w:rPr>
          <w:rFonts w:ascii="Times New Roman" w:hAnsi="Times New Roman"/>
          <w:sz w:val="20"/>
        </w:rPr>
        <w:t xml:space="preserve">(iii) contravene, conflict with or result in a material violation of any of the terms or requirements of, or give any Governmental Authority the right to revoke, withdraw, suspend, cancel, terminate or modify, any Governmental Authorization that is held by Caldera or its Subsidiaries or that otherwise relates to the business of Caldera, or any of the assets owned, leased or used by Caldera; </w:t>
      </w:r>
    </w:p>
    <w:p>
      <w:pPr>
        <w:pStyle w:val="TextBody"/>
        <w:bidi w:val="0"/>
        <w:spacing w:before="240" w:after="0"/>
        <w:jc w:val="left"/>
        <w:rPr>
          <w:rFonts w:ascii="Times New Roman" w:hAnsi="Times New Roman"/>
          <w:sz w:val="20"/>
        </w:rPr>
      </w:pPr>
      <w:r>
        <w:rPr>
          <w:rFonts w:ascii="Times New Roman" w:hAnsi="Times New Roman"/>
          <w:sz w:val="20"/>
        </w:rPr>
        <w:t xml:space="preserve">(iv) contravene, conflict with or result in a violation or breach of, or result in a default under, any provision of any Caldera Material Contract, or give any Person the right to: (A) declare a default or exercise any remedy under any Caldera Material Contract, (B) any material payment, rebate, chargeback, penalty or change in delivery schedule under any such Caldera Material Contract, (C) accelerate the maturity or performance of any Caldera Material Contract or (D) cancel, terminate or modify any term of any Caldera Material Contract, except in the case of any nonmaterial breach, default, penalty or modification; or </w:t>
      </w:r>
    </w:p>
    <w:p>
      <w:pPr>
        <w:pStyle w:val="TextBody"/>
        <w:bidi w:val="0"/>
        <w:spacing w:before="240" w:after="0"/>
        <w:jc w:val="left"/>
        <w:rPr>
          <w:rFonts w:ascii="Times New Roman" w:hAnsi="Times New Roman"/>
          <w:sz w:val="20"/>
        </w:rPr>
      </w:pPr>
      <w:r>
        <w:rPr>
          <w:rFonts w:ascii="Times New Roman" w:hAnsi="Times New Roman"/>
          <w:sz w:val="20"/>
        </w:rPr>
        <w:t xml:space="preserve">(v) result in the imposition or creation of any Encumbrance upon or with respect to any asset owned or used by Caldera or its Subsidiaries (except for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Except for (i) any Consent set forth on </w:t>
      </w:r>
      <w:r>
        <w:rPr>
          <w:rFonts w:ascii="Times New Roman" w:hAnsi="Times New Roman"/>
          <w:sz w:val="20"/>
          <w:u w:val="single"/>
        </w:rPr>
        <w:t>Section 3.5</w:t>
      </w:r>
      <w:r>
        <w:rPr>
          <w:rFonts w:ascii="Times New Roman" w:hAnsi="Times New Roman"/>
          <w:sz w:val="20"/>
        </w:rPr>
        <w:t xml:space="preserve"> of the Caldera Disclosure Schedule under any Caldera Contract, (ii) the Required Caldera Stockholder Approval, (iii) the filing of the Caldera Certificate of Merger with the Secretary of State of the State of Delaware pursuant to Delaware Law and (iv) such Consents, waivers, approvals, orders, authorizations, registrations, declarations and filings as may be required under applicable federal and state securities laws, neither Caldera nor any of its Subsidiaries was, is or will be required to make any filing with or give any notice to, or to obtain any Consent from, any Governmental Authority in connection with (x) the execution, delivery or performance of this Agreement or (y) the consummation of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The Caldera Board has taken and will take all actions necessary to ensure that the restrictions applicable to business combinations contained in Section 203 of Delaware Law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authorized capital stock of Caldera consists of (i) 151,561,000 shares of Caldera Common Stock of which 31,468,322 shares have been issued and are outstanding as of July 28, 2026, and (ii) 101,785,713 shares of Caldera Preferred Stock of which (a) 75,000,000 shares have been designated Caldera Series A Preferred Stock of which 75,000,000 shares have been issued and are outstanding as of July 28, 2026 and (b) 26,785,713 shares have been designated Caldera Series A-1 Preferred Stock of which 26,785,713 shares have been issued and are outstanding as of July 28, 2026. Caldera does not hold any shares of its capital stock in its treasury.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shares of Caldera Common Stock have been duly authorized and validly issued, and are fully paid and nonassessable and are free of any Encumbrances other than under applicable securities Laws. None of the outstanding shares of Caldera Common Stock is entitled or subject to any preemptive right, right of participation, right of maintenance or any similar right. All of the outstanding shares of Caldera Common Stock are subject to a right of first refusal in favor of Caldera. Except as contemplated herein, there is no Caldera Contract relating to the voting or registration of, or restricting any Person from purchasing, selling, pledging or otherwise disposing of (or granting any option or similar right with respect to), any shares of Caldera Common Stock. Caldera is not under any obligation, nor is Caldera bound by any Contract pursuant to which it may become obligated, to repurchase, redeem or otherwise acquire any outstanding shares of Caldera Common Stock or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(c) Except for the Caldera Equity Plan and the Caldera Options granted thereunder, Caldera does not have any stock incentive plan or any other plan, program, agreement or arrangement providing for any equity or equity-based compensation for any Person and there were no other equity or equity-based awards outstanding as of the date of this Agreement. As of the date of this Agreement, Caldera has reserved 13,914,980 shares of Caldera Common Stock for issuance under the Caldera Equity Plan, of which 22,257 shares have been issued and are outstanding pursuant to the exercise of Caldera Options, 12,178,707 shares are subject to outstanding Caldera Options, and 1,714,016 shares remain available for future grant pursuant to the Caldera Equity Plan. </w:t>
      </w:r>
      <w:r>
        <w:rPr>
          <w:rFonts w:ascii="Times New Roman" w:hAnsi="Times New Roman"/>
          <w:sz w:val="20"/>
          <w:u w:val="single"/>
        </w:rPr>
        <w:t>Section 3.6(c)</w:t>
      </w:r>
      <w:r>
        <w:rPr>
          <w:rFonts w:ascii="Times New Roman" w:hAnsi="Times New Roman"/>
          <w:sz w:val="20"/>
        </w:rPr>
        <w:t xml:space="preserve"> of the Caldera Disclosure Schedule sets forth a true and complete list, as of the date of this Agreement, of each outstanding Caldera Option, including: (i) the name of the holder, (ii) the number of shares of Caldera Common Stock subject to such Caldera Option, (iii) the per share exercise price, (iv) the date of grant, (v) the applicable vesting schedule, including any acceleration provisions, and the number of vested and unvested shares, (vi) the expiration date, and (vii) whether the Caldera Option is intended to be an “incentive stock option” (as defined in the Code) or a non-qualified stock option. Caldera has made available to Synlogic accurate and complete copies of the following: (A) the standard form of agreement evidencing Caldera Options; and (B) each agreement evidencing a Caldera Option that does not conform in all material respects to the standard form agreement.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3.6(d)</w:t>
      </w:r>
      <w:r>
        <w:rPr>
          <w:rFonts w:ascii="Times New Roman" w:hAnsi="Times New Roman"/>
          <w:sz w:val="20"/>
        </w:rPr>
        <w:t xml:space="preserve"> of the Caldera Disclosure Schedule, there is no: (i) outstanding subscription, option, call, warrant or right (whether or not currently exercisable) to acquire any shares of the capital stock or other securities of Caldera, (ii) outstanding security, instrument or obligation that is or may become convertible into or exchangeable for any shares of the capital stock or other securities of Caldera, (iii) stockholder rights plan (or similar plan commonly referred to as a “poison pill”) or Contract under which Caldera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Caldera. </w:t>
      </w:r>
    </w:p>
    <w:p>
      <w:pPr>
        <w:pStyle w:val="TextBody"/>
        <w:bidi w:val="0"/>
        <w:spacing w:before="240" w:after="0"/>
        <w:jc w:val="left"/>
        <w:rPr>
          <w:rFonts w:ascii="Times New Roman" w:hAnsi="Times New Roman"/>
          <w:sz w:val="20"/>
        </w:rPr>
      </w:pPr>
      <w:r>
        <w:rPr>
          <w:rFonts w:ascii="Times New Roman" w:hAnsi="Times New Roman"/>
          <w:sz w:val="20"/>
        </w:rPr>
        <w:t xml:space="preserve">(e) All outstanding shares of Caldera Common Stock, and other securities of Caldera have been issued and granted in compliance with (i) all applicable securities laws and other applicable Law and (ii) all requirements set forth in applicable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3.7(a)</w:t>
      </w:r>
      <w:r>
        <w:rPr>
          <w:rFonts w:ascii="Times New Roman" w:hAnsi="Times New Roman"/>
          <w:sz w:val="20"/>
        </w:rPr>
        <w:t xml:space="preserve"> of the Caldera Disclosure Schedule includes true, correct and complete copies of the Caldera Balance Sheet and the related unaudited estimated statement of income, cash flow and changes in partners’ capital for the year ended December 31, 2025 (the “</w:t>
      </w:r>
      <w:r>
        <w:rPr>
          <w:rFonts w:ascii="Times New Roman" w:hAnsi="Times New Roman"/>
          <w:b/>
          <w:sz w:val="20"/>
        </w:rPr>
        <w:t>Caldera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Caldera Financial Statements (i) were prepared in accordance with GAAP applied on a consistent basis unless otherwise noted therein throughout the periods indicated, (ii) fairly present, in all material respects, the financial position of Caldera as of the respective dates thereof and the results of operations and cash flows of Caldera for the periods covered thereby and (iii) when delivered by Caldera for inclusion in the Registration Statement (as defined below) for filing with the SEC following the date of this Agreement in accordance with </w:t>
      </w:r>
      <w:r>
        <w:rPr>
          <w:rFonts w:ascii="Times New Roman" w:hAnsi="Times New Roman"/>
          <w:sz w:val="20"/>
          <w:u w:val="single"/>
        </w:rPr>
        <w:t>Section 7.1</w:t>
      </w:r>
      <w:r>
        <w:rPr>
          <w:rFonts w:ascii="Times New Roman" w:hAnsi="Times New Roman"/>
          <w:sz w:val="20"/>
        </w:rPr>
        <w:t xml:space="preserve">, shall comply in all material respects with the applicable accounting requirements and with the rules and regulations of the SEC, the Exchange Act and the Securities Act applicable to a registrant, in effect as of the respective dates thereof. Other than as expressly disclosed in the Caldera Financial Statements, there has been no material change in Caldera’s accounting methods or principles that would be required to be disclosed in Caldera’s financial statements in accordance with GAAP. The books of account and other financial records of Caldera and each of its Subsidiaries are true and complete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 There have been no formal internal investigations regarding financial reporting or accounting policies and practices discussed with, reviewed by or initiated at the direction of the chief executive officer, chief financial officer, or general counsel of Caldera, the Caldera Board or any committee thereof, other than ordinary course audits or reviews of accounting policies and practices or internal controls. </w:t>
      </w:r>
    </w:p>
    <w:p>
      <w:pPr>
        <w:pStyle w:val="TextBody"/>
        <w:bidi w:val="0"/>
        <w:spacing w:before="240" w:after="0"/>
        <w:jc w:val="left"/>
        <w:rPr>
          <w:rFonts w:ascii="Times New Roman" w:hAnsi="Times New Roman"/>
          <w:sz w:val="20"/>
        </w:rPr>
      </w:pPr>
      <w:r>
        <w:rPr>
          <w:rFonts w:ascii="Times New Roman" w:hAnsi="Times New Roman"/>
          <w:sz w:val="20"/>
        </w:rPr>
        <w:t xml:space="preserve">(d) Caldera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including policies and procedures sufficient to provide reasonable assurance (i) that Caldera maintains records that in reasonable detail accurately and fairly reflect Caldera’s transactions and dispositions of assets, (ii) that transactions are recorded as necessary to permit preparation of financial statements in accordance with GAAP, (iii) that receipts and expenditures are made only in accordance with authorizations of management and the Caldera Board and (iv) regarding prevention or timely detection of the unauthorized acquisition, use or disposition of Caldera’s assets that could have a material effect on Caldera’s financial statements. Caldera has evaluated the effectiveness of Caldera’s internal control over financial reporting and, to the extent required by applicable Law, presented its conclusions about the effectiveness of the internal control over financial reporting as of the end of the period covered by such financial reporting based on such evaluation. Caldera has disclosed to Caldera’s auditors and the Audit Committee of the Caldera Board (and made available to Synlogic a summary of the significant aspects of such disclosure) (A) all significant deficiencies and material weaknesses in the design or operation of internal control over financial reporting that are reasonably likely to adversely affect Caldera’s ability to record, process, summarize and report financial information and (B) any known fraud, whether or not material, that involves management or other employees who have a significant role in Caldera or its Subsidiaries’ internal control over financial reporting. Except as disclosed in the Caldera Financial Statements filed prior to the date hereof, Caldera’s internal control over financial reporting is effective and Caldera has not identified any material weaknesses in the design or operation of Caldera’s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Caldera’s auditor has at all times since the date of enactment of the Sarbanes-Oxley Act been: (i) a registered public accounting firm (as defined in Section 2(a)(12) of the Sarbanes-Oxley Act), (ii) to the Knowledge of Caldera, “independent” with respect to Caldera within the meaning of Regulation S-X under the Exchange Act and (iii) to the Knowledge of Caldera, in compliance with subsections (g) through (l) of Section 10A of the Exchange Act and the rules and regulations promulgated by the SEC and the Public Company Accounting Oversight Board (“</w:t>
      </w:r>
      <w:r>
        <w:rPr>
          <w:rFonts w:ascii="Times New Roman" w:hAnsi="Times New Roman"/>
          <w:b/>
          <w:sz w:val="20"/>
        </w:rPr>
        <w:t>PCAOB</w:t>
      </w:r>
      <w:r>
        <w:rPr>
          <w:rFonts w:ascii="Times New Roman" w:hAnsi="Times New Roman"/>
          <w:sz w:val="20"/>
        </w:rPr>
        <w:t>”) thereunder (such firm, the “</w:t>
      </w:r>
      <w:r>
        <w:rPr>
          <w:rFonts w:ascii="Times New Roman" w:hAnsi="Times New Roman"/>
          <w:b/>
          <w:sz w:val="20"/>
        </w:rPr>
        <w:t>PCAOB Auditor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Absence of Changes</w:t>
      </w:r>
      <w:r>
        <w:rPr>
          <w:rFonts w:ascii="Times New Roman" w:hAnsi="Times New Roman"/>
          <w:sz w:val="20"/>
        </w:rPr>
        <w:t xml:space="preserve">. Except as set forth on </w:t>
      </w:r>
      <w:r>
        <w:rPr>
          <w:rFonts w:ascii="Times New Roman" w:hAnsi="Times New Roman"/>
          <w:sz w:val="20"/>
          <w:u w:val="single"/>
        </w:rPr>
        <w:t>Section 3.8</w:t>
      </w:r>
      <w:r>
        <w:rPr>
          <w:rFonts w:ascii="Times New Roman" w:hAnsi="Times New Roman"/>
          <w:sz w:val="20"/>
        </w:rPr>
        <w:t xml:space="preserve"> of the Caldera Disclosure Schedule, since January 1, 2026 until the execution of this Agreement, Caldera and its Subsidiaries have conducted their business only in the Ordinary Course of Business (except for the execution and performance of this Agreement and the discussions, negotiations and transactions related thereto) and there has not been any (a) Caldera Material Adverse Effect or (b) action, event or occurrence that would have required Consent of Synlogic pursuant to </w:t>
      </w:r>
      <w:r>
        <w:rPr>
          <w:rFonts w:ascii="Times New Roman" w:hAnsi="Times New Roman"/>
          <w:sz w:val="20"/>
          <w:u w:val="single"/>
        </w:rPr>
        <w:t>Section 6.1</w:t>
      </w:r>
      <w:r>
        <w:rPr>
          <w:rFonts w:ascii="Times New Roman" w:hAnsi="Times New Roman"/>
          <w:sz w:val="20"/>
        </w:rPr>
        <w:t xml:space="preserve"> (excluding subsections (v), (viii), (x) and (ix) of </w:t>
      </w:r>
      <w:r>
        <w:rPr>
          <w:rFonts w:ascii="Times New Roman" w:hAnsi="Times New Roman"/>
          <w:sz w:val="20"/>
          <w:u w:val="single"/>
        </w:rPr>
        <w:t>Section 6.1(b)</w:t>
      </w:r>
      <w:r>
        <w:rPr>
          <w:rFonts w:ascii="Times New Roman" w:hAnsi="Times New Roman"/>
          <w:sz w:val="20"/>
        </w:rPr>
        <w:t xml:space="preserve">) of this Agreement had such action, event or occurrence taken place after the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Absence of Undisclosed Liabilities</w:t>
      </w:r>
      <w:r>
        <w:rPr>
          <w:rFonts w:ascii="Times New Roman" w:hAnsi="Times New Roman"/>
          <w:sz w:val="20"/>
        </w:rPr>
        <w:t>. Neither Caldera nor any of its Subsidiaries has any liability, indebtedness, obligation, expense, claim, deficiency, guaranty or endorsement of any kind, whether accrued, absolute, contingent, matured, unmatured or otherwise (each a “</w:t>
      </w:r>
      <w:r>
        <w:rPr>
          <w:rFonts w:ascii="Times New Roman" w:hAnsi="Times New Roman"/>
          <w:b/>
          <w:sz w:val="20"/>
        </w:rPr>
        <w:t>Liability</w:t>
      </w:r>
      <w:r>
        <w:rPr>
          <w:rFonts w:ascii="Times New Roman" w:hAnsi="Times New Roman"/>
          <w:sz w:val="20"/>
        </w:rPr>
        <w:t xml:space="preserve">”), in each case, of a type required to be reflected or reserved for on a balance sheet prepared in accordance with GAAP, except for: (a) Liabilities disclosed, reflected or reserved against in the Caldera Balance Sheet, (b) normal and recurring current Liabilities that have been incurred by Caldera or its Subsidiaries since the date of the Caldera Balance Sheet in the Ordinary Course of Business (none of which relates to any breach of contract, breach of warranty, tort, infringement, or violation of Law), (c) Liabilities for performance of obligations of Caldera or any of its Subsidiaries under Caldera Contracts, (d) Liabilities incurred in connection with the Contemplated Transactions and (e) Liabilities listed in </w:t>
      </w:r>
      <w:r>
        <w:rPr>
          <w:rFonts w:ascii="Times New Roman" w:hAnsi="Times New Roman"/>
          <w:sz w:val="20"/>
          <w:u w:val="single"/>
        </w:rPr>
        <w:t>Section 3.9</w:t>
      </w:r>
      <w:r>
        <w:rPr>
          <w:rFonts w:ascii="Times New Roman" w:hAnsi="Times New Roman"/>
          <w:sz w:val="20"/>
        </w:rPr>
        <w:t xml:space="preserve"> of the Caldera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Title to Assets</w:t>
      </w:r>
      <w:r>
        <w:rPr>
          <w:rFonts w:ascii="Times New Roman" w:hAnsi="Times New Roman"/>
          <w:sz w:val="20"/>
        </w:rPr>
        <w:t xml:space="preserve">. Each of Caldera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Caldera Balance Sheet and (b) all other tangible assets reflected in the books and records of Caldera as being owned by Caldera. All of such assets are owned or, in the case of leased assets, leased by Caldera or any of its Subsidiaries free and clear of any Encumbrances,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Real Property; Leasehold</w:t>
      </w:r>
      <w:r>
        <w:rPr>
          <w:rFonts w:ascii="Times New Roman" w:hAnsi="Times New Roman"/>
          <w:sz w:val="20"/>
        </w:rPr>
        <w:t>. Neither Caldera nor any of its Subsidiaries owns or has ever owned any real property. Caldera has made available to Synlogic (a) an accurate and complete list of all real properties with respect to which Caldera directly or indirectly holds a valid leasehold interest as well as any other real estate that is in the possession of or leased by Caldera or any of its Subsidiaries and (b) copies of all leases under which any such real property is possessed (the “</w:t>
      </w:r>
      <w:r>
        <w:rPr>
          <w:rFonts w:ascii="Times New Roman" w:hAnsi="Times New Roman"/>
          <w:b/>
          <w:sz w:val="20"/>
        </w:rPr>
        <w:t>Caldera</w:t>
      </w:r>
      <w:r>
        <w:rPr>
          <w:rFonts w:ascii="Times New Roman" w:hAnsi="Times New Roman"/>
          <w:sz w:val="20"/>
        </w:rPr>
        <w:t xml:space="preserve"> </w:t>
      </w:r>
      <w:r>
        <w:rPr>
          <w:rFonts w:ascii="Times New Roman" w:hAnsi="Times New Roman"/>
          <w:b/>
          <w:sz w:val="20"/>
        </w:rPr>
        <w:t>Real Estate Leases</w:t>
      </w:r>
      <w:r>
        <w:rPr>
          <w:rFonts w:ascii="Times New Roman" w:hAnsi="Times New Roman"/>
          <w:sz w:val="20"/>
        </w:rPr>
        <w:t xml:space="preserve">”), each of which is in full force and effect, with no existing material default thereunder.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3.12(a)</w:t>
      </w:r>
      <w:r>
        <w:rPr>
          <w:rFonts w:ascii="Times New Roman" w:hAnsi="Times New Roman"/>
          <w:sz w:val="20"/>
        </w:rPr>
        <w:t xml:space="preserve"> of the Caldera Disclosure Schedule is an accurate, true and complete listing of all Caldera Registered IP, as applicable, including for each item (other than internet domain names) (i) the record owner(s) (and name of any other Person with an ownership interest in such item of Caldera Registered IP and the nature of such ownership interest, if any), (ii) jurisdiction, (iii) status, (iv) registration or application number, (v) filing date and (vi) registration, issuance or grant date. </w:t>
      </w:r>
      <w:r>
        <w:rPr>
          <w:rFonts w:ascii="Times New Roman" w:hAnsi="Times New Roman"/>
          <w:sz w:val="20"/>
          <w:u w:val="single"/>
        </w:rPr>
        <w:t>Section 3.12(a)</w:t>
      </w:r>
      <w:r>
        <w:rPr>
          <w:rFonts w:ascii="Times New Roman" w:hAnsi="Times New Roman"/>
          <w:sz w:val="20"/>
        </w:rPr>
        <w:t xml:space="preserve"> of the Caldera Disclosure Schedule also sets forth, as of the date of this Agreement, a list of all internet domain names in Caldera Registered IP or with respect to which Caldera or any of its Subsidiaries are the registrant and, with respect to each domain name, the record owner of such domain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name and if different, the legal and beneficial owner(s) of such domain name and the applicable domain name registrar. All Caldera Registered IP (to the Knowledge of Caldera with respect to all Caldera Registered IP exclusively licensed to Caldera) is subsisting and in full force and effect and, to the Knowledge of Caldera, all Caldera Registered IP (other than pending applications) is valid and enforceable. All fees due to, and all documents, powers and other filings required to be filed with, a Governmental Authority with respect to any such Caldera Registered IP (to the Knowledge of Caldera with respect to all Caldera Registered IP exclusively licensed to Caldera) have been fully and timely paid and filed as necessary for the filing, prosecuting, obtaining grant of and maintaining such item of Caldera Registered IP.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3.12(b)</w:t>
      </w:r>
      <w:r>
        <w:rPr>
          <w:rFonts w:ascii="Times New Roman" w:hAnsi="Times New Roman"/>
          <w:sz w:val="20"/>
        </w:rPr>
        <w:t xml:space="preserve"> of the Caldera Disclosure Schedule is a true, correct and complete listing of all Caldera Contracts pursuant to which any Caldera IP Rights are exclusively licensed to Caldera or any of its Subsidiaries. To the Knowledge of Caldera, each Caldera Contract listed in </w:t>
      </w:r>
      <w:r>
        <w:rPr>
          <w:rFonts w:ascii="Times New Roman" w:hAnsi="Times New Roman"/>
          <w:sz w:val="20"/>
          <w:u w:val="single"/>
        </w:rPr>
        <w:t>Section 3.12(b)</w:t>
      </w:r>
      <w:r>
        <w:rPr>
          <w:rFonts w:ascii="Times New Roman" w:hAnsi="Times New Roman"/>
          <w:sz w:val="20"/>
        </w:rPr>
        <w:t xml:space="preserve"> of the Caldera Disclosure Schedule is in full force and effect and constitutes a legal, valid, and binding obligation of Caldera, its Subsidiaries and each other party thereto, and is enforceable against Caldera, its Subsidiaries and each other party thereto in accordance with its terms. Neither Caldera, its Subsidiaries, nor, to the Knowledge of Caldera, any other party to any Caldera Contract listed in </w:t>
      </w:r>
      <w:r>
        <w:rPr>
          <w:rFonts w:ascii="Times New Roman" w:hAnsi="Times New Roman"/>
          <w:sz w:val="20"/>
          <w:u w:val="single"/>
        </w:rPr>
        <w:t>Section 3.12(b)</w:t>
      </w:r>
      <w:r>
        <w:rPr>
          <w:rFonts w:ascii="Times New Roman" w:hAnsi="Times New Roman"/>
          <w:sz w:val="20"/>
        </w:rPr>
        <w:t xml:space="preserve"> of the Caldera Disclosure Schedule has been or is, or has been or is alleged to be, in material default under, or has provided or received any notice of breach under, or intention to terminate (including by non-renewal), any Caldera Contract listed in </w:t>
      </w:r>
      <w:r>
        <w:rPr>
          <w:rFonts w:ascii="Times New Roman" w:hAnsi="Times New Roman"/>
          <w:sz w:val="20"/>
          <w:u w:val="single"/>
        </w:rPr>
        <w:t>Section 3.12(b)</w:t>
      </w:r>
      <w:r>
        <w:rPr>
          <w:rFonts w:ascii="Times New Roman" w:hAnsi="Times New Roman"/>
          <w:sz w:val="20"/>
        </w:rPr>
        <w:t xml:space="preserve"> of the Caldera Disclosure Schedule, except as would not reasonably be expected to have, individually or in the aggregate, a Caldera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3.12(c)</w:t>
      </w:r>
      <w:r>
        <w:rPr>
          <w:rFonts w:ascii="Times New Roman" w:hAnsi="Times New Roman"/>
          <w:sz w:val="20"/>
        </w:rPr>
        <w:t xml:space="preserve"> of the Caldera Disclosure Schedule is a true, correct and complete listing of each Caldera Contract pursuant to which any Person, other than Caldera or any of its Subsidiaries, has been granted any license, sublicense, option or covenant not to sue under, or otherwise has received or acquired any right (whether or not currently exercisable) or interest in, any material Caldera Owned IP Rights, other than Standard IP Contracts. To the Knowledge of Caldera, each Caldera Contract listed in </w:t>
      </w:r>
      <w:r>
        <w:rPr>
          <w:rFonts w:ascii="Times New Roman" w:hAnsi="Times New Roman"/>
          <w:sz w:val="20"/>
          <w:u w:val="single"/>
        </w:rPr>
        <w:t>Section 3.12(c)</w:t>
      </w:r>
      <w:r>
        <w:rPr>
          <w:rFonts w:ascii="Times New Roman" w:hAnsi="Times New Roman"/>
          <w:sz w:val="20"/>
        </w:rPr>
        <w:t xml:space="preserve"> of the Caldera Disclosure Schedule is in full force and effect and constitutes a legal, valid, and binding obligation of Caldera, its Subsidiaries and each other party thereto, and is enforceable against Caldera, its Subsidiaries and each other party thereto in accordance with its terms. Neither Caldera, its Subsidiaries nor, to the Knowledge of Caldera, any other party to any Caldera Contract listed in </w:t>
      </w:r>
      <w:r>
        <w:rPr>
          <w:rFonts w:ascii="Times New Roman" w:hAnsi="Times New Roman"/>
          <w:sz w:val="20"/>
          <w:u w:val="single"/>
        </w:rPr>
        <w:t>Section 3.12(c)</w:t>
      </w:r>
      <w:r>
        <w:rPr>
          <w:rFonts w:ascii="Times New Roman" w:hAnsi="Times New Roman"/>
          <w:sz w:val="20"/>
        </w:rPr>
        <w:t xml:space="preserve"> of the Caldera Disclosure Schedule has provided or received any written notice of breach under, or intention to terminate (including by non-renewal), any Caldera Contract listed in </w:t>
      </w:r>
      <w:r>
        <w:rPr>
          <w:rFonts w:ascii="Times New Roman" w:hAnsi="Times New Roman"/>
          <w:sz w:val="20"/>
          <w:u w:val="single"/>
        </w:rPr>
        <w:t>Section 3.12(c)</w:t>
      </w:r>
      <w:r>
        <w:rPr>
          <w:rFonts w:ascii="Times New Roman" w:hAnsi="Times New Roman"/>
          <w:sz w:val="20"/>
        </w:rPr>
        <w:t xml:space="preserve"> of the Caldera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(d) Neither Caldera nor any of its Subsidiaries is bound by, and no Caldera Owned IP Rights or Caldera Exclusively Licensed IP Rights are subject to any Caldera Contract containing any covenant or other provision that materially limits or restricts the ability of Caldera or any of its Subsidiaries to use, exploit, assert, or enforce any Caldera Owned IP Rights or Caldera Exclusively Licensed IP Rights anywhere in the world; other than Standard IP Contracts and other Contracts to the extent they contain non-exclusive licenses granted by Caldera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(e) (x) Caldera or one of its Subsidiaries exclusively owns all right, title, and interest to and in all material Caldera Owned IP Rights free and clear of any Encumbrances (other than Permitted Encumbrances) and (y) Caldera owns, or has a valid and enforceable right pursuant to a binding written Contract to use, all material Caldera IP Rights currently used or practiced by Caldera as of the date of this Agreement; provided, however, that the foregoing representation is not a representation or warranty with respect to infringement, misappropriation or other violation of the Intellectual Property rights of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 To the Knowledge of Caldera, all documents and instruments necessary to register or apply for or renew registration of Caldera Registered IP owned by Caldera or under the control of Caldera have been validly executed, delivered, and filed in a timely manner with the appropriate Governmental Authority and (B) to the Knowledge of Caldera, Caldera or its licensor has filed all statements of use and paid all renewal and maintenance fees, annuities and other fees with respect to the Caldera Registered IP owned by Caldera or under the control of Caldera that are due or payable as of the date of this Agreement, in each case (A) and (B), that are due or payable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 Except for instances that would not reasonably be expected to have, individually or in the aggregate, a Caldera Material Adverse Effect, to the Knowledge of Caldera each Person who is or was an employee, contractor or consultant of Caldera or any of its Subsidiaries and who is or was materially involved in the creation, discovery, reduction to practice or development of any material Intellectual Property for Caldera or any of its Subsidiaries has signed a valid, enforceable written agreement containing a present assignment of all right, title and interest in and to such Intellectual Property to Caldera or such Subsidiary and confidentiality provisions protecting trade secrets and confidential information of Caldera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(iii) To the Knowledge of Caldera, no current or former member, officer, director, or employee of Caldera or any of its Subsidiaries has any claim, right (whether or not currently exercisable), or interest to or in any Caldera IP Rights purported to be owned by Caldera. To the Knowledge of Caldera, no employee of Caldera or any of its Subsidiaries is (A) bound by or otherwise subject to any Contract restricting him or her from performing his or her duties for Caldera or such Subsidiary or (B) in breach of any Contract with any former employer or other Person concerning Caldera IP Rights purported to be owned by Caldera or confidentiality provisions protecting trade secrets and confidential information comprising Caldera IP Rights purported to be owned by Caldera. To the Knowledge of Caldera, (x) there are no claims by any third party to any ownership interest in or Encumbrance (other than Permitted Encumbrances) on any of the Caldera Owned IP Rights and (y) there are no inventorship disputes with respect to any of the Patents included in the Caldera Registered IP. </w:t>
      </w:r>
    </w:p>
    <w:p>
      <w:pPr>
        <w:pStyle w:val="TextBody"/>
        <w:bidi w:val="0"/>
        <w:spacing w:before="240" w:after="0"/>
        <w:jc w:val="left"/>
        <w:rPr>
          <w:rFonts w:ascii="Times New Roman" w:hAnsi="Times New Roman"/>
          <w:sz w:val="20"/>
        </w:rPr>
      </w:pPr>
      <w:r>
        <w:rPr>
          <w:rFonts w:ascii="Times New Roman" w:hAnsi="Times New Roman"/>
          <w:sz w:val="20"/>
        </w:rPr>
        <w:t xml:space="preserve">(iv) No funding, facilities, or personnel of any Governmental Authority were used, directly or indirectly, to develop or create, in whole or in part, any Caldera Owned IP Rights, or to the Knowledge of Caldera, any Caldera Licensed IP Rights that are exclusively licensed to Caldera. To the Knowledge of Caldera, no Governmental Authority has any right to (including any “step-in” or “march-in” rights with respect to), ownership of, commercialization of, or right to royalties or other payments for any Caldera Owned IP Rights or, to the Knowledge of Caldera, any Caldera Licensed IP Rights that are exclusively licensed to Caldera. </w:t>
      </w:r>
    </w:p>
    <w:p>
      <w:pPr>
        <w:pStyle w:val="TextBody"/>
        <w:bidi w:val="0"/>
        <w:spacing w:before="240" w:after="0"/>
        <w:jc w:val="left"/>
        <w:rPr>
          <w:rFonts w:ascii="Times New Roman" w:hAnsi="Times New Roman"/>
          <w:sz w:val="20"/>
        </w:rPr>
      </w:pPr>
      <w:r>
        <w:rPr>
          <w:rFonts w:ascii="Times New Roman" w:hAnsi="Times New Roman"/>
          <w:sz w:val="20"/>
        </w:rPr>
        <w:t xml:space="preserve">(v) Caldera and each of its Subsidiaries has taken reasonable steps to maintain the confidentiality of and otherwise protect, maintain and enforce its rights in all proprietary information that Caldera or such Subsidiary holds, or purports to hold, as confidential or a trade secret. </w:t>
      </w:r>
    </w:p>
    <w:p>
      <w:pPr>
        <w:pStyle w:val="TextBody"/>
        <w:bidi w:val="0"/>
        <w:spacing w:before="240" w:after="0"/>
        <w:jc w:val="left"/>
        <w:rPr>
          <w:rFonts w:ascii="Times New Roman" w:hAnsi="Times New Roman"/>
          <w:sz w:val="20"/>
        </w:rPr>
      </w:pPr>
      <w:r>
        <w:rPr>
          <w:rFonts w:ascii="Times New Roman" w:hAnsi="Times New Roman"/>
          <w:sz w:val="20"/>
        </w:rPr>
        <w:t xml:space="preserve">(vi) Neither Caldera nor any of its Subsidiaries has assigned or otherwise transferred ownership of, or agreed to assign or otherwise transfer ownership of, any material Caldera Owned IP Rights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(vii) To the Knowledge of Caldera, each item of Caldera Registered IP has been duly maintained and is not expired, abandoned or cancelled. To the Knowledge of Caldera, each of the Patents included in the Caldera Registered IP identifies each and every inventor of the claims thereof as determined to the extent required by and in accordance with the applicable laws of the jurisdiction in which such Patent is issued or pending. To the Knowledge of Caldera, each of Caldera and its Subsidiaries and their respective patent counsel have complied with its duty of candor and disclosure and have made no material misrepresentations in the filings submitted to the applicable Governmental Authorities with respect to all Patents included in the Caldera Registered IP for which Caldera or any of its Subsidiaries is responsible for prosecuting.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To the Knowledge of Caldera, the Caldera IP Rights constitute all material Intellectual Property necessary for Caldera or any of its Subsidiaries to conduct its business as currently conducted as of the date of this Agreement; provided, however, that the foregoing representation is not a representation or warranty with respect to infringement, misappropriation or other violation of the Intellectual Property rights of any Person. </w:t>
      </w:r>
    </w:p>
    <w:p>
      <w:pPr>
        <w:pStyle w:val="TextBody"/>
        <w:bidi w:val="0"/>
        <w:spacing w:before="240" w:after="0"/>
        <w:jc w:val="left"/>
        <w:rPr>
          <w:rFonts w:ascii="Times New Roman" w:hAnsi="Times New Roman"/>
          <w:sz w:val="20"/>
        </w:rPr>
      </w:pPr>
      <w:r>
        <w:rPr>
          <w:rFonts w:ascii="Times New Roman" w:hAnsi="Times New Roman"/>
          <w:sz w:val="20"/>
        </w:rPr>
        <w:t xml:space="preserve">(f) To the Knowledge of Caldera, the conduct of the business of Caldera as has been conducted and as is currently being conducted, including the manufacture, marketing, offering for sale, sale, importation, use or intended use or other disposal of any product as currently sold or under development by Caldera or any of its Subsidiaries (i) has not breached, and does not presently breach, any material Caldera IP Rights Agreement in any material respect, and (ii) to the Knowledge of Caldera, has not materially infringed, misappropriated or otherwise violated, and does not materially infringe, misappropriate or otherwise violate, any valid and issued Patents or other valid Intellectual Property rights of any other Person. To the Knowledge of Caldera, no Person has engaged in the unauthorized use of, or has infringed, misappropriated or otherwise violated any Patents within the Caldera Owned IP Rights or Caldera Exclusively Licensed IP Rights, or otherwise materially breached any material Caldera IP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(g) As of the date of this Agreement, neither Caldera nor any of its Subsidiaries is or has been a party to any, or is the subject of any pending or, to the Knowledge of Caldera, threatened in writing, Legal Proceeding (including, but not limited to, opposition, interference or other proceeding in any patent or other government office) contesting the validity, enforceability, ownership or right to use, sell, offer for sale, license or dispose of any Caldera Owned IP Rights. None of the Caldera Registered IP have been adjudged invalid or unenforceable in whole or part, and, to the Knowledge of Caldera, all Caldera Owned IP Rights or Caldera Exclusively Licensed IP Rights are in full force and effect. Neither Caldera nor any of its Subsidiaries have received any written notice asserting that any Caldera IP Rights or the proposed use, sale, offer for sale, license or disposition of products, methods, or processes claimed or covered thereunder infringes or misappropriates or violates the Intellectual Property rights of any other Person or that Caldera or any of its Subsidiaries have otherwise infringed, misappropriated or otherwise violated any Intellectual Property rights of any Person. </w:t>
      </w:r>
    </w:p>
    <w:p>
      <w:pPr>
        <w:pStyle w:val="TextBody"/>
        <w:bidi w:val="0"/>
        <w:spacing w:before="240" w:after="0"/>
        <w:jc w:val="left"/>
        <w:rPr>
          <w:rFonts w:ascii="Times New Roman" w:hAnsi="Times New Roman"/>
          <w:sz w:val="20"/>
        </w:rPr>
      </w:pPr>
      <w:r>
        <w:rPr>
          <w:rFonts w:ascii="Times New Roman" w:hAnsi="Times New Roman"/>
          <w:sz w:val="20"/>
        </w:rPr>
        <w:t xml:space="preserve">(h) To the Knowledge of Caldera, no trademark (whether registered or unregistered) or trade name owned, used, or applied for by Caldera or any of its Subsidiaries conflicts or interferes with any trademark (whether registered or unregistered) or trade name owned, used, or applied for by any other Person except as would not have a Caldera Material Adverse Effect. To the Knowledge of Caldera, none of the goodwill associated with or inherent in any trademark (whether registered or unregistered) in which Caldera or its Subsidiaries has or purports to have an ownership interest has been impaired as determined by Caldera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(i) Except (i) as would not reasonably be expected to have a Caldera Material Adverse Effect or (ii) as contained in license, distribution or service agreements entered into in the Ordinary Course of Business by Caldera, to the Knowledge of Caldera, (A) neither Caldera nor any of its Subsidiaries is bound by any Contract to indemnify, defend, hold harmless, or reimburse any other Person with respect to any Intellectual Property infringement, misappropriation, or similar claim which is material to Caldera or any of its Subsidiaries, taken as a whole and (B) neither Caldera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None of the execution and delivery of this Agreement, the consummation of the transactions contemplated hereby or the performance by Caldera of its obligations hereunder conflict or will conflict with, alter or impair any of Caldera’s rights in, to and under any material Caldera IP Rights or the validity, enforceability, priority, scope or duration of any material Caldera IP Rights. Without limiting the foregoing, to the Knowledge of Caldera, neither Caldera nor any of its Subsidiaries is party to any Contract that, as a result of such execution, delivery and performance of this Agreement, will (i) cause the grant, assignment, or transfer to any other Person of any license or other right to or in any Caldera IP Rights, (ii) result in breach of, default under or termination of such Contract with respect to any Caldera IP Rights, (iii) alter, encumber, impair or extinguish, or result in any Encumbrance with respect to the right of Caldera or the Caldera Merger Surviving Corporation and its Subsidiaries to use, sell or license or enforce any Caldera IP Rights or portion thereof, or (iv) result in Caldera or any of its Subsidiaries being bound by or subject to any exclusivity obligations, non-compete or other restrictions on the operation or scope of their respective businesses, or to any obligation to grant any rights in or to any Caldera IP Rights, except, in each of (i), (ii), (iii) and (iv), for the occurrence of any such grant or impairment that would not individually or in the aggregate, reasonably be expected to result in a Caldera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Agreements, 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Excepted Contracts, </w:t>
      </w:r>
      <w:r>
        <w:rPr>
          <w:rFonts w:ascii="Times New Roman" w:hAnsi="Times New Roman"/>
          <w:sz w:val="20"/>
          <w:u w:val="single"/>
        </w:rPr>
        <w:t>Section 3.13(a)</w:t>
      </w:r>
      <w:r>
        <w:rPr>
          <w:rFonts w:ascii="Times New Roman" w:hAnsi="Times New Roman"/>
          <w:sz w:val="20"/>
        </w:rPr>
        <w:t xml:space="preserve"> of the Caldera Disclosure Schedule lists the following Caldera Contracts in effect as of the date of this Agreement other than the Securities Purchase Agreement (each, a “</w:t>
      </w:r>
      <w:r>
        <w:rPr>
          <w:rFonts w:ascii="Times New Roman" w:hAnsi="Times New Roman"/>
          <w:b/>
          <w:sz w:val="20"/>
        </w:rPr>
        <w:t>Caldera</w:t>
      </w:r>
      <w:r>
        <w:rPr>
          <w:rFonts w:ascii="Times New Roman" w:hAnsi="Times New Roman"/>
          <w:sz w:val="20"/>
        </w:rPr>
        <w:t xml:space="preserve"> </w:t>
      </w:r>
      <w:r>
        <w:rPr>
          <w:rFonts w:ascii="Times New Roman" w:hAnsi="Times New Roman"/>
          <w:b/>
          <w:sz w:val="20"/>
        </w:rPr>
        <w:t>Material Contract</w:t>
      </w:r>
      <w:r>
        <w:rPr>
          <w:rFonts w:ascii="Times New Roman" w:hAnsi="Times New Roman"/>
          <w:sz w:val="20"/>
        </w:rPr>
        <w:t>” and collectively, the “</w:t>
      </w:r>
      <w:r>
        <w:rPr>
          <w:rFonts w:ascii="Times New Roman" w:hAnsi="Times New Roman"/>
          <w:b/>
          <w:sz w:val="20"/>
        </w:rPr>
        <w:t>Caldera</w:t>
      </w:r>
      <w:r>
        <w:rPr>
          <w:rFonts w:ascii="Times New Roman" w:hAnsi="Times New Roman"/>
          <w:sz w:val="20"/>
        </w:rPr>
        <w:t xml:space="preserve"> </w:t>
      </w:r>
      <w:r>
        <w:rPr>
          <w:rFonts w:ascii="Times New Roman" w:hAnsi="Times New Roman"/>
          <w:b/>
          <w:sz w:val="20"/>
        </w:rPr>
        <w:t>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Caldera Contract that is a collective bargaining agreement or other agreement or arrangement with any labor union, works council or labor organization; </w:t>
      </w:r>
    </w:p>
    <w:p>
      <w:pPr>
        <w:pStyle w:val="TextBody"/>
        <w:bidi w:val="0"/>
        <w:spacing w:before="240" w:after="0"/>
        <w:jc w:val="left"/>
        <w:rPr>
          <w:rFonts w:ascii="Times New Roman" w:hAnsi="Times New Roman"/>
          <w:sz w:val="20"/>
        </w:rPr>
      </w:pPr>
      <w:r>
        <w:rPr>
          <w:rFonts w:ascii="Times New Roman" w:hAnsi="Times New Roman"/>
          <w:sz w:val="20"/>
        </w:rPr>
        <w:t xml:space="preserve">(ii) each Caldera Contract for the employment or engagement of any individual on an employee, consulting or other basis that provides for annual base compensation in excess of $500,000; </w:t>
      </w:r>
    </w:p>
    <w:p>
      <w:pPr>
        <w:pStyle w:val="TextBody"/>
        <w:bidi w:val="0"/>
        <w:spacing w:before="240" w:after="0"/>
        <w:jc w:val="left"/>
        <w:rPr>
          <w:rFonts w:ascii="Times New Roman" w:hAnsi="Times New Roman"/>
          <w:sz w:val="20"/>
        </w:rPr>
      </w:pPr>
      <w:r>
        <w:rPr>
          <w:rFonts w:ascii="Times New Roman" w:hAnsi="Times New Roman"/>
          <w:sz w:val="20"/>
        </w:rPr>
        <w:t xml:space="preserve">(iii) each Caldera Contract with any Caldera Associate that provides for retention, change in control, transaction or other similar payments or benefits, whether or not payable as a result of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(iv) each Caldera Contract relating to any agreement of indemnification or guaranty not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 each Caldera Contract containing (A) any covenant limiting the freedom of Caldera or any of its Subsidiaries (or, after the Closing Date, Parent or any of its Subsidiaries) to engage in any line of business or compete with any Person, or limiting the development, manufacture, or distribution of Caldera’s or any of its Subsidiaries’ (or, after the Closing Date, Parent’s or any of its Subsidiaries’) products or services, (B) any most-favored pricing arrangement, (C) any exclusivity provision or (D) any non-solicitation provision (excluding such provisions to the extent they provide for non-solicitation of employees, consultants or individual independent contractors); </w:t>
      </w:r>
    </w:p>
    <w:p>
      <w:pPr>
        <w:pStyle w:val="TextBody"/>
        <w:bidi w:val="0"/>
        <w:spacing w:before="240" w:after="0"/>
        <w:jc w:val="left"/>
        <w:rPr>
          <w:rFonts w:ascii="Times New Roman" w:hAnsi="Times New Roman"/>
          <w:sz w:val="20"/>
        </w:rPr>
      </w:pPr>
      <w:r>
        <w:rPr>
          <w:rFonts w:ascii="Times New Roman" w:hAnsi="Times New Roman"/>
          <w:sz w:val="20"/>
        </w:rPr>
        <w:t xml:space="preserve">(vi) each Caldera Contract (A) pursuant to which any Person granted Caldera or any of its Subsidiaries an exclusive license under any Intellectual Property, or (B) pursuant to which Caldera or any of its Subsidiaries granted any Person an exclusive license under any Caldera IP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each Caldera Contract relating to capital expenditures and requiring payments after the date of this Agreement in excess of $250,000 pursuant to its express terms and not cancelable without penalty; </w:t>
      </w:r>
    </w:p>
    <w:p>
      <w:pPr>
        <w:pStyle w:val="TextBody"/>
        <w:bidi w:val="0"/>
        <w:spacing w:before="240" w:after="0"/>
        <w:jc w:val="left"/>
        <w:rPr>
          <w:rFonts w:ascii="Times New Roman" w:hAnsi="Times New Roman"/>
          <w:sz w:val="20"/>
        </w:rPr>
      </w:pPr>
      <w:r>
        <w:rPr>
          <w:rFonts w:ascii="Times New Roman" w:hAnsi="Times New Roman"/>
          <w:sz w:val="20"/>
        </w:rPr>
        <w:t xml:space="preserve">(viii) each Caldera Contract relating to the disposition or acquisition of material assets or any ownership interest in any Entity, in each case, involving payments in excess of $250,000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(ix) each Caldera Contract relating to any mortgages, indentures, loans, notes or credit agreements, security agreements or other agreements or instruments relating to the borrowing of money or extension of credit in excess of $250,000 or creating any material Encumbrances with respect to any assets of Caldera or any loans or debt obligations with officers or directors of Caldera; </w:t>
      </w:r>
    </w:p>
    <w:p>
      <w:pPr>
        <w:pStyle w:val="TextBody"/>
        <w:bidi w:val="0"/>
        <w:spacing w:before="240" w:after="0"/>
        <w:jc w:val="left"/>
        <w:rPr>
          <w:rFonts w:ascii="Times New Roman" w:hAnsi="Times New Roman"/>
          <w:sz w:val="20"/>
        </w:rPr>
      </w:pPr>
      <w:r>
        <w:rPr>
          <w:rFonts w:ascii="Times New Roman" w:hAnsi="Times New Roman"/>
          <w:sz w:val="20"/>
        </w:rPr>
        <w:t xml:space="preserve">(x) each Caldera Contract that is: (A) a dealer or distribution Contract (identifying any that contain exclusivity provisions), (B) a Contract pursuant to which Caldera or any of its Subsidiaries transfers, or grants a license under, any material Caldera IP Rights for the right to develop, manufacture, commercialize or sell a product or service (except to the extent such grant is for the benefit of Caldera or any of its Subsidiaries), (C) any joint marketing, alliance, joint venture, collaborative development or other similar Contract under which Caldera or any of its Subsidiaries has continuing obligations to develop or commercialize any product, technology or service, or to develop any Intellectual Property, in each case that will not be owned, in whole or in part, by Caldera or such Subsidiary or (D) a Contract containing a license under any Patent, Trademark or copyright registration to any third party to manufacture or produce any product, service or technology of Caldera or any of its Subsidiaries (except to the extent such license is granted by Caldera or any of its Subsidiaries to its service providers for provision of goods or services to Caldera or any of its Subsidiaries) or any Contract to sell, distribute or commercialize any products or service of Caldera or any of its Subsidiaries, in case of clause (D), except for Caldera Contracts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(xi) each Caldera Contract with any Person, including any financial advisor, broker, finder, investment banker or other Person, providing advisory services to Caldera or any of its Subsidiaries in connection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(xii) each Caldera Contract to which Caldera or any of its Subsidiaries is a party or by which any of their assets and properties is currently bound, which involves recurring annual obligations of payment by, or recurring annual payments to, Caldera or such Subsidiary in excess of $250,000; </w:t>
      </w:r>
    </w:p>
    <w:p>
      <w:pPr>
        <w:pStyle w:val="TextBody"/>
        <w:bidi w:val="0"/>
        <w:spacing w:before="240" w:after="0"/>
        <w:jc w:val="left"/>
        <w:rPr>
          <w:rFonts w:ascii="Times New Roman" w:hAnsi="Times New Roman"/>
          <w:sz w:val="20"/>
        </w:rPr>
      </w:pPr>
      <w:r>
        <w:rPr>
          <w:rFonts w:ascii="Times New Roman" w:hAnsi="Times New Roman"/>
          <w:sz w:val="20"/>
        </w:rPr>
        <w:t xml:space="preserve">(xiii) a Caldera Real Estate Lease; </w:t>
      </w:r>
    </w:p>
    <w:p>
      <w:pPr>
        <w:pStyle w:val="TextBody"/>
        <w:bidi w:val="0"/>
        <w:spacing w:before="240" w:after="0"/>
        <w:jc w:val="left"/>
        <w:rPr>
          <w:rFonts w:ascii="Times New Roman" w:hAnsi="Times New Roman"/>
          <w:sz w:val="20"/>
        </w:rPr>
      </w:pPr>
      <w:r>
        <w:rPr>
          <w:rFonts w:ascii="Times New Roman" w:hAnsi="Times New Roman"/>
          <w:sz w:val="20"/>
        </w:rPr>
        <w:t xml:space="preserve">(xiv) a Contract disclosed in or required to be disclosed in </w:t>
      </w:r>
      <w:r>
        <w:rPr>
          <w:rFonts w:ascii="Times New Roman" w:hAnsi="Times New Roman"/>
          <w:sz w:val="20"/>
          <w:u w:val="single"/>
        </w:rPr>
        <w:t>Section 3.12(b)</w:t>
      </w:r>
      <w:r>
        <w:rPr>
          <w:rFonts w:ascii="Times New Roman" w:hAnsi="Times New Roman"/>
          <w:sz w:val="20"/>
        </w:rPr>
        <w:t xml:space="preserve"> or </w:t>
      </w:r>
      <w:r>
        <w:rPr>
          <w:rFonts w:ascii="Times New Roman" w:hAnsi="Times New Roman"/>
          <w:sz w:val="20"/>
          <w:u w:val="single"/>
        </w:rPr>
        <w:t>Section 3.12(c)</w:t>
      </w:r>
      <w:r>
        <w:rPr>
          <w:rFonts w:ascii="Times New Roman" w:hAnsi="Times New Roman"/>
          <w:sz w:val="20"/>
        </w:rPr>
        <w:t xml:space="preserve"> of the Caldera Disclosure Schedule; or </w:t>
      </w:r>
    </w:p>
    <w:p>
      <w:pPr>
        <w:pStyle w:val="TextBody"/>
        <w:bidi w:val="0"/>
        <w:spacing w:before="240" w:after="0"/>
        <w:jc w:val="left"/>
        <w:rPr>
          <w:rFonts w:ascii="Times New Roman" w:hAnsi="Times New Roman"/>
          <w:sz w:val="20"/>
        </w:rPr>
      </w:pPr>
      <w:r>
        <w:rPr>
          <w:rFonts w:ascii="Times New Roman" w:hAnsi="Times New Roman"/>
          <w:sz w:val="20"/>
        </w:rPr>
        <w:t xml:space="preserve">(xv) any other Caldera Contract that is not terminable at will (with no penalty or payment and with no more than 90 days’ notice) by Caldera or any of its Subsidiaries, and that includes an express obligation for payment or receipt by Caldera or such Subsidiary after the date of this Agreement under any such obligation of more than $250,000 in the aggregate, other than Caldera Contracts for provision of legal or accounting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Caldera has delivered or made available to Synlogic accurate and complete copies of all Caldera Material Contracts, including all amendments thereto. There are no Caldera Material Contracts that are not in written form. Neither Caldera nor any of its Subsidiaries has, nor to the Knowledge of Caldera, as of the date of this Agreement, has any other party to a Caldera Material Contract, breached, violated or defaulted under, or received notice that it breached, violated or defaulted under, any of the terms or conditions of any such Caldera Material Contract in such manner as would permit any other party to cancel or terminate any such Caldera Material Contract, or would permit any other party to seek material damages thereunder. As to Caldera and its Subsidiaries, as of the date of this Agreement, each Caldera Material Contract is valid, binding, enforceable and in full force and effect, subject to the Enforceability Exceptions. No Person is renegotiating, or has a right pursuant to the terms of any Caldera Material Contract to change, any material amount paid or payable to Caldera or any of its Subsidiaries under any Caldera Material Contract or any other material term or provision of any Caldera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Compliance; Permits;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Caldera and each of its Subsidiaries is, and since January 1, 2023 has been, in material compliance with all applicable Laws, including the Federal Food, Drug, and Cosmetic Act (“</w:t>
      </w:r>
      <w:r>
        <w:rPr>
          <w:rFonts w:ascii="Times New Roman" w:hAnsi="Times New Roman"/>
          <w:b/>
          <w:sz w:val="20"/>
        </w:rPr>
        <w:t>FDCA</w:t>
      </w:r>
      <w:r>
        <w:rPr>
          <w:rFonts w:ascii="Times New Roman" w:hAnsi="Times New Roman"/>
          <w:sz w:val="20"/>
        </w:rPr>
        <w:t>”), the Public Health Service Act (“</w:t>
      </w:r>
      <w:r>
        <w:rPr>
          <w:rFonts w:ascii="Times New Roman" w:hAnsi="Times New Roman"/>
          <w:b/>
          <w:sz w:val="20"/>
        </w:rPr>
        <w:t>PHSA</w:t>
      </w:r>
      <w:r>
        <w:rPr>
          <w:rFonts w:ascii="Times New Roman" w:hAnsi="Times New Roman"/>
          <w:sz w:val="20"/>
        </w:rPr>
        <w:t>”), Food and Drug Administration (“</w:t>
      </w:r>
      <w:r>
        <w:rPr>
          <w:rFonts w:ascii="Times New Roman" w:hAnsi="Times New Roman"/>
          <w:b/>
          <w:sz w:val="20"/>
        </w:rPr>
        <w:t>FDA</w:t>
      </w:r>
      <w:r>
        <w:rPr>
          <w:rFonts w:ascii="Times New Roman" w:hAnsi="Times New Roman"/>
          <w:sz w:val="20"/>
        </w:rPr>
        <w:t>”) regulations adopted thereunder or any other applicable Law administered or enforced by the FDA or other Governmental Authority responsible for regulation of the research, development, testing, manufacturing, packaging, processing, storage, labeling, sale, marketing, advertising, distribution and importation or exportation of drug or biologic products (“</w:t>
      </w:r>
      <w:r>
        <w:rPr>
          <w:rFonts w:ascii="Times New Roman" w:hAnsi="Times New Roman"/>
          <w:b/>
          <w:sz w:val="20"/>
        </w:rPr>
        <w:t>Drug Regulatory Agency</w:t>
      </w:r>
      <w:r>
        <w:rPr>
          <w:rFonts w:ascii="Times New Roman" w:hAnsi="Times New Roman"/>
          <w:sz w:val="20"/>
        </w:rPr>
        <w:t xml:space="preserve">”). No investigation, claim, suit, proceeding, audit, Order, or other action by any Governmental Authority is pending or, to the Knowledge of Caldera, threatened against Caldera or any of its Subsidiaries. There is no agreement or Order binding upon Caldera or any of its Subsidiaries which (i) has or could reasonably be expected to have the effect of prohibiting or materially impairing any business practice of Caldera or any of its Subsidiaries, any acquisition of material property by Caldera or any of its Subsidiaries or the conduct of business by Caldera or any of its Subsidiaries as currently conducted, (ii) is reasonably likely to have an adverse effect on Caldera’s ability to comply with or perform any covenant or obligation under this Agreement or (iii) is reasonably likely to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Each of Caldera and its Subsidiaries holds all required Governmental Authorizations that are material to the operation of the business of Caldera as currently conducted (collectively, the “</w:t>
      </w:r>
      <w:r>
        <w:rPr>
          <w:rFonts w:ascii="Times New Roman" w:hAnsi="Times New Roman"/>
          <w:b/>
          <w:sz w:val="20"/>
        </w:rPr>
        <w:t>Caldera</w:t>
      </w:r>
      <w:r>
        <w:rPr>
          <w:rFonts w:ascii="Times New Roman" w:hAnsi="Times New Roman"/>
          <w:sz w:val="20"/>
        </w:rPr>
        <w:t xml:space="preserve"> </w:t>
      </w:r>
      <w:r>
        <w:rPr>
          <w:rFonts w:ascii="Times New Roman" w:hAnsi="Times New Roman"/>
          <w:b/>
          <w:sz w:val="20"/>
        </w:rPr>
        <w:t>Permits</w:t>
      </w:r>
      <w:r>
        <w:rPr>
          <w:rFonts w:ascii="Times New Roman" w:hAnsi="Times New Roman"/>
          <w:sz w:val="20"/>
        </w:rPr>
        <w:t xml:space="preserve">”). </w:t>
      </w:r>
      <w:r>
        <w:rPr>
          <w:rFonts w:ascii="Times New Roman" w:hAnsi="Times New Roman"/>
          <w:sz w:val="20"/>
          <w:u w:val="single"/>
        </w:rPr>
        <w:t>Section 3.14(b)</w:t>
      </w:r>
      <w:r>
        <w:rPr>
          <w:rFonts w:ascii="Times New Roman" w:hAnsi="Times New Roman"/>
          <w:sz w:val="20"/>
        </w:rPr>
        <w:t xml:space="preserve"> of the Caldera Disclosure Schedule identifies each Caldera Permit. Each of Caldera and its Subsidiaries is in material compliance with the terms of Caldera Permits. No Legal Proceeding is pending or, to the Knowledge of Caldera, threatened, which seeks to revoke, substantially limit, suspend, or materially modify any Caldera Permit.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Legal Proceedings pending or, to the Knowledge of Caldera, threatened in writing with respect to an alleged material violation by Caldera or any of its Subsidiaries of the FDCA, PHSA and FDA regulations adopted thereunder, or any other applicable Law administered or enforced by a Drug Regulatory Agency. </w:t>
      </w:r>
    </w:p>
    <w:p>
      <w:pPr>
        <w:pStyle w:val="TextBody"/>
        <w:bidi w:val="0"/>
        <w:spacing w:before="240" w:after="0"/>
        <w:jc w:val="left"/>
        <w:rPr>
          <w:rFonts w:ascii="Times New Roman" w:hAnsi="Times New Roman"/>
          <w:sz w:val="20"/>
        </w:rPr>
      </w:pPr>
      <w:r>
        <w:rPr>
          <w:rFonts w:ascii="Times New Roman" w:hAnsi="Times New Roman"/>
          <w:sz w:val="20"/>
        </w:rPr>
        <w:t>(d) Each of Caldera and its Subsidiaries holds all required material Governmental Authorizations issuable by any Drug Regulatory Agency necessary for the conduct of the business of Caldera as currently conducted, and, as applicable, the research, development, testing, manufacturing, packaging, processing, storage, labeling, sale, marketing, advertising, distribution and importation or exportation, as currently conducted, of any of its product candidates (the “</w:t>
      </w:r>
      <w:r>
        <w:rPr>
          <w:rFonts w:ascii="Times New Roman" w:hAnsi="Times New Roman"/>
          <w:b/>
          <w:sz w:val="20"/>
        </w:rPr>
        <w:t>Caldera</w:t>
      </w:r>
      <w:r>
        <w:rPr>
          <w:rFonts w:ascii="Times New Roman" w:hAnsi="Times New Roman"/>
          <w:sz w:val="20"/>
        </w:rPr>
        <w:t xml:space="preserve"> </w:t>
      </w:r>
      <w:r>
        <w:rPr>
          <w:rFonts w:ascii="Times New Roman" w:hAnsi="Times New Roman"/>
          <w:b/>
          <w:sz w:val="20"/>
        </w:rPr>
        <w:t>Product Candidates</w:t>
      </w:r>
      <w:r>
        <w:rPr>
          <w:rFonts w:ascii="Times New Roman" w:hAnsi="Times New Roman"/>
          <w:sz w:val="20"/>
        </w:rPr>
        <w:t>”) (collectively, the “</w:t>
      </w:r>
      <w:r>
        <w:rPr>
          <w:rFonts w:ascii="Times New Roman" w:hAnsi="Times New Roman"/>
          <w:b/>
          <w:sz w:val="20"/>
        </w:rPr>
        <w:t>Caldera</w:t>
      </w:r>
      <w:r>
        <w:rPr>
          <w:rFonts w:ascii="Times New Roman" w:hAnsi="Times New Roman"/>
          <w:sz w:val="20"/>
        </w:rPr>
        <w:t xml:space="preserve"> </w:t>
      </w:r>
      <w:r>
        <w:rPr>
          <w:rFonts w:ascii="Times New Roman" w:hAnsi="Times New Roman"/>
          <w:b/>
          <w:sz w:val="20"/>
        </w:rPr>
        <w:t>Regulatory Permits</w:t>
      </w:r>
      <w:r>
        <w:rPr>
          <w:rFonts w:ascii="Times New Roman" w:hAnsi="Times New Roman"/>
          <w:sz w:val="20"/>
        </w:rPr>
        <w:t xml:space="preserve">”) and no such Caldera Regulatory Permit has been (i) revoked, withdrawn, suspended, cancelled or terminated or (ii) modified in any material, adverse manner, in each case (i) and (ii) by a Drug Regulatory Agency. Caldera has timely maintained and is in compliance in all material respects with the Caldera Regulatory Permits and neither Caldera nor any of its Subsidiaries has received any written notice or other written communication from any Drug Regulatory Agency regarding (A) any material violation of or failure to comply materially with any term or requirement of any Caldera Regulatory Permit or (B) any revocation, withdrawal, suspension, cancellation, termination or material modification of any Caldera Regulatory Permit.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As of the date of this Agreement, all clinical, non-clinical and other studies and tests conducted by or, to the Knowledge of Caldera, on behalf of, or sponsored by, Caldera or its Subsidiaries, in which Caldera or its Subsidiaries or their respective product candidates, including the Caldera Product Candidates, have participated, were and, if still pending, are being conducted in compliance in all material respects with the applicable regulations of the Drug Regulatory Agencies and other applicable Law, including, without limitation, 21 C.F.R. Parts 50, 54, 58 and 312, 45 C.F.R. Part 46, and all other applicable Laws governing informed consent, institutional review boards and the protection of human subjects. Neither Caldera nor any of its Subsidiaries has received any written notices, correspondence, or other communications from any Drug Regulatory Agency requiring or, to the Knowledge of Caldera, threatening any action to place a clinical hold order on, or otherwise terminate, delay, or suspend any clinical studies conducted by or on behalf of, or sponsored by, Caldera or any of its Subsidiaries or in which Caldera or any of its Subsidiaries or its current product candidates, including the Caldera Product Candidates, have participated. </w:t>
      </w:r>
    </w:p>
    <w:p>
      <w:pPr>
        <w:pStyle w:val="TextBody"/>
        <w:bidi w:val="0"/>
        <w:spacing w:before="240" w:after="0"/>
        <w:jc w:val="left"/>
        <w:rPr>
          <w:rFonts w:ascii="Times New Roman" w:hAnsi="Times New Roman"/>
          <w:sz w:val="20"/>
        </w:rPr>
      </w:pPr>
      <w:r>
        <w:rPr>
          <w:rFonts w:ascii="Times New Roman" w:hAnsi="Times New Roman"/>
          <w:sz w:val="20"/>
        </w:rPr>
        <w:t xml:space="preserve">(f) Neither Caldera nor any of its Subsidiaries, and, to the Knowledge of Caldera, any contract manufacturer in relation to its activities with respect to any Caldera Product Candidate, is the subject of any pending or, to the Knowledge of Caldera, threatened investigation in respect of its business or products by the FDA pursuant to its “Fraud, Untrue Statements of Material Facts, Bribery, and Illegal Gratuities” Final Policy set forth in 56 Fed. Reg. 46191 (September 10, 1991) and any amendments thereto, or any other applicable Law. To the Knowledge of Caldera, neither Caldera nor any of its Subsidiaries nor any contract manufacturer in relation to its activities with respect to any Caldera Product Candidate has committed any acts, made any statement, or failed to make any statement, in each case in respect of Caldera’s business or products that would violate the FDA’s “Fraud, Untrue Statements of Material Facts, Bribery, and Illegal Gratuities” Final Policy, and any amendments thereto, or any other applicable Law. None of Caldera, any of its Subsidiaries, and to the Knowledge of Caldera, any contract manufacturer in relation to its activities with respect to any Caldera Product Candidate, or any of their respective officers, employees or agents has been convicted of any crime or engaged in any conduct that could result in a debarment or exclusion under (i) 21 U.S.C. Section 335a, (ii) 42 U.S.C. § 1320a-7, or (iii) any other applicable Law. To the Knowledge of Caldera, no debarment or exclusionary claims, actions, proceedings or investigations in respect of Caldera’s and its Subsidiaries’ business or Caldera Product Candidates are pending or threatened against Caldera, any of its Subsidiaries, and to the Knowledge of Caldera, any contract manufacturer in relation to its activities with respect to any Caldera Product Candidate, or any of its respective officers, employees or agents. Neither Caldera nor any of its Subsidiaries is a party to or has any reporting obligations under any corporate integrity agreements, monitoring agreements, deferred or non-prosecution agreements, consent decrees, settlement orders, or similar agreements with or imposed by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(g) All manufacturing operations conducted by, or to the Knowledge of Caldera, for the benefit of, Caldera or its Subsidiaries in connection with any Caldera Product Candidate have been and are being conducted in compliance in all material respects with applicable Laws, including the FDA’s standards for current good manufacturing practices, including applicable requirements contained in 21 C.F.R. Parts 210, 211, 600-680 and the applicable respective counterparts thereof promulgated by Governmental Authorities in countries outside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No laboratory or manufacturing site owned by Caldera or its Subsidiaries, and to the Knowledge of Caldera, no manufacturing site of a contract manufacturer or laboratory, with respect to any Caldera Product Candidate, (i) is subject to a Drug Regulatory Agency shutdown or import or export prohibition or (ii) has received any unresolved Form FDA 483, notice of violation, warning letter, untitled letter, or similar correspondence or notice from the FDA or other Governmental Authority alleging or asserting material noncompliance with the FDCA, PHSA or any other applicable Law, and, to the Knowledge of Caldera, neither the FDA nor any other Governmental Authority is considering such action.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is no pending Legal Proceeding and, to the Knowledge of Caldera, no Person has threatened in writing to commence any Legal Proceeding: (i) that involves Caldera or any of its Subsidiaries or any Caldera Associate (in his or her capacity as such) or any of the material assets owned or used by Caldera or any of its Subsidiaries or (ii) that challenges, or that may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Order to which Caldera or any of its Subsidiaries, or any of the material assets owned or used by Caldera or any of its Subsidiaries, is subject. To the Knowledge of Caldera, no officer or other Key Employee of Caldera or any of its Subsidiaries is subject to any Order that prohibits such officer or employee from engaging in or continuing any conduct, activity or practice relating to the business of Caldera or any of its Subsidiaries or to any material assets owned or used by Caldera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Caldera and each of its Subsidiaries has timely filed all income Tax Returns and all other material Tax Returns that were required to be filed by or with respect to it under applicable Law. All such Tax Returns were correct and complete in all material respects and have been prepared in material compliance with all applicable Law. Subject to exceptions as would not be material, no written claim has ever been made by a Governmental Authority in a jurisdiction where Caldera or any of its Subsidiaries does not file a particular type of Tax Return that Caldera or any of its Subsidiaries is subject to taxation by that jurisdiction that would require the filing of such a Tax Return. </w:t>
      </w:r>
    </w:p>
    <w:p>
      <w:pPr>
        <w:pStyle w:val="TextBody"/>
        <w:bidi w:val="0"/>
        <w:spacing w:before="240" w:after="0"/>
        <w:jc w:val="left"/>
        <w:rPr>
          <w:rFonts w:ascii="Times New Roman" w:hAnsi="Times New Roman"/>
          <w:sz w:val="20"/>
        </w:rPr>
      </w:pPr>
      <w:r>
        <w:rPr>
          <w:rFonts w:ascii="Times New Roman" w:hAnsi="Times New Roman"/>
          <w:sz w:val="20"/>
        </w:rPr>
        <w:t xml:space="preserve">(b) All income Taxes and any other material amounts of Taxes due and owing by Caldera and each of its Subsidiaries (whether or not shown on any Tax Return) have been timely paid. The unpaid Taxes of Caldera and each of its Subsidiaries for periods (or portions thereof) ending on or prior to the date of the Caldera Balance Sheet do not materially exceed the accruals for current Taxes set forth on the Caldera Balance Sheet. Since the date of the Caldera Balance Sheet, neither Caldera nor any of its Subsidiaries has incurred any material Liability for Taxes outside the Ordinary Course of Business or otherwise inconsistent with past custom and practice. </w:t>
      </w:r>
    </w:p>
    <w:p>
      <w:pPr>
        <w:pStyle w:val="TextBody"/>
        <w:bidi w:val="0"/>
        <w:spacing w:before="240" w:after="0"/>
        <w:jc w:val="left"/>
        <w:rPr>
          <w:rFonts w:ascii="Times New Roman" w:hAnsi="Times New Roman"/>
          <w:sz w:val="20"/>
        </w:rPr>
      </w:pPr>
      <w:r>
        <w:rPr>
          <w:rFonts w:ascii="Times New Roman" w:hAnsi="Times New Roman"/>
          <w:sz w:val="20"/>
        </w:rPr>
        <w:t xml:space="preserve">(c) Each of Caldera and each of its Subsidiaries has withheld and paid to the appropriate Governmental Authority all material Taxes required to have been withheld and paid in connection with any amounts paid or owing to any employee, independent contractor, creditor, stockholder, or other third party.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Encumbrances for material Taxes (other Encumbrances described in clause (i) of the definition of “Permitted Encumbrances”) upon any of the assets of Caldera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No deficiencies for income Taxes or any other material amount of Taxes with respect to Caldera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a material amount of Taxes of Caldera or any of its Subsidiaries. Neither Caldera nor any of its Subsidiaries has waived any statute of limitations in respect of any income Taxes or other material Taxes or agreed to any extension of time with respect to any income Tax or other material Tax assessment or deficiency, which waiver or extension is still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Neither Caldera nor any of its Subsidiaries is a party to any material Tax allocation, Tax sharing or similar agreement (including indemnity arrangements), other than commercial agreements entered into in the Ordinary Course of Business the principal subject matter of which is not the allocation of Taxes (an “</w:t>
      </w:r>
      <w:r>
        <w:rPr>
          <w:rFonts w:ascii="Times New Roman" w:hAnsi="Times New Roman"/>
          <w:b/>
          <w:sz w:val="20"/>
        </w:rPr>
        <w:t>Ordinary Course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Neither Caldera nor any of its Subsidiaries has been a member of an affiliated group filing a consolidated U.S. federal income Tax Return (other than a group the common parent of which is Caldera). Neither Caldera nor any of its Subsidiaries has any material Liability for the Taxes of any Person (other than Caldera) under Treasury Regulations Section 1.1502-6 (or any similar provision of state, local, or foreign law), as a transferee or successor, or by Contract (other than an Ordinary Course Agreement). </w:t>
      </w:r>
    </w:p>
    <w:p>
      <w:pPr>
        <w:pStyle w:val="TextBody"/>
        <w:bidi w:val="0"/>
        <w:spacing w:before="240" w:after="0"/>
        <w:jc w:val="left"/>
        <w:rPr>
          <w:rFonts w:ascii="Times New Roman" w:hAnsi="Times New Roman"/>
          <w:sz w:val="20"/>
        </w:rPr>
      </w:pPr>
      <w:r>
        <w:rPr>
          <w:rFonts w:ascii="Times New Roman" w:hAnsi="Times New Roman"/>
          <w:sz w:val="20"/>
        </w:rPr>
        <w:t xml:space="preserve">(h) Within the past two (2) years, neither Caldera nor any of its Subsidiaries has distributed stock of another Person, or has had its stock distributed by another Person, in a transaction that was purported or intended to be governed in whole or in part by Section 355 of the Code or Section 361 of the Code. </w:t>
      </w:r>
    </w:p>
    <w:p>
      <w:pPr>
        <w:pStyle w:val="TextBody"/>
        <w:bidi w:val="0"/>
        <w:spacing w:before="240" w:after="0"/>
        <w:jc w:val="left"/>
        <w:rPr>
          <w:rFonts w:ascii="Times New Roman" w:hAnsi="Times New Roman"/>
          <w:sz w:val="20"/>
        </w:rPr>
      </w:pPr>
      <w:r>
        <w:rPr>
          <w:rFonts w:ascii="Times New Roman" w:hAnsi="Times New Roman"/>
          <w:sz w:val="20"/>
        </w:rPr>
        <w:t xml:space="preserve">(i) Neither Caldera nor any of its Subsidiaries has entered into any transaction identified as a “listed transaction” for purposes of Treasury Regulations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(j) Neither Caldera nor any of its Subsidiaries will be required to include any material item of income or gain in, or exclude any material item of deduction or loss from, taxable income for any taxable period (or portion thereof) beginning after the Closing Date as a result of any: (i) change in, or use of improper, method of accounting for a taxable period ending at or prior to the Closing; (ii) “closing agreement” as described in Section 7121 of the Code (or any corresponding or similar provision of state, local or foreign income Tax law) executed at or prior to the Closing; (iii) installment sale or open transaction disposition made at or prior to the Closing; (iv) prepaid amount, advance payments or deferred revenue received or accrued at or prior to the Closing; or (v) intercompany transaction or excess loss amount described in Treasury Regulations under Section 1502 of the Code (or any corresponding or similar provision of state, local or foreign income Tax Law).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Section 3.16(k)</w:t>
      </w:r>
      <w:r>
        <w:rPr>
          <w:rFonts w:ascii="Times New Roman" w:hAnsi="Times New Roman"/>
          <w:sz w:val="20"/>
        </w:rPr>
        <w:t xml:space="preserve"> of the Caldera Disclosure Schedule sets forth the entity classification of Caldera and each of its Subsidiaries for U.S. federal income tax purposes. Neither Caldera nor any of its Subsidiaries has made an election or taken any other action to change its federal and state income tax classification from such classification. </w:t>
      </w:r>
    </w:p>
    <w:p>
      <w:pPr>
        <w:pStyle w:val="TextBody"/>
        <w:bidi w:val="0"/>
        <w:spacing w:before="240" w:after="0"/>
        <w:jc w:val="left"/>
        <w:rPr>
          <w:rFonts w:ascii="Times New Roman" w:hAnsi="Times New Roman"/>
          <w:sz w:val="20"/>
        </w:rPr>
      </w:pPr>
      <w:r>
        <w:rPr>
          <w:rFonts w:ascii="Times New Roman" w:hAnsi="Times New Roman"/>
          <w:sz w:val="20"/>
        </w:rPr>
        <w:t xml:space="preserve">(l) Neither Caldera nor any of its Subsidiaries has taken or knowingly failed to take any action, nor to the Knowledge of Caldera, are there any facts or circumstances, in each case, that would reasonably be expected to prevent or impede the Mergers from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(m) For purposes of this Section 3.16, each reference to Caldera or any of its Subsidiaries shall be deemed to include any Person that was liquidated into, merged with, or is otherwise a predecessor to, Caldera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Employee and Labor Matters;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3.17(a)</w:t>
      </w:r>
      <w:r>
        <w:rPr>
          <w:rFonts w:ascii="Times New Roman" w:hAnsi="Times New Roman"/>
          <w:sz w:val="20"/>
        </w:rPr>
        <w:t xml:space="preserve"> of the Caldera Disclosure Schedule contains a complete and accurate list of all Caldera employees as of the date of this Agreement, setting forth for each employee: job title; classification as exempt or non-exempt for wage and hour purposes; annual base salary, hourly rate or other rates of compensation; target bonus opportunity; full-time or part-time status; date of hire; business location. </w:t>
      </w:r>
    </w:p>
    <w:p>
      <w:pPr>
        <w:pStyle w:val="TextBody"/>
        <w:bidi w:val="0"/>
        <w:spacing w:before="240" w:after="0"/>
        <w:jc w:val="left"/>
        <w:rPr>
          <w:rFonts w:ascii="Times New Roman" w:hAnsi="Times New Roman"/>
          <w:sz w:val="20"/>
        </w:rPr>
      </w:pPr>
      <w:r>
        <w:rPr>
          <w:rFonts w:ascii="Times New Roman" w:hAnsi="Times New Roman"/>
          <w:sz w:val="20"/>
        </w:rPr>
        <w:t xml:space="preserve">(b) Neither Caldera nor any of its Subsidiaries is a party to, bound by the terms of, or has a duty to bargain under, any collective bargaining agreement or other Contract with a labor union, works council or labor organization representing any Caldera Associate, and there are no labor unions, works council or labor organizations representing or, to the Knowledge of Caldera, purporting to represent or seeking to represent any Caldera Associates, including through the filing of a petition for representation election.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3.17(c)</w:t>
      </w:r>
      <w:r>
        <w:rPr>
          <w:rFonts w:ascii="Times New Roman" w:hAnsi="Times New Roman"/>
          <w:sz w:val="20"/>
        </w:rPr>
        <w:t xml:space="preserve"> of the Caldera Disclosure Schedule lists all material Caldera Employee Plans. </w:t>
      </w:r>
    </w:p>
    <w:p>
      <w:pPr>
        <w:pStyle w:val="TextBody"/>
        <w:bidi w:val="0"/>
        <w:spacing w:before="240" w:after="0"/>
        <w:jc w:val="left"/>
        <w:rPr>
          <w:rFonts w:ascii="Times New Roman" w:hAnsi="Times New Roman"/>
          <w:sz w:val="20"/>
        </w:rPr>
      </w:pPr>
      <w:r>
        <w:rPr>
          <w:rFonts w:ascii="Times New Roman" w:hAnsi="Times New Roman"/>
          <w:sz w:val="20"/>
        </w:rPr>
        <w:t xml:space="preserve">(d) Each Caldera Employee Plan that is intended to be qualified under Section 401(a) of the Code has received a favorable determination letter or may rely on a favorable opinion letter with respect to such qualified status from the IRS to the effect that such plan is qualified under Section 401(a) of the Code. To the Knowledge of Caldera, nothing has occurred that would reasonably be expected to cause the loss of the qualified status of any such Caldera Employee Plan or the Tax exempt status of any related trust.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reasonably be expected to have, individually or in the aggregate, a Caldera Material Adverse Effect, each Caldera Employee Plan has been established, maintained and operated in compliance with its terms and all applicable Laws, including, without limitation, the Code and ERISA. No Legal Proceeding (other than those relating to routine claims for benefits) is pending or, to the Knowledge of Caldera, threatened with respect to any Caldera Employee Plan. All material payments and/or contributions required to have been made with respect to all Caldera Employee Plans have been made or accrued on the financial statements of Caldera in accordance with the terms of the applicable Caldera Employee Plan and applicable Law and neither Caldera nor any Caldera ERISA Affiliate has any material Liability for any such unpaid contributions with respect to any Caldera Employee Plan. </w:t>
      </w:r>
    </w:p>
    <w:p>
      <w:pPr>
        <w:pStyle w:val="TextBody"/>
        <w:bidi w:val="0"/>
        <w:spacing w:before="240" w:after="0"/>
        <w:jc w:val="left"/>
        <w:rPr>
          <w:rFonts w:ascii="Times New Roman" w:hAnsi="Times New Roman"/>
          <w:sz w:val="20"/>
        </w:rPr>
      </w:pPr>
      <w:r>
        <w:rPr>
          <w:rFonts w:ascii="Times New Roman" w:hAnsi="Times New Roman"/>
          <w:sz w:val="20"/>
        </w:rPr>
        <w:t xml:space="preserve">(f) Neither Caldera, any of its Subsidiaries nor any of their ERISA Affiliates maintains, contributes to or is required to contribute to, or has any Liability with respect to, or has in the past six (6) years, maintained, contributed to, has been required to contribute to, or has had any Liability with respect to (i) any “employee benefit plan” (within the meaning of Section 3(2) of ERISA) that is or was subject to Title IV or Section 302 of ERISA or Section 412 of the Code, (ii) a Multiemployer Plan, (iii) any Multiple Employer Plan, or (iv) any Multiple Employer Welfare Arrangement. </w:t>
      </w:r>
    </w:p>
    <w:p>
      <w:pPr>
        <w:pStyle w:val="TextBody"/>
        <w:bidi w:val="0"/>
        <w:spacing w:before="240" w:after="0"/>
        <w:jc w:val="left"/>
        <w:rPr>
          <w:rFonts w:ascii="Times New Roman" w:hAnsi="Times New Roman"/>
          <w:sz w:val="20"/>
        </w:rPr>
      </w:pPr>
      <w:r>
        <w:rPr>
          <w:rFonts w:ascii="Times New Roman" w:hAnsi="Times New Roman"/>
          <w:sz w:val="20"/>
        </w:rPr>
        <w:t xml:space="preserve">(g) No Caldera Employee Plan provides for medical or other welfare benefits to any service provider beyond termination of service or retirement, other than (i) pursuant to COBRA or an analogous state Law requirement (the full cost of which is borne by such Person or such Person’s dependents or beneficiaries) or (ii) continuation coverage through the end of the month in which such termination or retirement occurs. </w:t>
      </w:r>
    </w:p>
    <w:p>
      <w:pPr>
        <w:pStyle w:val="TextBody"/>
        <w:bidi w:val="0"/>
        <w:spacing w:before="240" w:after="0"/>
        <w:jc w:val="left"/>
        <w:rPr>
          <w:rFonts w:ascii="Times New Roman" w:hAnsi="Times New Roman"/>
          <w:sz w:val="20"/>
        </w:rPr>
      </w:pPr>
      <w:r>
        <w:rPr>
          <w:rFonts w:ascii="Times New Roman" w:hAnsi="Times New Roman"/>
          <w:sz w:val="20"/>
        </w:rPr>
        <w:t xml:space="preserve">(h) No Caldera Employee Plan is subject to any law of a foreign jurisdiction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Each Caldera Employee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and no compensation has been or would reasonably be expected to be includable in the gross income of any Caldera Associate as a result of the operation of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(j) Caldera and its Subsidiaries are, and have been, in compliance in all material respects with all applicable Laws respecting labor, employment and employment practices, including terms and conditions of employment, worker classification, tax withholding, unemployment compensation, workers’ compensation, prohibited discrimination, harassment, equal employment, fair employment practices, meal and rest periods, work authorization and immigration status, employee safety and health, wages (including overtime wages), pay equity, affirmative action, restrictive covenants, compensation, and hours of work. Except as would not reasonably be expected to have, individually or in the aggregate, a Caldera Material Adverse Effect, there are no, and there have been no, Legal Proceedings pending or, to the Knowledge of Caldera, threatened against Caldera or any of its Subsidiaries relating to any labor or employment matters or any Caldera Associate. Caldera is not a party to a conciliation agreement, consent decree or other agreement or Order with any federal, state, or local agency or Governmental Authority with respect to employment practices. </w:t>
      </w:r>
    </w:p>
    <w:p>
      <w:pPr>
        <w:pStyle w:val="TextBody"/>
        <w:bidi w:val="0"/>
        <w:spacing w:before="240" w:after="0"/>
        <w:jc w:val="left"/>
        <w:rPr>
          <w:rFonts w:ascii="Times New Roman" w:hAnsi="Times New Roman"/>
          <w:sz w:val="20"/>
        </w:rPr>
      </w:pPr>
      <w:r>
        <w:rPr>
          <w:rFonts w:ascii="Times New Roman" w:hAnsi="Times New Roman"/>
          <w:sz w:val="20"/>
        </w:rPr>
        <w:t xml:space="preserve">(k) (i) Caldera has not taken any action which would constitute a “plant closing”, “collective dismissal”, “group dismissal”, “group termination”, “mass termination”, or “mass layoff” within the meaning of the WARN Act, (ii) issued any written notification of a plant closing or mass layoff required by the WARN Act (nor has Caldera or any of its Subsidiaries been under any requirement or obligation to issue any such notification), or (iii) incurred any Liability or obligation under the WARN Act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(l) There has not been, nor to the Knowledge of Caldera has there been any threat of, any strike, slowdown, work stoppage, lockout, job action, union, organizing activity, question concerning representation or any similar activity or dispute, affecting Caldera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(m) There is no contract, agreement, plan or arrangement to which Caldera or any of its Subsidiaries is a party or by which it is bound to make any payment or compensate any Caldera Associate for Taxes incurred pursuant to the Code, including, but not limited to,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(n) None of the execution and delivery of this Agreement, the shareholder approval of this Agreement, or the consummation of the Contemplated Transactions (either alone or in conjunction with any other event, including without limitation, a termination of employment) will result in any (i) payment or benefit (including severance, forgiveness of indebtedness or otherwise) becoming due to Caldera Associate, (ii) increase in any benefits or the compensation payable under any Caldera Employee Plan, (iii) acceleration of the time of payment, funding or vesting of any such compensation or benefits or any loan forgiveness, (iv) restriction on the right of Caldera or any of its Subsidiaries or, after the consummation of Contemplated Transactions, the Caldera Merger Surviving Corporation, to merge, amend, terminate or transfer any Caldera Employee Plan, or (v) “parachute payment” (within the meaning of Section 280G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Environmental Matters</w:t>
      </w:r>
      <w:r>
        <w:rPr>
          <w:rFonts w:ascii="Times New Roman" w:hAnsi="Times New Roman"/>
          <w:sz w:val="20"/>
        </w:rPr>
        <w:t xml:space="preserve">. Caldera and each of its Subsidiaries has complied with all applicable Environmental Laws, which compliance includes the possession by Caldera of all permits and other Governmental Authorizations required under applicable Environmental Laws and compliance with the terms and conditions thereof, except for any failure to be in compliance that, individually or in the aggregate, would not result in a Caldera Material Adverse Effect. Neither Caldera nor any of its Subsidiaries has received any written notice or other communication (in writing or otherwise), whether from a Governmental Authority, citizens group, employee or otherwise, that alleges that Caldera or any of its Subsidiaries is not in compliance with any Environmental Law, and, to the Knowledge of Caldera, there are no circumstances that may prevent or interfere with Caldera’s or any of its Subsidiaries’ compliance with any Environmental Law in the future, except where such failure to comply would not reasonably be expected to have a Caldera Material Adverse Effect. To the Knowledge of Caldera: (a) no current or prior owner of any property leased or controlled by Caldera or any of its Subsidiaries has received any written notice or other communication relating to property owned or leased at any time by Caldera or any of its Subsidiaries, whether from a Governmental Authority, citizens group, employee or otherwise, that alleges that such current or prior owner or Caldera or any of its Subsidiaries is not in compliance with or violated any Environmental Law relating to such property and (b) neither Caldera nor any of its Subsidiaries has any material Liability under any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Insurance</w:t>
      </w:r>
      <w:r>
        <w:rPr>
          <w:rFonts w:ascii="Times New Roman" w:hAnsi="Times New Roman"/>
          <w:sz w:val="20"/>
        </w:rPr>
        <w:t xml:space="preserve">. Caldera has made available to Synlogic accurate and complete copies of all material insurance policies and all material self-insurance programs and arrangements relating to the business, assets, liabilities and operations of Caldera and its Subsidiaries. Each of such insurance policies is in full force and effect and Caldera and its Subsidiaries are in compliance in all material respects with the terms thereof. Other than customary end of policy notifications from insurance carriers neither Caldera nor any of its Subsidiaries has received any notice or other communication regarding any actual or possible: (a) cancellation or invalidation of any insurance policy or (b) refusal or denial of any coverage, reservation of rights or rejection of any material claim under any insurance policy. Each of Caldera and its Subsidiaries has provided timely written notice to the appropriate insurance carrier(s) of each Legal Proceeding pending against Caldera or such Subsidiary for which Caldera or such Subsidiary has insurance coverage, and no such carrier has issued a denial of coverage or a reservation of rights with respect to any such Legal Proceeding, or informed Caldera of its intent to do so. </w:t>
      </w:r>
    </w:p>
    <w:p>
      <w:pPr>
        <w:pStyle w:val="TextBody"/>
        <w:bidi w:val="0"/>
        <w:spacing w:before="24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Transactions with Affiliates</w:t>
      </w:r>
      <w:r>
        <w:rPr>
          <w:rFonts w:ascii="Times New Roman" w:hAnsi="Times New Roman"/>
          <w:sz w:val="20"/>
        </w:rPr>
        <w:t xml:space="preserve">. </w:t>
      </w:r>
      <w:r>
        <w:rPr>
          <w:rFonts w:ascii="Times New Roman" w:hAnsi="Times New Roman"/>
          <w:sz w:val="20"/>
          <w:u w:val="single"/>
        </w:rPr>
        <w:t>Section 3.20</w:t>
      </w:r>
      <w:r>
        <w:rPr>
          <w:rFonts w:ascii="Times New Roman" w:hAnsi="Times New Roman"/>
          <w:sz w:val="20"/>
        </w:rPr>
        <w:t xml:space="preserve"> of the Caldera Disclosure Schedule describes any material transactions or relationships between, on one hand, Caldera and, on the other hand, any (a) executive officer or director of Caldera or any of such executive officer’s or director’s immediate family members, (b) owner of more than five percent of the voting power of the outstanding shares of Caldera Common Stock or (c) to the Knowledge of Caldera, any “related person” (within the meaning of Item 404 of Regulation S-K under the Securities Act) of any such officer, director or owner (other than Caldera) in the case of each of (a), (b) or (c) that is of the type that would be required to be disclosed under Item 404 of Regulation S-K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No Financial Advisors</w:t>
      </w:r>
      <w:r>
        <w:rPr>
          <w:rFonts w:ascii="Times New Roman" w:hAnsi="Times New Roman"/>
          <w:sz w:val="20"/>
        </w:rPr>
        <w:t xml:space="preserve">. Except as set forth on </w:t>
      </w:r>
      <w:r>
        <w:rPr>
          <w:rFonts w:ascii="Times New Roman" w:hAnsi="Times New Roman"/>
          <w:sz w:val="20"/>
          <w:u w:val="single"/>
        </w:rPr>
        <w:t>Section 3.21</w:t>
      </w:r>
      <w:r>
        <w:rPr>
          <w:rFonts w:ascii="Times New Roman" w:hAnsi="Times New Roman"/>
          <w:sz w:val="20"/>
        </w:rPr>
        <w:t xml:space="preserve"> of the Caldera Disclosure Schedule, no broker, finder or investment banker is entitled to any brokerage fee, finder’s fee, opinion fee, success fee, transaction fee or other fee or commission in connection with the Contemplated Transactions based upon arrangements made by or on behalf of Caldera.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Privacy and Data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Caldera and its Subsidiaries have complied with all applicable Privacy Laws and the applicable terms of any Caldera Contracts relating to privacy, data security, collection or use of Personal Information of any individuals that interact with Caldera or any of its Subsidiaries in connection with the operation of Caldera’s and its Subsidiaries’ business, except for such noncompliance that has not had, and would not reasonably be expected to have, individually or in the aggregate, a Caldera Material Adverse Effect. To the Knowledge of Caldera, Caldera has implemented and maintains commercially reasonable written policies and procedures (the “</w:t>
      </w:r>
      <w:r>
        <w:rPr>
          <w:rFonts w:ascii="Times New Roman" w:hAnsi="Times New Roman"/>
          <w:b/>
          <w:sz w:val="20"/>
        </w:rPr>
        <w:t>Caldera</w:t>
      </w:r>
      <w:r>
        <w:rPr>
          <w:rFonts w:ascii="Times New Roman" w:hAnsi="Times New Roman"/>
          <w:sz w:val="20"/>
        </w:rPr>
        <w:t xml:space="preserve"> </w:t>
      </w:r>
      <w:r>
        <w:rPr>
          <w:rFonts w:ascii="Times New Roman" w:hAnsi="Times New Roman"/>
          <w:b/>
          <w:sz w:val="20"/>
        </w:rPr>
        <w:t>Privacy Policies</w:t>
      </w:r>
      <w:r>
        <w:rPr>
          <w:rFonts w:ascii="Times New Roman" w:hAnsi="Times New Roman"/>
          <w:sz w:val="20"/>
        </w:rPr>
        <w:t xml:space="preserve">”), satisfying the requirements of applicable Privacy Laws and Caldera Contracts concerning the privacy, data security, collection and use of Personal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and has complied with the same, except for such noncompliance that has not to the Knowledge of Caldera had, and would not reasonably be expected to have, individually or in the aggregate, a Caldera Material Adverse Effect. To the Knowledge of Caldera, as of the date hereof, no claims have been asserted or threatened against Caldera by any Person alleging a violation of Privacy Laws, Caldera Privacy Policies and/or the applicable terms of any Caldera Contracts relating to privacy, data security, collection or use of Personal Information of any individuals and Caldera has not received written notice of any of the same. To the Knowledge of Caldera, there have been no data security incidents, personal data breaches or incidents related to Personal Information or Caldera data in the custody or control of Caldera or any service provider acting on behalf of Caldera, in each case where such incident, breach or event would result in a notification obligation to any Person under applicable law or pursuant to the terms of any Caldera Contract. </w:t>
      </w:r>
    </w:p>
    <w:p>
      <w:pPr>
        <w:pStyle w:val="TextBody"/>
        <w:bidi w:val="0"/>
        <w:spacing w:before="240" w:after="0"/>
        <w:jc w:val="left"/>
        <w:rPr>
          <w:rFonts w:ascii="Times New Roman" w:hAnsi="Times New Roman"/>
          <w:sz w:val="20"/>
        </w:rPr>
      </w:pPr>
      <w:r>
        <w:rPr>
          <w:rFonts w:ascii="Times New Roman" w:hAnsi="Times New Roman"/>
          <w:sz w:val="20"/>
        </w:rPr>
        <w:t>(b) The information technology assets and equipment of Caldera and its Subsidiaries (collectively, “</w:t>
      </w:r>
      <w:r>
        <w:rPr>
          <w:rFonts w:ascii="Times New Roman" w:hAnsi="Times New Roman"/>
          <w:b/>
          <w:sz w:val="20"/>
        </w:rPr>
        <w:t>Caldera IT Systems</w:t>
      </w:r>
      <w:r>
        <w:rPr>
          <w:rFonts w:ascii="Times New Roman" w:hAnsi="Times New Roman"/>
          <w:sz w:val="20"/>
        </w:rPr>
        <w:t xml:space="preserve">”) are adequate for, and operate and perform in all material respects as required in connection with the operation of the business of Caldera and its Subsidiaries as currently conducted, and to the Knowledge of Caldera, free and clear of all material bugs, errors, defects, Trojan horses, time bombs, malware and other corruptants. Caldera and its Subsidiaries have implemented and maintain commercially reasonable physical, technical and administrative safeguards designed to protect Personal Information processed by or on behalf of Caldera and its Subsidiaries, any other material confidential information and the security of Caldera IT Systems used in connection with their businesses, and during the past three years, there have been no breaches, violations, or unauthorized uses of or accesses to same, except for those that have been remedied without material cost or Liability or the duty to notify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Concurrent 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Caldera has delivered to Synlogic true, correct and complete copies of all definitive agreements related to the Concurrent Financing (other than any securities purchase agreements entered into by Caldera after the date of this Agreement that provide for the sale of Caldera Common Stock immediately prior to the Caldera Effective Time at a per share price that is not less than the per share price provided in the Securities Purchase Agreement), including the Securities Purchase Agreement, pursuant to which the Purchasers (as defined in the Securities Purchase Agreement and on terms and conditions substantially similar to the terms and conditions of the Securities Purchase Agreement) party thereto (collectively, the “</w:t>
      </w:r>
      <w:r>
        <w:rPr>
          <w:rFonts w:ascii="Times New Roman" w:hAnsi="Times New Roman"/>
          <w:b/>
          <w:sz w:val="20"/>
        </w:rPr>
        <w:t>Purchasers</w:t>
      </w:r>
      <w:r>
        <w:rPr>
          <w:rFonts w:ascii="Times New Roman" w:hAnsi="Times New Roman"/>
          <w:sz w:val="20"/>
        </w:rPr>
        <w:t xml:space="preserve">”) have agreed, subject to the terms and conditions set forth therein, to purchase the number of shares of Caldera Common Stock set forth therein in connection with the transactions contemplated by this Agreement. The Securities Purchase Agreement has not been amended or modified prior to the date of this Agreement and as of the date hereof, no such amendment or modification is contemplated (other than amendments or modifications that are permitted by Section 8.16 of the Securities Purchase Agreement), and as of the date hereof, the respective obligations and commitments contained in the Securities Purchase Agreement have not been withdrawn or rescinded in any respect.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hereof, the Securities Purchase Agreement is in full force and effect and is the legal, valid, binding and enforceable obligation of Caldera, and, to the Knowledge of Caldera, each of the Purchasers. There are no conditions precedent or other contingencies related to the funding of the full amount of the Concurrent Financing, other than as expressly set forth in the Securities Purchase Agreement. There are no other agreements, side letters, or arrangements between Caldera and any Purchaser relating to the Securities Purchase Agreement that could affect the obligation of such Purchaser to the funding of the applicable portion of the Concurrent Financing set forth in the Securities Purchase Agreement. As of the date hereof, no event has occurred which, with or without notice, lapse of time or both, would reasonably be expected to constitute a default or breach on the part of Caldera or, to the Knowledge of Caldera, any Purchaser under the Securities Purchase Agreement. As of the date hereof, Caldera has no reason to believe that any of the conditions to the Concurrent Financing as contemplated by the Securities Purchase Agreement will not be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No Other Representations or Warranties</w:t>
      </w:r>
      <w:r>
        <w:rPr>
          <w:rFonts w:ascii="Times New Roman" w:hAnsi="Times New Roman"/>
          <w:sz w:val="20"/>
        </w:rPr>
        <w:t xml:space="preserve">. Caldera hereby acknowledges and agrees that, except for the representations and warranties contained in this Agreement, neither Synlogic nor any other person on behalf of Synlogic makes any express or implied representation or warranty with respect to Synlogic or with respect to any other information provided to Caldera, any of its stockholders or any of their respective Affiliates in connection with the Contemplated Transactions, and (subject to the express representations and warranties of Synlogic set forth in </w:t>
      </w:r>
      <w:r>
        <w:rPr>
          <w:rFonts w:ascii="Times New Roman" w:hAnsi="Times New Roman"/>
          <w:sz w:val="20"/>
          <w:u w:val="single"/>
        </w:rPr>
        <w:t>Article IV</w:t>
      </w:r>
      <w:r>
        <w:rPr>
          <w:rFonts w:ascii="Times New Roman" w:hAnsi="Times New Roman"/>
          <w:sz w:val="20"/>
        </w:rPr>
        <w:t xml:space="preserve"> (in each case as qualified and limited by the Synlogic Disclosure Schedule)) none of Caldera, or any of its Representatives or stockholders, has relied on any such information (including the accuracy or completeness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SYNLOGIC </w:t>
      </w:r>
    </w:p>
    <w:p>
      <w:pPr>
        <w:pStyle w:val="TextBody"/>
        <w:bidi w:val="0"/>
        <w:spacing w:before="240" w:after="0"/>
        <w:jc w:val="left"/>
        <w:rPr>
          <w:rFonts w:ascii="Times New Roman" w:hAnsi="Times New Roman"/>
          <w:sz w:val="20"/>
        </w:rPr>
      </w:pPr>
      <w:r>
        <w:rPr>
          <w:rFonts w:ascii="Times New Roman" w:hAnsi="Times New Roman"/>
          <w:sz w:val="20"/>
        </w:rPr>
        <w:t>Except (i) as set forth in the written disclosure schedule delivered by Synlogic to Caldera (the “</w:t>
      </w:r>
      <w:r>
        <w:rPr>
          <w:rFonts w:ascii="Times New Roman" w:hAnsi="Times New Roman"/>
          <w:b/>
          <w:sz w:val="20"/>
        </w:rPr>
        <w:t>Synlogic Disclosure Schedule</w:t>
      </w:r>
      <w:r>
        <w:rPr>
          <w:rFonts w:ascii="Times New Roman" w:hAnsi="Times New Roman"/>
          <w:sz w:val="20"/>
        </w:rPr>
        <w:t xml:space="preserve">”) or (ii) as disclosed in the Synlogic SEC Documents filed with the SEC on or before the day that is one (1) Business Day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Synlogic SEC Documents shall not be deemed disclosed for purposes of </w:t>
      </w:r>
      <w:r>
        <w:rPr>
          <w:rFonts w:ascii="Times New Roman" w:hAnsi="Times New Roman"/>
          <w:sz w:val="20"/>
          <w:u w:val="single"/>
        </w:rPr>
        <w:t>Sections 4.1(a)</w:t>
      </w:r>
      <w:r>
        <w:rPr>
          <w:rFonts w:ascii="Times New Roman" w:hAnsi="Times New Roman"/>
          <w:sz w:val="20"/>
        </w:rPr>
        <w:t xml:space="preserve">, </w:t>
      </w:r>
      <w:r>
        <w:rPr>
          <w:rFonts w:ascii="Times New Roman" w:hAnsi="Times New Roman"/>
          <w:sz w:val="20"/>
          <w:u w:val="single"/>
        </w:rPr>
        <w:t>4.1(b)</w:t>
      </w:r>
      <w:r>
        <w:rPr>
          <w:rFonts w:ascii="Times New Roman" w:hAnsi="Times New Roman"/>
          <w:sz w:val="20"/>
        </w:rPr>
        <w:t xml:space="preserve"> or </w:t>
      </w:r>
      <w:r>
        <w:rPr>
          <w:rFonts w:ascii="Times New Roman" w:hAnsi="Times New Roman"/>
          <w:sz w:val="20"/>
          <w:u w:val="single"/>
        </w:rPr>
        <w:t>4.3</w:t>
      </w:r>
      <w:r>
        <w:rPr>
          <w:rFonts w:ascii="Times New Roman" w:hAnsi="Times New Roman"/>
          <w:sz w:val="20"/>
        </w:rPr>
        <w:t xml:space="preserve">, Synlogic represents and warrants to Caldera as follows: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Due Organization;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Synlogic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All of Synlogic’s Subsidiaries are directly or indirectly wholly owned by Synlogic. </w:t>
      </w:r>
    </w:p>
    <w:p>
      <w:pPr>
        <w:pStyle w:val="TextBody"/>
        <w:bidi w:val="0"/>
        <w:spacing w:before="240" w:after="0"/>
        <w:jc w:val="left"/>
        <w:rPr>
          <w:rFonts w:ascii="Times New Roman" w:hAnsi="Times New Roman"/>
          <w:sz w:val="20"/>
        </w:rPr>
      </w:pPr>
      <w:r>
        <w:rPr>
          <w:rFonts w:ascii="Times New Roman" w:hAnsi="Times New Roman"/>
          <w:sz w:val="20"/>
        </w:rPr>
        <w:t xml:space="preserve">(b) Each of Synlogic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Synlogic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Section 4.1(c)</w:t>
      </w:r>
      <w:r>
        <w:rPr>
          <w:rFonts w:ascii="Times New Roman" w:hAnsi="Times New Roman"/>
          <w:sz w:val="20"/>
        </w:rPr>
        <w:t xml:space="preserve"> of the Synlogic Disclosure Schedule, Synlogic has no Subsidiaries and Synlogic does not directly or indirectly own any capital stock of, or any equity ownership or profit sharing interest of any nature in, or control directly or indirectly, any other Entity. Synlogic is not and has not otherwise been, directly or indirectly, a party to, member of or participant in any partnership, joint venture or similar business entity. Synlogic has not agreed and is not obligated to make, nor is Synlogic bound by any Contract under which it may become obligated to make, any future investment in or capital contribution to any other Entity. Synlogic has not, at any time, been a general partner of, and has not otherwise been liable for any of the debts or other obligations of, any general partnership, limited partnership or 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Organizational Documents</w:t>
      </w:r>
      <w:r>
        <w:rPr>
          <w:rFonts w:ascii="Times New Roman" w:hAnsi="Times New Roman"/>
          <w:sz w:val="20"/>
        </w:rPr>
        <w:t xml:space="preserve">. Synlogic has delivered to Caldera accurate and complete copies of the Organizational Documents of Synlogic and its Subsidiaries. Neither Synlogic nor any of its Subsidiaries is in breach or violation of its Organizational Documents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Authority; Binding Nature of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Synlogic and its Subsidiaries has all necessary corporate power and authority to enter into and to perform its obligations under this Agreement and to consummate the Contemplated Transactions. The Synlogic Board (at meetings duly called and held or by written consent in lieu thereof in accordance with the Organizational Documents of Synlogic) has: (i) determined that the Contemplated Transactions are fair to, advisable and in the best interests of Synlogic and its stockholders, (ii) approved and declared advisable this Agreement and the Contemplated Transactions, and (iii) determined to recommend, upon the terms and subject to the conditions set forth in this Agreement, that the stockholders of Synlogic vote to approve the Synlogic Merger. This Agreement has been duly executed and delivered by Synlogic, and assuming the due authorization, execution and delivery by Caldera, constitutes the legal, valid and binding obligation of Synlogic, enforceable against Synlogic,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(b) The Parent Board has (i) determined that the Contemplated Transactions are fair to, advisable and in the best interests of Parent and its stockholders, (ii) approved and declared advisable this Agreement and the Contemplated Transactions, including the Stock Issuance, and (iii) determined to recommend, upon the terms and subject to the conditions set forth in this Agreement, that the sole stockholder of Parent vote to (a) approve the Stock Issuance and (b) adopt this Agreement and thereby approve the Contemplated Transactions. This Agreement has been duly executed and delivered by Parent, and assuming the due authorization, execution and delivery by Synlogic and Caldera, constitutes the legal, valid and binding obligation of Parent, enforceable against Parent,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(c) The Caldera Merger Sub Board and the Synlogic Merger Sub Board have each (i) determined that the Contemplated Transactions are fair to, advisable and in the best interests of its sole stockholder and Caldera Merger Sub and Synlogic Merger Sub, respectively, (ii) approved and declared advisable this Agreement and the Contemplated Transactions, and (iii) determined to recommend, upon the terms and subject to the conditions set forth in this Agreement, that the sole stockholder of Caldera Merger Sub and Synlogic Merger Sub, respectively, adopt this Agreement and thereby approve the Contemplated Transactions. This Agreement has been duly executed and delivered by Caldera Merger Sub and Synlogic Merger Sub, and assuming the due authorization, execution and delivery by Parent, Synlogic and Caldera, constitutes the legal, valid and binding obligation of Caldera Merger Sub and Synlogic Merger Sub, respectively, enforceable against Parent,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Vote Required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affirmative vote of the holders of a majority of the shares of Synlogic Common Stock outstanding on the record date for the Synlogic Stockholder Meeting and entitled to vote thereon, voting as a single class, is the only vote of the holders of any class or series of Synlogic capital stock necessary to adopt and approve this Agreement and approve the Contemplated Transactions (the “</w:t>
      </w:r>
      <w:r>
        <w:rPr>
          <w:rFonts w:ascii="Times New Roman" w:hAnsi="Times New Roman"/>
          <w:b/>
          <w:sz w:val="20"/>
        </w:rPr>
        <w:t>Required Synlogic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vote or Consent of Parent as the sole stockholder of Caldera Merger Sub and Synlogic Merger Sub is the only vote or consent of the holders of any class or series of capital stock of Caldera Merger Sub and Synlogic Merger Sub necessary to approve the Mergers and adopt this Agreement, which Consent shall be given immediately following the execution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Non-Contravention;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obtaining the Required Synlogic Stockholder Approval and the filing of the Synlogic Certificate of Merger required by Delaware Law, neither (x) the execution, delivery or performance of this Agreement by Synlogic,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(i) contravene, conflict with or result in a violation of any of the provisions of the Organizational Documents of Synlogic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(ii) contravene, conflict with or result in a material violation of, or give any Governmental Authority or other Person the right to challenge the Contemplated Transactions or to exercise any remedy or obtain any relief under, any Law or any Order to which Synlogic or its Subsidiaries, or any of the assets owned or used by Synlogic or its Subsidiaries, is subject; </w:t>
      </w:r>
    </w:p>
    <w:p>
      <w:pPr>
        <w:pStyle w:val="TextBody"/>
        <w:bidi w:val="0"/>
        <w:spacing w:before="240" w:after="0"/>
        <w:jc w:val="left"/>
        <w:rPr>
          <w:rFonts w:ascii="Times New Roman" w:hAnsi="Times New Roman"/>
          <w:sz w:val="20"/>
        </w:rPr>
      </w:pPr>
      <w:r>
        <w:rPr>
          <w:rFonts w:ascii="Times New Roman" w:hAnsi="Times New Roman"/>
          <w:sz w:val="20"/>
        </w:rPr>
        <w:t xml:space="preserve">(iii) contravene, conflict with or result in a material violation of any of the terms or requirements of, or give any Governmental Authority the right to revoke, withdraw, suspend, cancel, terminate or modify, any Governmental Authorization that is held by Synlogic or its Subsidiaries or that otherwise relates to the business of Synlogic, or any of the assets owned, leased or used by Synlogic; </w:t>
      </w:r>
    </w:p>
    <w:p>
      <w:pPr>
        <w:pStyle w:val="TextBody"/>
        <w:bidi w:val="0"/>
        <w:spacing w:before="240" w:after="0"/>
        <w:jc w:val="left"/>
        <w:rPr>
          <w:rFonts w:ascii="Times New Roman" w:hAnsi="Times New Roman"/>
          <w:sz w:val="20"/>
        </w:rPr>
      </w:pPr>
      <w:r>
        <w:rPr>
          <w:rFonts w:ascii="Times New Roman" w:hAnsi="Times New Roman"/>
          <w:sz w:val="20"/>
        </w:rPr>
        <w:t xml:space="preserve">(iv) contravene, conflict with or result in a violation or breach of, or result in a default under, any provision of any Synlogic Material Contract, or give any Person the right to: (A) declare a default or exercise any remedy under any Synlogic Material Contract, (B) any material payment, rebate, chargeback, penalty or change in delivery schedule under any such Synlogic Material Contract, (C) accelerate the maturity or performance of any Synlogic Material Contract or (D) cancel, terminate or modify any term of any Synlogic Material Contract, except in the case of any nonmaterial breach, default, penalty or modification; or </w:t>
      </w:r>
    </w:p>
    <w:p>
      <w:pPr>
        <w:pStyle w:val="TextBody"/>
        <w:bidi w:val="0"/>
        <w:spacing w:before="240" w:after="0"/>
        <w:jc w:val="left"/>
        <w:rPr>
          <w:rFonts w:ascii="Times New Roman" w:hAnsi="Times New Roman"/>
          <w:sz w:val="20"/>
        </w:rPr>
      </w:pPr>
      <w:r>
        <w:rPr>
          <w:rFonts w:ascii="Times New Roman" w:hAnsi="Times New Roman"/>
          <w:sz w:val="20"/>
        </w:rPr>
        <w:t xml:space="preserve">(v) result in the imposition or creation of any Encumbrance upon or with respect to any asset owned or used by Synlogic or its Subsidiaries (except for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Except for (i) any Consent set forth on </w:t>
      </w:r>
      <w:r>
        <w:rPr>
          <w:rFonts w:ascii="Times New Roman" w:hAnsi="Times New Roman"/>
          <w:sz w:val="20"/>
          <w:u w:val="single"/>
        </w:rPr>
        <w:t>Section 4.5</w:t>
      </w:r>
      <w:r>
        <w:rPr>
          <w:rFonts w:ascii="Times New Roman" w:hAnsi="Times New Roman"/>
          <w:sz w:val="20"/>
        </w:rPr>
        <w:t xml:space="preserve"> of the Synlogic Disclosure Schedule under any Synlogic Contract, (ii) the Required Synlogic Stockholder Approval, (iii) the filing of the Synlogic Certificate of Merger with the Secretary of State of the State of Delaware pursuant to Delaware Law and (iv) such Consents, waivers, approvals, orders, authorizations, registrations, declarations and filings as may be required under applicable federal and state securities laws, neither Synlogic nor any of its Subsidiaries was, is or will be required to make any filing with or give any notice to, or to obtain any Consent from, any Governmental Authority in connection with (x) the execution, delivery or performance of this Agreement or (y) the consummation of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The Synlogic Board has taken and will take all actions necessary to ensure that the restrictions applicable to business combinations contained in Section 203 of Delaware Law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of the date hereof, the authorized capital stock of Synlogic consists of (i) 250,000,000 shares of common stock, par value $0.001 per share (“</w:t>
      </w:r>
      <w:r>
        <w:rPr>
          <w:rFonts w:ascii="Times New Roman" w:hAnsi="Times New Roman"/>
          <w:b/>
          <w:sz w:val="20"/>
        </w:rPr>
        <w:t>Synlogic Common Stock</w:t>
      </w:r>
      <w:r>
        <w:rPr>
          <w:rFonts w:ascii="Times New Roman" w:hAnsi="Times New Roman"/>
          <w:sz w:val="20"/>
        </w:rPr>
        <w:t>”), of which 12,248,950 shares have been issued and are outstanding as of July 27, 2026 (the “</w:t>
      </w:r>
      <w:r>
        <w:rPr>
          <w:rFonts w:ascii="Times New Roman" w:hAnsi="Times New Roman"/>
          <w:b/>
          <w:sz w:val="20"/>
        </w:rPr>
        <w:t>Capitalization Date</w:t>
      </w:r>
      <w:r>
        <w:rPr>
          <w:rFonts w:ascii="Times New Roman" w:hAnsi="Times New Roman"/>
          <w:sz w:val="20"/>
        </w:rPr>
        <w:t xml:space="preserve">”), (ii) 5,000,000 shares of preferred stock, par value $0.001 per share, of which 61,500 shares have been designated Synlogic Series A Junior Participating Preferred Stock, of which no shares are issued and are outstanding as of the Capitalization Date. Synlogic does not hold any shares of its capital stock in its treasury other than 282,070 shares of Synlogic Common Stock.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shares of Synlogic Common Stock have been duly authorized and validly issued, and are fully paid and nonassessable and are free of any Encumbrances other than under applicable securities Laws. None of the outstanding shares of Synlogic Common Stock is entitled or subject to any preemptive right, right of participation, right of maintenance or any similar right. None of the outstanding shares of Synlogic Common Stock is subject to any right of first refusal in favor of Synlogic. Except as contemplated herein, there is no Synlogic Contract relating to the voting or registration of, or restricting any Person from purchasing, selling, pledging or otherwise disposing of (or granting any option or similar right with respect to), any shares of Synlogic Common Stock. Synlogic is not under any obligation, nor is it bound by any Contract pursuant to which it may become obligated, to repurchase, redeem or otherwise acquire any outstanding shares of Synlogic Common Stock or other securities. Section 4.6(b) of the Synlogic Disclosure Schedule sets forth a true and complete list, as of the date hereof of all repurchase rights held by Synlogic with respect to Synlogic Common Stock (including shares issued pursuant to the exercise of stock options) and specifies which of those repurchase rights are currently exercisable. </w:t>
      </w:r>
    </w:p>
    <w:p>
      <w:pPr>
        <w:pStyle w:val="TextBody"/>
        <w:bidi w:val="0"/>
        <w:spacing w:before="240" w:after="0"/>
        <w:jc w:val="left"/>
        <w:rPr>
          <w:rFonts w:ascii="Times New Roman" w:hAnsi="Times New Roman"/>
          <w:sz w:val="20"/>
        </w:rPr>
      </w:pPr>
      <w:r>
        <w:rPr>
          <w:rFonts w:ascii="Times New Roman" w:hAnsi="Times New Roman"/>
          <w:sz w:val="20"/>
        </w:rPr>
        <w:t xml:space="preserve">(c) Except for the Synlogic Equity Plans and the Synlogic Options granted thereunder and the Synlogic ESPP, Synlogic does not have any stock incentive plan or any other plan, program, agreement or arrangement providing for any equity or equity-based compensation for any Person and there were no other equity or equity-based awards outstanding as of the date of this Agreement. As of the Capitalization Date, Synlogic has reserved 2,097,260 shares of Synlogic Common Stock for issuance under the Synlogic Equity Plans, of which 235,030 shares are subject to outstanding Synlogic Options and 1,866,730 shares remain available for future grant pursuant to the Synlogic Equity Plans. </w:t>
      </w:r>
      <w:r>
        <w:rPr>
          <w:rFonts w:ascii="Times New Roman" w:hAnsi="Times New Roman"/>
          <w:sz w:val="20"/>
          <w:u w:val="single"/>
        </w:rPr>
        <w:t>Section 4.6(c)</w:t>
      </w:r>
      <w:r>
        <w:rPr>
          <w:rFonts w:ascii="Times New Roman" w:hAnsi="Times New Roman"/>
          <w:sz w:val="20"/>
        </w:rPr>
        <w:t xml:space="preserve"> of the Synlogic Disclosure Schedule sets forth a true and complete list, as of the Capitalization Date, of each outstanding Synlogic Option, including: (i) the name of the holder, (ii) the number of shares of Synlogic Common Stock subject to such Synlogic Option, (iii) the exercise price per share, as applicable, (iv) the date of grant, (v) the applicable vesting schedule, including any acceleration provisions and the number of vested and unvested shares, (vi) the expiration date, as applicable, and (vii) for Synlogic Options, whether the Synlogic Option is intended to be an “incentive stock option” (as defined in the Code) or a non-qualified stock option. Synlogic has made available to Caldera accurate and complete copies of the following: (A) the standard form of agreement evidencing Synlogic Options; and (B) each agreement evidencing a Synlogic Option that does not conform in all material respects to the standard form agreement. As of the date hereof, there are no ongoing offering periods or purchase periods under the Synlogic ESPP, and there are no outstanding rights to purchase shares under the ESPP.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4.6(d)</w:t>
      </w:r>
      <w:r>
        <w:rPr>
          <w:rFonts w:ascii="Times New Roman" w:hAnsi="Times New Roman"/>
          <w:sz w:val="20"/>
        </w:rPr>
        <w:t xml:space="preserve"> of the Synlogic Disclosure Schedule, there is no: (i) outstanding subscription, option, call, warrant or right (whether or not currently exercisable) to acquire any shares of the capital stock or other securities of Synlogic, (ii) outstanding security, instrument or obligation that is or may become convertible into or exchangeable for any shares of the capital stock or other securities of Synlogic, (iii) stockholder rights plan (or similar plan commonly referred to as a “poison pill”) or Contract under which Synlogic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Synlogic.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4.6(e)</w:t>
      </w:r>
      <w:r>
        <w:rPr>
          <w:rFonts w:ascii="Times New Roman" w:hAnsi="Times New Roman"/>
          <w:sz w:val="20"/>
        </w:rPr>
        <w:t xml:space="preserve"> of the Synlogic Disclosure Schedule lists, as of the date hereof, (i) each holder of issued Synlogic Warrants, (ii) the number and type of shares subject to each Synlogic Warrant, (iii) the exercise price of each Synlogic Warrant and (iv) the termination date of each Synlogic Warrant. Synlogic has made available to Caldera all Contracts by and between Synlogic and the holder of such Synlogic Warrant. </w:t>
      </w:r>
    </w:p>
    <w:p>
      <w:pPr>
        <w:pStyle w:val="TextBody"/>
        <w:bidi w:val="0"/>
        <w:spacing w:before="240" w:after="0"/>
        <w:jc w:val="left"/>
        <w:rPr>
          <w:rFonts w:ascii="Times New Roman" w:hAnsi="Times New Roman"/>
          <w:sz w:val="20"/>
        </w:rPr>
      </w:pPr>
      <w:r>
        <w:rPr>
          <w:rFonts w:ascii="Times New Roman" w:hAnsi="Times New Roman"/>
          <w:sz w:val="20"/>
        </w:rPr>
        <w:t xml:space="preserve">(f) All outstanding shares of Synlogic Common Stock and other securities of Synlogic have been issued and granted in material compliance with (i) all applicable securities laws and other applicable Law and (ii) all requirements set forth in applicable Contracts. </w:t>
      </w:r>
    </w:p>
    <w:p>
      <w:pPr>
        <w:pStyle w:val="TextBody"/>
        <w:bidi w:val="0"/>
        <w:spacing w:before="240" w:after="0"/>
        <w:jc w:val="left"/>
        <w:rPr>
          <w:rFonts w:ascii="Times New Roman" w:hAnsi="Times New Roman"/>
          <w:sz w:val="20"/>
        </w:rPr>
      </w:pPr>
      <w:r>
        <w:rPr>
          <w:rFonts w:ascii="Times New Roman" w:hAnsi="Times New Roman"/>
          <w:sz w:val="20"/>
        </w:rPr>
        <w:t xml:space="preserve">(g) None of Parent, Caldera Merger Sub or Synlogic Merger Sub owns any shares of Caldera Capital Stock. None of Parent, Caldera Merger Sub or Synlogic Merger Sub nor any of their respective Affiliates is an “interested stockholder” of Caldera as defined in Section 203(c) of Delaware Law.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SEC Filings;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Synlogic has filed or furnished, as applicable, on a timely basis all forms, statements, certifications, reports and documents required to be filed or furnished by it with the SEC under the Exchange Act or the Securities Act, or, in the case of any such filing not made on a timely basis, has otherwise complied with the applicable requirements of Rule 12b-25 under the Exchange Act and subsequently made such filing, since January 1, 2023 (the “</w:t>
      </w:r>
      <w:r>
        <w:rPr>
          <w:rFonts w:ascii="Times New Roman" w:hAnsi="Times New Roman"/>
          <w:b/>
          <w:sz w:val="20"/>
        </w:rPr>
        <w:t>Synlogic SEC Documents</w:t>
      </w:r>
      <w:r>
        <w:rPr>
          <w:rFonts w:ascii="Times New Roman" w:hAnsi="Times New Roman"/>
          <w:sz w:val="20"/>
        </w:rPr>
        <w:t>”). As of the time it was filed with the SEC (or, if amended or superseded by a filing prior to the date of this Agreement, then on the date of such filing), each of the Synlogic SEC Documents complied in all material respects with the applicable requirements of the Securities Act or the Exchange Act (as the case may be) and as of the time they were filed, none of the Synlogic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Synlogic SEC Documents (collectively, the “</w:t>
      </w:r>
      <w:r>
        <w:rPr>
          <w:rFonts w:ascii="Times New Roman" w:hAnsi="Times New Roman"/>
          <w:b/>
          <w:sz w:val="20"/>
        </w:rPr>
        <w:t>Synlogic Certifications</w:t>
      </w:r>
      <w:r>
        <w:rPr>
          <w:rFonts w:ascii="Times New Roman" w:hAnsi="Times New Roman"/>
          <w:sz w:val="20"/>
        </w:rPr>
        <w:t xml:space="preserve">”) are accurate and complete and comply as to form and content with all applicable Laws. As used in this </w:t>
      </w:r>
      <w:r>
        <w:rPr>
          <w:rFonts w:ascii="Times New Roman" w:hAnsi="Times New Roman"/>
          <w:sz w:val="20"/>
          <w:u w:val="single"/>
        </w:rPr>
        <w:t>Section 4.7</w:t>
      </w:r>
      <w:r>
        <w:rPr>
          <w:rFonts w:ascii="Times New Roman" w:hAnsi="Times New Roman"/>
          <w:sz w:val="20"/>
        </w:rPr>
        <w:t xml:space="preserve">, the term “file” and variations thereof shall be broadly construed to include any manner in which a document or information is furnished, supplied or otherwise made available to the SEC. </w:t>
      </w:r>
    </w:p>
    <w:p>
      <w:pPr>
        <w:pStyle w:val="TextBody"/>
        <w:bidi w:val="0"/>
        <w:spacing w:before="240" w:after="0"/>
        <w:jc w:val="left"/>
        <w:rPr>
          <w:rFonts w:ascii="Times New Roman" w:hAnsi="Times New Roman"/>
          <w:sz w:val="20"/>
        </w:rPr>
      </w:pPr>
      <w:r>
        <w:rPr>
          <w:rFonts w:ascii="Times New Roman" w:hAnsi="Times New Roman"/>
          <w:sz w:val="20"/>
        </w:rPr>
        <w:t xml:space="preserve">(b) The financial statements (including any related notes) contained or incorporated by reference in the Synlogic SEC Documents: (i) complied as to form in all material respects with the Securities Act and the Exchange Act, as applicable, and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Synlogic as of the respective dates thereof and the results of operations and cash flows of Synlogic for the periods covered thereby. Other than as expressly disclosed in the Synlogic SEC Documents filed prior to the date hereof, there has been no material change in Synlogic’s accounting methods or principles that would be required to be disclosed in Synlogic’s financial statements in accordance with GAAP. The books of account and other financial records of Synlogic and each of its Subsidiaries are true and complete in all material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Synlogic’s auditor has at all times since the date of enactment of the Sarbanes-Oxley Act been: (i) a registered public accounting firm (as defined in Section 2(a)(12) of the Sarbanes-Oxley Act), (ii) to the Knowledge of Synlogic, “independent” with respect to Synlogic within the meaning of Regulation S-X under the Exchange Act and (iii) to the Knowledge of Synlogic, in compliance with subsections (g) through (l) of Section 10A of the Exchange Act and the rules and regulations promulgated by the SEC and the PCAOB thereunder.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4.7(d)</w:t>
      </w:r>
      <w:r>
        <w:rPr>
          <w:rFonts w:ascii="Times New Roman" w:hAnsi="Times New Roman"/>
          <w:sz w:val="20"/>
        </w:rPr>
        <w:t xml:space="preserve"> of the Synlogic Disclosure Schedule, Synlogic has not received any comment letter from the SEC or the staff thereof since January 1, 2023. Synlogic has not disclosed any unresolved comments in the Synlogic SEC Documents. </w:t>
      </w:r>
    </w:p>
    <w:p>
      <w:pPr>
        <w:pStyle w:val="TextBody"/>
        <w:bidi w:val="0"/>
        <w:spacing w:before="240" w:after="0"/>
        <w:jc w:val="left"/>
        <w:rPr>
          <w:rFonts w:ascii="Times New Roman" w:hAnsi="Times New Roman"/>
          <w:sz w:val="20"/>
        </w:rPr>
      </w:pPr>
      <w:r>
        <w:rPr>
          <w:rFonts w:ascii="Times New Roman" w:hAnsi="Times New Roman"/>
          <w:sz w:val="20"/>
        </w:rPr>
        <w:t xml:space="preserve">(e) There have been no formal internal investigations regarding financial reporting or accounting policies and practices discussed with, reviewed by or initiated at the direction of the chief executive officer, chief financial officer, or general counsel of Synlogic, the Synlogic Board or any committee thereof, other than ordinary course audits or reviews of accounting policies and practices or internal controls required by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(f) Except as set forth on </w:t>
      </w:r>
      <w:r>
        <w:rPr>
          <w:rFonts w:ascii="Times New Roman" w:hAnsi="Times New Roman"/>
          <w:sz w:val="20"/>
          <w:u w:val="single"/>
        </w:rPr>
        <w:t>Section 4.7(f)</w:t>
      </w:r>
      <w:r>
        <w:rPr>
          <w:rFonts w:ascii="Times New Roman" w:hAnsi="Times New Roman"/>
          <w:sz w:val="20"/>
        </w:rPr>
        <w:t xml:space="preserve"> of the Synlogic Disclosure Schedule, Synlogic is in compliance in all material respects with the applicable provisions of the Sarbanes-Oxley Act, the Exchange Act and the applicable listing and governance rules and regulations of the OTC Pink. </w:t>
      </w:r>
    </w:p>
    <w:p>
      <w:pPr>
        <w:pStyle w:val="TextBody"/>
        <w:bidi w:val="0"/>
        <w:spacing w:before="240" w:after="0"/>
        <w:jc w:val="left"/>
        <w:rPr>
          <w:rFonts w:ascii="Times New Roman" w:hAnsi="Times New Roman"/>
          <w:sz w:val="20"/>
        </w:rPr>
      </w:pPr>
      <w:r>
        <w:rPr>
          <w:rFonts w:ascii="Times New Roman" w:hAnsi="Times New Roman"/>
          <w:sz w:val="20"/>
        </w:rPr>
        <w:t xml:space="preserve">(g) Synlogic maintains a system of internal control over financial reporting (as defined in Rules 13a-15(f) and 15d-l5(f) of the Exchange Act) that is designed to provide reasonable assurance regarding the reliability of financial reporting and the preparation of financial statements for external purposes in accordance with GAAP, including policies and procedures sufficient to provide reasonable assurance (i) that Synlogic maintains records that in reasonable detail accurately and fairly reflect Synlogic’s transactions and dispositions of assets, (ii) that transactions are recorded as necessary to permit preparation of financial statements in accordance with GAAP, (iii) that receipts and expenditures are made only in accordance with authorizations of management and the Synlogic Board and (iv) regarding prevention or timely detection of the unauthorized acquisition, use or disposition of Synlogic’s assets that could have a material effect on Synlogic’s financial statements. Synlogic has evaluated the effectiveness of Synlogic’s internal control over financial reporting and, to the extent required by applicable Law, presented in any applicable Synlogic SEC Document that is a report on Form 10-K or Form 10-Q (or any amendment thereto) its conclusions about the effectiveness of the internal control over financial reporting as of the end of the period covered by such report or amendment based on such evaluation. Synlogic has disclosed to Synlogic’s auditors and the Audit Committee of the Synlogic Board (and made available to Synlogic a summary of the significant aspects of such disclosure) (A) all significant deficiencies and material weaknesses in the design or operation of internal control over financial reporting that are reasonably likely to adversely affect Synlogic’s ability to record, process, summarize and report financial information and (B) any known fraud, whether or not material, that involves management or other employees who have a significant role in Synlogic or its Subsidiaries’ internal control over financial reporting. Except as disclosed in the Synlogic SEC Documents filed prior to the date hereof, Synlogic’s internal control over financial reporting is effective and Synlogic has not identified any material weaknesses in the design or operation of Synlogic’s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(h) Synlogic’s “disclosure controls and procedures” (as defined in Rules 13a-15(e) and 15d-15(e) of the Exchange Act) are designed to ensure that all information (both financial and nonfinancial) required to be disclosed by Synlogic in the reports that it files or submits under the Exchange Act is recorded, processed, summarized and reported within the time periods specified in the rules and forms of the SEC, and that all such information is accumulated and communicated to Synlogic’s principal executive officer and principal financial officer as appropriate to allow timely decisions regarding required disclosure and to make the Synlogic Certifications and such disclosure controls and procedures are effective. Synlogic has carried out an evaluation of the effectiveness of its disclosure controls and procedures as required by Rule 13a-l5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Absence of Changes</w:t>
      </w:r>
      <w:r>
        <w:rPr>
          <w:rFonts w:ascii="Times New Roman" w:hAnsi="Times New Roman"/>
          <w:sz w:val="20"/>
        </w:rPr>
        <w:t xml:space="preserve">. Except as set forth on </w:t>
      </w:r>
      <w:r>
        <w:rPr>
          <w:rFonts w:ascii="Times New Roman" w:hAnsi="Times New Roman"/>
          <w:sz w:val="20"/>
          <w:u w:val="single"/>
        </w:rPr>
        <w:t>Section 4.8</w:t>
      </w:r>
      <w:r>
        <w:rPr>
          <w:rFonts w:ascii="Times New Roman" w:hAnsi="Times New Roman"/>
          <w:sz w:val="20"/>
        </w:rPr>
        <w:t xml:space="preserve"> of the Synlogic Disclosure Schedule, since January 1, 2026 until the execution of this Agreement, Synlogic and its Subsidiaries have conducted their business only in the Ordinary Course of Business (except for the execution and performance of this Agreement and the discussions, negotiations and transactions related thereto) and there has not been any (a) Synlogic Material Adverse Effect or (b) action, event or occurrence that would have required Consent of Caldera pursuant to </w:t>
      </w:r>
      <w:r>
        <w:rPr>
          <w:rFonts w:ascii="Times New Roman" w:hAnsi="Times New Roman"/>
          <w:sz w:val="20"/>
          <w:u w:val="single"/>
        </w:rPr>
        <w:t>Section 6.2</w:t>
      </w:r>
      <w:r>
        <w:rPr>
          <w:rFonts w:ascii="Times New Roman" w:hAnsi="Times New Roman"/>
          <w:sz w:val="20"/>
        </w:rPr>
        <w:t xml:space="preserve"> (excluding subsections (v), (viii), (x) and (ix) of </w:t>
      </w:r>
      <w:r>
        <w:rPr>
          <w:rFonts w:ascii="Times New Roman" w:hAnsi="Times New Roman"/>
          <w:sz w:val="20"/>
          <w:u w:val="single"/>
        </w:rPr>
        <w:t>Section 6.2(b)</w:t>
      </w:r>
      <w:r>
        <w:rPr>
          <w:rFonts w:ascii="Times New Roman" w:hAnsi="Times New Roman"/>
          <w:sz w:val="20"/>
        </w:rPr>
        <w:t xml:space="preserve">) of this Agreement had such action, event or occurrence taken place after the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Absence of Undisclosed Liabilities</w:t>
      </w:r>
      <w:r>
        <w:rPr>
          <w:rFonts w:ascii="Times New Roman" w:hAnsi="Times New Roman"/>
          <w:sz w:val="20"/>
        </w:rPr>
        <w:t xml:space="preserve">. Neither Synlogic nor any of its Subsidiaries has any Liability of a type required to be reflected or reserved for on a balance sheet prepared in accordance with GAAP, except for: (a) Liabilities disclosed, reflected or reserved against in the Synlogic Balance Sheet, (b) normal and recurring current Liabilities that have been incurred by Synlogic or its Subsidiaries since the date of the Synlogic Balance Sheet in the Ordinary Course of Business (none of which relates to any breach of contract, breach of warranty, tort, infringement, or violation of Law), (c) Liabilities for performance of obligations of Synlogic or any of its Subsidiaries under Synlogic Contracts, (d) Transaction Expenses and (e) Liabilities listed in </w:t>
      </w:r>
      <w:r>
        <w:rPr>
          <w:rFonts w:ascii="Times New Roman" w:hAnsi="Times New Roman"/>
          <w:sz w:val="20"/>
          <w:u w:val="single"/>
        </w:rPr>
        <w:t>Section 4.9</w:t>
      </w:r>
      <w:r>
        <w:rPr>
          <w:rFonts w:ascii="Times New Roman" w:hAnsi="Times New Roman"/>
          <w:sz w:val="20"/>
        </w:rPr>
        <w:t xml:space="preserve"> of the Synlogic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Title to Assets</w:t>
      </w:r>
      <w:r>
        <w:rPr>
          <w:rFonts w:ascii="Times New Roman" w:hAnsi="Times New Roman"/>
          <w:sz w:val="20"/>
        </w:rPr>
        <w:t xml:space="preserve">. Each of Synlogic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Synlogic Balance Sheet and (b) all other tangible assets reflected in the books and records of Synlogic as being owned by Synlogic. All of such assets are owned or, in the case of leased assets, leased by Synlogic or any of its Subsidiaries free and clear of any Encumbrances,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Real Property; Leasehold</w:t>
      </w:r>
      <w:r>
        <w:rPr>
          <w:rFonts w:ascii="Times New Roman" w:hAnsi="Times New Roman"/>
          <w:sz w:val="20"/>
        </w:rPr>
        <w:t>. Neither Synlogic nor any of its Subsidiaries owns or has ever owned any real property. Synlogic has made available to Caldera (a) an accurate and complete list of all real properties with respect to which Synlogic directly or indirectly holds a valid leasehold interest as well as any other real estate that is in the possession of or leased by Synlogic or any of its Subsidiaries and (b) copies of all leases under which any such real property is possessed (the “</w:t>
      </w:r>
      <w:r>
        <w:rPr>
          <w:rFonts w:ascii="Times New Roman" w:hAnsi="Times New Roman"/>
          <w:b/>
          <w:sz w:val="20"/>
        </w:rPr>
        <w:t>Synlogic Real Estate Leases</w:t>
      </w:r>
      <w:r>
        <w:rPr>
          <w:rFonts w:ascii="Times New Roman" w:hAnsi="Times New Roman"/>
          <w:sz w:val="20"/>
        </w:rPr>
        <w:t xml:space="preserve">”), each of which is in full force and effect, with no existing material default thereunder.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4.12(a)</w:t>
      </w:r>
      <w:r>
        <w:rPr>
          <w:rFonts w:ascii="Times New Roman" w:hAnsi="Times New Roman"/>
          <w:sz w:val="20"/>
        </w:rPr>
        <w:t xml:space="preserve"> of the Synlogic Disclosure Schedule is an accurate, true and complete listing of all Synlogic Registered IP, including, as applicable, for each item (other than internet domain names) (i) the record owner(s) (and name of any other Person with an ownership interest in such item of Synlogic Registered IP and the nature of such ownership interest, if any), (ii) jurisdiction, (iii) status, (iv) registration or application number, (v) filing date and (vi) registration, issuance or grant date. </w:t>
      </w:r>
      <w:r>
        <w:rPr>
          <w:rFonts w:ascii="Times New Roman" w:hAnsi="Times New Roman"/>
          <w:sz w:val="20"/>
          <w:u w:val="single"/>
        </w:rPr>
        <w:t>Section 4.12(a)</w:t>
      </w:r>
      <w:r>
        <w:rPr>
          <w:rFonts w:ascii="Times New Roman" w:hAnsi="Times New Roman"/>
          <w:sz w:val="20"/>
        </w:rPr>
        <w:t xml:space="preserve"> of the Synlogic Disclosure Schedule also sets forth, as of the date of this Agreement, a list of all internet domain names in Synlogic Registered IP or with respect to which Synlogic or any of its Subsidiaries are the registrant and, with respect to each domain name, the record owner of such domain name and if different, the legal and beneficial owner(s) of such domain name and the applicable domain name registrar. All Synlogic Registered IP is subsisting and in full force and effect and, to the Knowledge of Synlogic, all Synlogic Registered IP (other than pending applications) is valid and enforceable. All fees due to, and all documents, powers and other filings required to be filed with, a Governmental Authority with respect to any such Synlogic Registered IP have been fully and timely paid and filed as necessary for the filing, prosecuting, obtaining grant of and maintaining such item of Synlogic Registered 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4.12(b)</w:t>
      </w:r>
      <w:r>
        <w:rPr>
          <w:rFonts w:ascii="Times New Roman" w:hAnsi="Times New Roman"/>
          <w:sz w:val="20"/>
        </w:rPr>
        <w:t xml:space="preserve"> of the Synlogic Disclosure Schedule is a true, correct and complete listing of all Synlogic Contracts pursuant to which any Synlogic IP Rights are exclusively licensed to Synlogic or any of its Subsidiaries. To the Knowledge of Synlogic, each Synlogic Contract listed in </w:t>
      </w:r>
      <w:r>
        <w:rPr>
          <w:rFonts w:ascii="Times New Roman" w:hAnsi="Times New Roman"/>
          <w:sz w:val="20"/>
          <w:u w:val="single"/>
        </w:rPr>
        <w:t>Section 4.12(b)</w:t>
      </w:r>
      <w:r>
        <w:rPr>
          <w:rFonts w:ascii="Times New Roman" w:hAnsi="Times New Roman"/>
          <w:sz w:val="20"/>
        </w:rPr>
        <w:t xml:space="preserve"> of the Synlogic Disclosure Schedule is in full force and effect and constitutes a legal, valid, and binding obligation of Synlogic, its Subsidiaries and each other party thereto, and is enforceable against Synlogic, its Subsidiaries and each other party thereto in accordance with its terms. Neither Synlogic, any of its Subsidiaries, nor, to the Knowledge of Synlogic, any other party to any Synlogic Contract listed in </w:t>
      </w:r>
      <w:r>
        <w:rPr>
          <w:rFonts w:ascii="Times New Roman" w:hAnsi="Times New Roman"/>
          <w:sz w:val="20"/>
          <w:u w:val="single"/>
        </w:rPr>
        <w:t>Section 4.12(b)</w:t>
      </w:r>
      <w:r>
        <w:rPr>
          <w:rFonts w:ascii="Times New Roman" w:hAnsi="Times New Roman"/>
          <w:sz w:val="20"/>
        </w:rPr>
        <w:t xml:space="preserve"> of the Synlogic Disclosure Schedule has been or is, or has been or is alleged to be, in material default under, or has provided or received any notice of breach under, or intention to terminate (including by non-renewal), any Synlogic Contract listed in </w:t>
      </w:r>
      <w:r>
        <w:rPr>
          <w:rFonts w:ascii="Times New Roman" w:hAnsi="Times New Roman"/>
          <w:sz w:val="20"/>
          <w:u w:val="single"/>
        </w:rPr>
        <w:t>Section 4.12(b)</w:t>
      </w:r>
      <w:r>
        <w:rPr>
          <w:rFonts w:ascii="Times New Roman" w:hAnsi="Times New Roman"/>
          <w:sz w:val="20"/>
        </w:rPr>
        <w:t xml:space="preserve"> of the Synlogic Disclosure Schedule, except as would not reasonably be expected to have, individually or in the aggregate, a Synlogic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4.12(c)</w:t>
      </w:r>
      <w:r>
        <w:rPr>
          <w:rFonts w:ascii="Times New Roman" w:hAnsi="Times New Roman"/>
          <w:sz w:val="20"/>
        </w:rPr>
        <w:t xml:space="preserve"> of the Synlogic Disclosure Schedule is a true, correct and complete listing of each Synlogic Contract pursuant to which any Person, other than Synlogic or any of its Subsidiaries, has been granted any license, sublicense, option or covenant not to sue under, or otherwise has received or acquired any right (whether or not currently exercisable) or interest in, any Synlogic Owned IP Rights, other than Standard IP Contracts. To the Knowledge of Synlogic, each Synlogic Contract listed in </w:t>
      </w:r>
      <w:r>
        <w:rPr>
          <w:rFonts w:ascii="Times New Roman" w:hAnsi="Times New Roman"/>
          <w:sz w:val="20"/>
          <w:u w:val="single"/>
        </w:rPr>
        <w:t>Section 4.12(c)</w:t>
      </w:r>
      <w:r>
        <w:rPr>
          <w:rFonts w:ascii="Times New Roman" w:hAnsi="Times New Roman"/>
          <w:sz w:val="20"/>
        </w:rPr>
        <w:t xml:space="preserve"> of the Synlogic Disclosure Schedule is in full force and effect and constitutes a legal, valid, and binding obligation of Synlogic, its Subsidiaries and each other party thereto, and is enforceable against Synlogic, its Subsidiaries and each other party thereto in accordance with its terms. Neither Synlogic, its Subsidiaries nor, to the Knowledge of Synlogic, any other party to any Synlogic Contract listed in </w:t>
      </w:r>
      <w:r>
        <w:rPr>
          <w:rFonts w:ascii="Times New Roman" w:hAnsi="Times New Roman"/>
          <w:sz w:val="20"/>
          <w:u w:val="single"/>
        </w:rPr>
        <w:t>Section 4.12(c)</w:t>
      </w:r>
      <w:r>
        <w:rPr>
          <w:rFonts w:ascii="Times New Roman" w:hAnsi="Times New Roman"/>
          <w:sz w:val="20"/>
        </w:rPr>
        <w:t xml:space="preserve"> of the Synlogic Disclosure Schedule has provided or received any written notice of breach under, or intention to terminate (including by non-renewal), any Synlogic Contract listed in </w:t>
      </w:r>
      <w:r>
        <w:rPr>
          <w:rFonts w:ascii="Times New Roman" w:hAnsi="Times New Roman"/>
          <w:sz w:val="20"/>
          <w:u w:val="single"/>
        </w:rPr>
        <w:t>Section 4.12(c)</w:t>
      </w:r>
      <w:r>
        <w:rPr>
          <w:rFonts w:ascii="Times New Roman" w:hAnsi="Times New Roman"/>
          <w:sz w:val="20"/>
        </w:rPr>
        <w:t xml:space="preserve"> of the Synlogic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(d) Neither Synlogic nor any of its Subsidiaries is bound by, and no Synlogic IP Rights are subject to any Contract containing any covenant or other provision that in any way limits or restricts the ability of Synlogic or any of its Subsidiaries to use, exploit, assert, or enforce any Synlogic IP Rights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(e) (x) Synlogic or one of its Subsidiaries exclusively owns all right, title, and interest to and in all material Synlogic Owned IP Rights free and clear of any Encumbrances (other than Permitted Encumbrances) and (y) Synlogic owns, or has a valid and enforceable right pursuant to a binding written Contract to use, all material Synlogic IP Rights currently used or practiced by Synlogic as of the date of this Agreement; provided, however, that the foregoing representation is not a representation or warranty with respect to infringement, misappropriation or other violation of the Intellectual Property rights of any Person. </w:t>
      </w:r>
    </w:p>
    <w:p>
      <w:pPr>
        <w:pStyle w:val="TextBody"/>
        <w:bidi w:val="0"/>
        <w:spacing w:before="240" w:after="0"/>
        <w:jc w:val="left"/>
        <w:rPr>
          <w:rFonts w:ascii="Times New Roman" w:hAnsi="Times New Roman"/>
          <w:sz w:val="20"/>
        </w:rPr>
      </w:pPr>
      <w:r>
        <w:rPr>
          <w:rFonts w:ascii="Times New Roman" w:hAnsi="Times New Roman"/>
          <w:sz w:val="20"/>
        </w:rPr>
        <w:t xml:space="preserve">(i) (A) To the Knowledge of Synlogic, all documents and instruments necessary to register or apply for or renew registration of Synlogic Registered IP owned by Synlogic or under the control of Synlogic have been validly executed, delivered, and filed in a timely manner with the appropriate Governmental Authority and (B) to the Knowledge of Synlogic, Synlogic has filed all statements of use and paid all renewal and maintenance fees, annuities and other fees with respect to the Synlogic Registered IP that are due or payable as of the date of this Agreement owned by Synlogic or under the control of Synlogic, in each case (A) and (B), that are due or payable as of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Except for instances that would not reasonably be expected to have, individually or in the aggregate, a Synlogic Material Adverse Effect, to the Knowledge of Synlogic each Person who is or was an employee, contractor or consultant of Synlogic or any of its Subsidiaries and who is or was involved in the creation, discovery, reduction to practice or development of any Intellectual Property for Synlogic or any of its Subsidiaries has signed a valid, enforceable written agreement containing a present assignment of all right, title and interest in and to such Intellectual Property to Synlogic or such Subsidiary and confidentiality provisions protecting trade secrets and confidential information of Synlogic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(iii) To the Knowledge of Synlogic, no current or former member, officer, director, or employee of Synlogic or any of its Subsidiaries has any claim, right (whether or not currently exercisable), or interest to or in any Synlogic Owned IP Rights. To the Knowledge of Synlogic, no employee of Synlogic or any of its Subsidiaries is (A) bound by or otherwise subject to any Contract restricting him or her from performing his or her duties for Synlogic or such Subsidiary or (B) in breach of any Contract with any former employer or other Person concerning Synlogic Owned IP Rights or confidentiality provisions protecting trade secrets and confidential information comprising Synlogic Owned IP Rights. To the Knowledge of Synlogic, there are no claims by any third party to any ownership interest in or Encumbrance (other than Permitted Encumbrances) on any of the Synlogic IP Rights and there are no inventorship disputes with respect to any of the Patents included in the Synlogic Registered IP. </w:t>
      </w:r>
    </w:p>
    <w:p>
      <w:pPr>
        <w:pStyle w:val="TextBody"/>
        <w:bidi w:val="0"/>
        <w:spacing w:before="240" w:after="0"/>
        <w:jc w:val="left"/>
        <w:rPr>
          <w:rFonts w:ascii="Times New Roman" w:hAnsi="Times New Roman"/>
          <w:sz w:val="20"/>
        </w:rPr>
      </w:pPr>
      <w:r>
        <w:rPr>
          <w:rFonts w:ascii="Times New Roman" w:hAnsi="Times New Roman"/>
          <w:sz w:val="20"/>
        </w:rPr>
        <w:t xml:space="preserve">(iv) No funding, facilities, or personnel of any Governmental Authority were used, directly or indirectly, to develop or create, in whole or in part, any Synlogic Owned IP Rights or, to the Knowledge of Synlogic, any Synlogic Licensed IP Rights. To the Knowledge of Synlogic, no Governmental Authority has any right to (including any “step-in” or “march-in” rights with respect to), ownership of, commercialization of, or right to royalties or other payments for any Synlogic Owned IP Rights or, to the Knowledge of Synlogic, any Synlogic Licensed IP Rights. </w:t>
      </w:r>
    </w:p>
    <w:p>
      <w:pPr>
        <w:pStyle w:val="TextBody"/>
        <w:bidi w:val="0"/>
        <w:spacing w:before="240" w:after="0"/>
        <w:jc w:val="left"/>
        <w:rPr>
          <w:rFonts w:ascii="Times New Roman" w:hAnsi="Times New Roman"/>
          <w:sz w:val="20"/>
        </w:rPr>
      </w:pPr>
      <w:r>
        <w:rPr>
          <w:rFonts w:ascii="Times New Roman" w:hAnsi="Times New Roman"/>
          <w:sz w:val="20"/>
        </w:rPr>
        <w:t xml:space="preserve">(v) Synlogic and each of its Subsidiaries has taken reasonable steps to maintain the confidentiality of and otherwise protect, maintain and enforce its rights in all proprietary information that Synlogic or such Subsidiary holds, or purports to hold, as confidential or a trade secret. </w:t>
      </w:r>
    </w:p>
    <w:p>
      <w:pPr>
        <w:pStyle w:val="TextBody"/>
        <w:bidi w:val="0"/>
        <w:spacing w:before="240" w:after="0"/>
        <w:jc w:val="left"/>
        <w:rPr>
          <w:rFonts w:ascii="Times New Roman" w:hAnsi="Times New Roman"/>
          <w:sz w:val="20"/>
        </w:rPr>
      </w:pPr>
      <w:r>
        <w:rPr>
          <w:rFonts w:ascii="Times New Roman" w:hAnsi="Times New Roman"/>
          <w:sz w:val="20"/>
        </w:rPr>
        <w:t xml:space="preserve">(vi) Neither Synlogic nor any of its Subsidiaries has assigned or otherwise transferred ownership of, or agreed to assign or otherwise transfer ownership of, any Synlogic IP Rights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(vii) To the Knowledge of Synlogic, each item of Synlogic Registered IP has been duly maintained and is not expired, abandoned or cancelled. To the Knowledge of Synlogic, each of the Patents included in the Synlogic Registered IP identifies each and every inventor of the claims thereof as determined to the extent required by and in accordance with the applicable laws of the jurisdiction in which such Patent is issued or pending. To the Knowledge of Synlogic, each of Synlogic and its Subsidiaries and their respective patent counsel have complied with its duty of candor and disclosure and have made no material misrepresentations in the filings submitted to the applicable Governmental Authorities with respect to all Patents included in the Synlogic Registered IP for which Synlogic or any of its Subsidiaries is responsible for prosecuting. </w:t>
      </w:r>
    </w:p>
    <w:p>
      <w:pPr>
        <w:pStyle w:val="TextBody"/>
        <w:bidi w:val="0"/>
        <w:spacing w:before="240" w:after="0"/>
        <w:jc w:val="left"/>
        <w:rPr>
          <w:rFonts w:ascii="Times New Roman" w:hAnsi="Times New Roman"/>
          <w:sz w:val="20"/>
        </w:rPr>
      </w:pPr>
      <w:r>
        <w:rPr>
          <w:rFonts w:ascii="Times New Roman" w:hAnsi="Times New Roman"/>
          <w:sz w:val="20"/>
        </w:rPr>
        <w:t xml:space="preserve">(viii) To the Knowledge of Synlogic, the Synlogic IP Rights constitute all Intellectual Property that is material to or necessary for Synlogic or any of its Subsidiaries to conduct its business as currently conducted as of the date of this Agreement; provided, however, that the foregoing representation is not a representation or warranty with respect to infringement, misappropriation or other violation of the Intellectual Property rights of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Reserved. </w:t>
      </w:r>
    </w:p>
    <w:p>
      <w:pPr>
        <w:pStyle w:val="TextBody"/>
        <w:bidi w:val="0"/>
        <w:spacing w:before="240" w:after="0"/>
        <w:jc w:val="left"/>
        <w:rPr>
          <w:rFonts w:ascii="Times New Roman" w:hAnsi="Times New Roman"/>
          <w:sz w:val="20"/>
        </w:rPr>
      </w:pPr>
      <w:r>
        <w:rPr>
          <w:rFonts w:ascii="Times New Roman" w:hAnsi="Times New Roman"/>
          <w:sz w:val="20"/>
        </w:rPr>
        <w:t xml:space="preserve">(g) To the Knowledge of Synlogic, the conduct of the business of Synlogic as has been conducted since January 1, 2023 and as is currently being conducted, including the manufacture, marketing, offering for sale, sale, importation, use or intended use or other disposal of any product as currently sold or under development by Synlogic or any of its Subsidiaries, (i) has not violated and does not presently violate, any Synlogic IP Rights Agreement in any material respect, and (ii) to the Knowledge of Synlogic, has not materially infringed, misappropriated, or otherwise violated, and does not materially infringe, misappropriate or otherwise violate, any valid and issued Patents or other valid Intellectual Property rights of any other Person. To the Knowledge of Synlogic, since January 1, 2023, no Person has engaged in the unauthorized use of, or has infringed, misappropriated, or otherwise violated any Patents within the Synlogic Owned IP Rights, or otherwise violated any Synlogic IP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(h) As of the date of this Agreement and since January 1, 2023, neither Synlogic nor any of its Subsidiaries is or has been a party to any, or is the subject of any pending or, to the Knowledge of Synlogic, threatened in writing, Legal Proceeding (including, but not limited to, opposition, interference or other proceeding in any patent or other government office) contesting the validity, enforceability, ownership or right to use, sell, offer for sale, license or dispose of any Synlogic Owned IP Rights. None of the Synlogic Registered IP have been adjudged invalid or unenforceable in whole or part, and, to the Knowledge of Synlogic, all Synlogic IP Rights are in full force and effect. Neither Synlogic nor any of its Subsidiaries have received any written notice asserting that any Synlogic IP Rights or the proposed use, sale, offer for sale, license or disposition of products, methods, or processes claimed or covered thereunder infringes or misappropriates or violates the Intellectual Property rights of any other Person or that Synlogic or any of its Subsidiaries have otherwise infringed, misappropriated or otherwise violated any Intellectual Property rights of any Person. </w:t>
      </w:r>
    </w:p>
    <w:p>
      <w:pPr>
        <w:pStyle w:val="TextBody"/>
        <w:bidi w:val="0"/>
        <w:spacing w:before="240" w:after="0"/>
        <w:jc w:val="left"/>
        <w:rPr>
          <w:rFonts w:ascii="Times New Roman" w:hAnsi="Times New Roman"/>
          <w:sz w:val="20"/>
        </w:rPr>
      </w:pPr>
      <w:r>
        <w:rPr>
          <w:rFonts w:ascii="Times New Roman" w:hAnsi="Times New Roman"/>
          <w:sz w:val="20"/>
        </w:rPr>
        <w:t xml:space="preserve">(i) To the Knowledge of Synlogic, no trademark (whether registered or unregistered) or trade name owned, used, or applied for by Synlogic or any of its Subsidiaries conflicts or interferes with any trademark (whether registered or unregistered) or trade name owned, used, or applied for by any other Person except as would not have a Synlogic Material Adverse Effect. To the Knowledge of Synlogic, none of the goodwill associated with or inherent in any trademark (whether registered or unregistered) in which Synlogic or its Subsidiaries has or purports to have an ownership interest has been impaired as determined by Synlogic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(j) Except as would not reasonably be expected to have an Synlogic Material Adverse Effect, (A) neither Synlogic nor any of its Subsidiaries is bound by any Contract to indemnify, defend, hold harmless, or reimburse any other Person with respect to any Intellectual Property infringement, misappropriation, or similar claim which is material to Synlogic or any of its Subsidiaries, taken as a whole and (B) neither Synlogic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None of the execution and delivery of this Agreement, the consummation of the transactions contemplated hereby or the performance by Synlogic of its obligations hereunder conflict or will conflict with, alter or impair any of Synlogic’s rights in, to and under any material Synlogic IP Rights or the validity, enforceability, priority, scope or duration of any material Synlogic IP Rights. Without limiting the foregoing, to the Knowledge of Synlogic, neither Synlogic nor any of its Subsidiaries is party to any Contract that, as a result of such execution, delivery and performance of this Agreement, will (i) cause the grant, assignment or transfer to any other Person of any license or other right to or in any Synlogic IP Rights, (ii) result in breach of, default under or termination of such Contract with respect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Synlogic IP Rights, (iii) alter, encumber, impair or extinguish, or result in any Encumbrance with respect to the right of Synlogic or the Synlogic Merger Surviving Corporation and its Subsidiaries to use, sell or license or enforce any Synlogic IP Rights or portion thereof or (iv) result in Synlogic or any of its Subsidiaries being bound by or subject to any exclusivity obligations, non-compete or other restrictions on the operation or scope of their respective businesses, or to any obligation to grant any rights in or to any Synlogic IP Rights, except, in each of (i), (ii), (iii) and (iv), for the occurrence of any such grant or impairment that would not individually or in the aggregate, reasonably be expected to result in a Synlogic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Agreements, 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Other than Excepted Contracts,</w:t>
      </w:r>
      <w:r>
        <w:rPr>
          <w:rFonts w:ascii="Times New Roman" w:hAnsi="Times New Roman"/>
          <w:sz w:val="20"/>
          <w:u w:val="single"/>
        </w:rPr>
        <w:t xml:space="preserve"> Section 4.13</w:t>
      </w:r>
      <w:r>
        <w:rPr>
          <w:rFonts w:ascii="Times New Roman" w:hAnsi="Times New Roman"/>
          <w:sz w:val="20"/>
        </w:rPr>
        <w:t xml:space="preserve"> of the Synlogic Disclosure Schedule lists the following Synlogic Contracts in effect as of the date of this Agreement other than the Securities Purchase Agreement (each, a “</w:t>
      </w:r>
      <w:r>
        <w:rPr>
          <w:rFonts w:ascii="Times New Roman" w:hAnsi="Times New Roman"/>
          <w:b/>
          <w:sz w:val="20"/>
        </w:rPr>
        <w:t>Synlogic Material Contract</w:t>
      </w:r>
      <w:r>
        <w:rPr>
          <w:rFonts w:ascii="Times New Roman" w:hAnsi="Times New Roman"/>
          <w:sz w:val="20"/>
        </w:rPr>
        <w:t>” and collectively, the “</w:t>
      </w:r>
      <w:r>
        <w:rPr>
          <w:rFonts w:ascii="Times New Roman" w:hAnsi="Times New Roman"/>
          <w:b/>
          <w:sz w:val="20"/>
        </w:rPr>
        <w:t>Synlogic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Synlogic Contract that is a collective bargaining agreement or other agreement or arrangement with any labor union, works council or labor organization; </w:t>
      </w:r>
    </w:p>
    <w:p>
      <w:pPr>
        <w:pStyle w:val="TextBody"/>
        <w:bidi w:val="0"/>
        <w:spacing w:before="240" w:after="0"/>
        <w:jc w:val="left"/>
        <w:rPr>
          <w:rFonts w:ascii="Times New Roman" w:hAnsi="Times New Roman"/>
          <w:sz w:val="20"/>
        </w:rPr>
      </w:pPr>
      <w:r>
        <w:rPr>
          <w:rFonts w:ascii="Times New Roman" w:hAnsi="Times New Roman"/>
          <w:sz w:val="20"/>
        </w:rPr>
        <w:t xml:space="preserve">(ii) each Synlogic Contract for the employment or engagement of any individual on an employee, consulting or other basis that provides for annual base compensation in excess of $100,000; </w:t>
      </w:r>
    </w:p>
    <w:p>
      <w:pPr>
        <w:pStyle w:val="TextBody"/>
        <w:bidi w:val="0"/>
        <w:spacing w:before="240" w:after="0"/>
        <w:jc w:val="left"/>
        <w:rPr>
          <w:rFonts w:ascii="Times New Roman" w:hAnsi="Times New Roman"/>
          <w:sz w:val="20"/>
        </w:rPr>
      </w:pPr>
      <w:r>
        <w:rPr>
          <w:rFonts w:ascii="Times New Roman" w:hAnsi="Times New Roman"/>
          <w:sz w:val="20"/>
        </w:rPr>
        <w:t xml:space="preserve">(iii) each Synlogic Contract with any Synlogic Associate that provides for retention, change in control, transaction or other similar payments or benefits, whether or not payable as a result of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(iv) each Synlogic Contract relating to any agreement of indemnification or guaranty not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 each Synlogic Contract containing (A) any covenant limiting the freedom of Synlogic or any of its Subsidiaries (or, after the Closing Date, Parent or any of its Subsidiaries) to engage in any line of business or compete with any Person, or limiting the development, manufacture, or distribution of Parent’s or any of its Subsidiaries’ (or, after the Closing Date, Caldera’s or any of its Subsidiaries’) products or services, (B) any most-favored pricing arrangement, (C) any exclusivity provision or (D) any non-solicitation provision (excluding such provisions to the extent they provide for non-solicitation of employees, consultants or individual independent contractors); </w:t>
      </w:r>
    </w:p>
    <w:p>
      <w:pPr>
        <w:pStyle w:val="TextBody"/>
        <w:bidi w:val="0"/>
        <w:spacing w:before="240" w:after="0"/>
        <w:jc w:val="left"/>
        <w:rPr>
          <w:rFonts w:ascii="Times New Roman" w:hAnsi="Times New Roman"/>
          <w:sz w:val="20"/>
        </w:rPr>
      </w:pPr>
      <w:r>
        <w:rPr>
          <w:rFonts w:ascii="Times New Roman" w:hAnsi="Times New Roman"/>
          <w:sz w:val="20"/>
        </w:rPr>
        <w:t xml:space="preserve">(vi) each Synlogic Contract (A) pursuant to which any Person granted Synlogic or any of its Subsidiaries an exclusive license under any Intellectual Property, or (B) pursuant to which Synlogic or any of its Subsidiaries granted any Person an exclusive license under any Synlogic IP Rights; </w:t>
      </w:r>
    </w:p>
    <w:p>
      <w:pPr>
        <w:pStyle w:val="TextBody"/>
        <w:bidi w:val="0"/>
        <w:spacing w:before="240" w:after="0"/>
        <w:jc w:val="left"/>
        <w:rPr>
          <w:rFonts w:ascii="Times New Roman" w:hAnsi="Times New Roman"/>
          <w:sz w:val="20"/>
        </w:rPr>
      </w:pPr>
      <w:r>
        <w:rPr>
          <w:rFonts w:ascii="Times New Roman" w:hAnsi="Times New Roman"/>
          <w:sz w:val="20"/>
        </w:rPr>
        <w:t xml:space="preserve">(vii) each Synlogic Contract relating to capital expenditures and requiring payments after the date of this Agreement in excess of $100,000 pursuant to its express terms and not cancelable without penalty; </w:t>
      </w:r>
    </w:p>
    <w:p>
      <w:pPr>
        <w:pStyle w:val="TextBody"/>
        <w:bidi w:val="0"/>
        <w:spacing w:before="240" w:after="0"/>
        <w:jc w:val="left"/>
        <w:rPr>
          <w:rFonts w:ascii="Times New Roman" w:hAnsi="Times New Roman"/>
          <w:sz w:val="20"/>
        </w:rPr>
      </w:pPr>
      <w:r>
        <w:rPr>
          <w:rFonts w:ascii="Times New Roman" w:hAnsi="Times New Roman"/>
          <w:sz w:val="20"/>
        </w:rPr>
        <w:t xml:space="preserve">(viii) each Synlogic Contract relating to the disposition or acquisition of material assets or any ownership interest in any Entity, in each case, involving payments in excess of $100,000 after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each Synlogic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Synlogic or any loans or debt obligations with officers or directors of Synlogic; </w:t>
      </w:r>
    </w:p>
    <w:p>
      <w:pPr>
        <w:pStyle w:val="TextBody"/>
        <w:bidi w:val="0"/>
        <w:spacing w:before="240" w:after="0"/>
        <w:jc w:val="left"/>
        <w:rPr>
          <w:rFonts w:ascii="Times New Roman" w:hAnsi="Times New Roman"/>
          <w:sz w:val="20"/>
        </w:rPr>
      </w:pPr>
      <w:r>
        <w:rPr>
          <w:rFonts w:ascii="Times New Roman" w:hAnsi="Times New Roman"/>
          <w:sz w:val="20"/>
        </w:rPr>
        <w:t xml:space="preserve">(x) each Synlogic Contract that is: (A) a dealer or distribution Contract (identifying any that contain exclusivity provisions), (B) any Contract pursuant to which Synlogic or any of its Subsidiaries transfers, or grants a license under, any material Synlogic IP Rights for the right to develop, manufacture, commercialize or sell a product or service (except to the extent such grant is for the benefit of Synlogic or any of its Subsidiaries), (C) a joint marketing, alliance, joint venture, collaborative development or other similar Contract under which Synlogic or any of its Subsidiaries has continuing obligations to develop or commercialize any product, technology or service, or to develop any Intellectual Property, in each case that will not be owned, in whole or in part, by Synlogic or such Subsidiary or (D) a Contract containing a license under any Patent, Trademark or copyright registration to any third party to manufacture or produce any product, service or technology of Synlogic or any of its Subsidiaries (except to the extent such license is granted by Synlogic or any of its Subsidiaries to its service providers for provision of goods or services to Synlogic or any of its Subsidiaries) or any Contract to sell, distribute or commercialize any products or service of Synlogic or any of its Subsidiaries, in case of clause (D), except for Synlogic Contracts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(xi) each Synlogic Contract with any Person, including any financial advisor, broker, finder, investment banker or other Person, providing advisory services to Synlogic or any of its Subsidiaries in connection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(xii) each Synlogic Contract to which Synlogic or any of its Subsidiaries is a party or by which any of their assets and properties is currently bound, which involves recurring annual obligations of payment by, or recurring annual payments to, Synlogic or such Subsidiary in excess of $100,000; </w:t>
      </w:r>
    </w:p>
    <w:p>
      <w:pPr>
        <w:pStyle w:val="TextBody"/>
        <w:bidi w:val="0"/>
        <w:spacing w:before="240" w:after="0"/>
        <w:jc w:val="left"/>
        <w:rPr>
          <w:rFonts w:ascii="Times New Roman" w:hAnsi="Times New Roman"/>
          <w:sz w:val="20"/>
        </w:rPr>
      </w:pPr>
      <w:r>
        <w:rPr>
          <w:rFonts w:ascii="Times New Roman" w:hAnsi="Times New Roman"/>
          <w:sz w:val="20"/>
        </w:rPr>
        <w:t xml:space="preserve">(xiii) a Synlogic Real Estate Lease; </w:t>
      </w:r>
    </w:p>
    <w:p>
      <w:pPr>
        <w:pStyle w:val="TextBody"/>
        <w:bidi w:val="0"/>
        <w:spacing w:before="240" w:after="0"/>
        <w:jc w:val="left"/>
        <w:rPr>
          <w:rFonts w:ascii="Times New Roman" w:hAnsi="Times New Roman"/>
          <w:sz w:val="20"/>
        </w:rPr>
      </w:pPr>
      <w:r>
        <w:rPr>
          <w:rFonts w:ascii="Times New Roman" w:hAnsi="Times New Roman"/>
          <w:sz w:val="20"/>
        </w:rPr>
        <w:t xml:space="preserve">(xiv) a Contract disclosed in or required to be disclosed in </w:t>
      </w:r>
      <w:r>
        <w:rPr>
          <w:rFonts w:ascii="Times New Roman" w:hAnsi="Times New Roman"/>
          <w:sz w:val="20"/>
          <w:u w:val="single"/>
        </w:rPr>
        <w:t>Section 4.12(b)</w:t>
      </w:r>
      <w:r>
        <w:rPr>
          <w:rFonts w:ascii="Times New Roman" w:hAnsi="Times New Roman"/>
          <w:sz w:val="20"/>
        </w:rPr>
        <w:t xml:space="preserve"> or </w:t>
      </w:r>
      <w:r>
        <w:rPr>
          <w:rFonts w:ascii="Times New Roman" w:hAnsi="Times New Roman"/>
          <w:sz w:val="20"/>
          <w:u w:val="single"/>
        </w:rPr>
        <w:t>Section 4.12(c)</w:t>
      </w:r>
      <w:r>
        <w:rPr>
          <w:rFonts w:ascii="Times New Roman" w:hAnsi="Times New Roman"/>
          <w:sz w:val="20"/>
        </w:rPr>
        <w:t xml:space="preserve"> of the Synlogic Disclosure Schedule; or </w:t>
      </w:r>
    </w:p>
    <w:p>
      <w:pPr>
        <w:pStyle w:val="TextBody"/>
        <w:bidi w:val="0"/>
        <w:spacing w:before="240" w:after="0"/>
        <w:jc w:val="left"/>
        <w:rPr>
          <w:rFonts w:ascii="Times New Roman" w:hAnsi="Times New Roman"/>
          <w:sz w:val="20"/>
        </w:rPr>
      </w:pPr>
      <w:r>
        <w:rPr>
          <w:rFonts w:ascii="Times New Roman" w:hAnsi="Times New Roman"/>
          <w:sz w:val="20"/>
        </w:rPr>
        <w:t xml:space="preserve">(xv) any other Synlogic Contract that is not terminable at will (with no penalty or payment and with no more than 90 days’ notice) by Synlogic or any of its Subsidiaries, and that includes an express obligation for payment or receipt by Synlogic or such Subsidiary after the date of this Agreement under any such obligation of more than $100,000 in the aggregate, or obligations after the date of this Agreement in excess of $100,000 in the aggregate, other than Synlogic Contracts for provision of legal or accounting services. </w:t>
      </w:r>
    </w:p>
    <w:p>
      <w:pPr>
        <w:pStyle w:val="TextBody"/>
        <w:bidi w:val="0"/>
        <w:spacing w:before="240" w:after="0"/>
        <w:jc w:val="left"/>
        <w:rPr>
          <w:rFonts w:ascii="Times New Roman" w:hAnsi="Times New Roman"/>
          <w:sz w:val="20"/>
        </w:rPr>
      </w:pPr>
      <w:r>
        <w:rPr>
          <w:rFonts w:ascii="Times New Roman" w:hAnsi="Times New Roman"/>
          <w:sz w:val="20"/>
        </w:rPr>
        <w:t xml:space="preserve">(b) Synlogic has delivered or made available to Caldera accurate and complete copies of all Synlogic Material Contracts, including all amendments thereto. There are no Synlogic Material Contracts that are not in written form. Neither Synlogic nor any of its Subsidiaries has, nor, to the Knowledge of Synlogic as of the date of this Agreement, has any other party to a Synlogic Material Contract, breached, violated or defaulted under, or received notice that it breached, violated or defaulted under, any of the terms or conditions of any such Synlogic Material Contract in such manner as would permit any other party to cancel or terminate any such Synlogic Material Contract, or would permit any other party to seek material damages thereunder. As to Synlogic and its Subsidiaries, as of the date of this Agreement, each Synlogic Material Contract is valid, binding, enforceable and in full force and effect, subject to the Enforceability Exceptions. No Person is renegotiating, or has a right pursuant to the terms of any Synlogic Material Contract to change, any material amount paid or payable to Synlogic or any of its Subsidiaries under any Synlogic Material Contract or any other material term or provision of any Synlogic Material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Absence of Certain Agreements</w:t>
      </w:r>
      <w:r>
        <w:rPr>
          <w:rFonts w:ascii="Times New Roman" w:hAnsi="Times New Roman"/>
          <w:sz w:val="20"/>
        </w:rPr>
        <w:t xml:space="preserve">. As of the date hereof, neither Parent, Caldera Merger Sub and Synlogic Merger Sub nor any of their respective Affiliates has entered into any agreement, arrangement or understanding (in each case, whether oral or written), or authorized, committed or agreed to enter into any agreement, arrangement or understanding (in each case, whether oral or written), (i) pursuant to which any stockholder of Synlogic would be entitled to receive, in respect of any share of Parent Common Stock, consideration of a different amount or nature than the Synlogic Merger Shares or pursuant to which any stockholder of Synlogic has agreed to vote to adopt this Agreement or, other than the Synlogic Stockholder Support Agreements, has agreed to vote against any Superior Offer or (ii) pursuant to which any stockholder of Synlogic or any of its Subsidiaries has agreed to make an investment in, or contribution to, Parent, Caldera Merger Sub and Synlogic Merger Sub in connection with the transactions contemplated by this Agreement. As of the date hereof, other than the Synlogic Stockholder Support Agreements and the Caldera Stockholder Support Agreements, there are no agreements, arrangements or understandings (in each case, whether oral or written) between Synlogic, Parent, Caldera Merger Sub and Synlogic Merger Sub or any of their respective Affiliates, on the one hand, and any member of the Synlogic’s management or directors, on the other hand, that relate in any way to, or are in connection with, the transactions contemplated by this Agreement or the operations of Parent, Synlogic or any of their Subsidiaries or, following the Synlogic Effective Time, the Synlogic Merger Surviving Corporation or any of its Subsidiaries. None of Parent, Caldera Merger Sub and Synlogic Merger Sub (or any of their respective Affiliates) has entered into any Contract with any Person prohibiting or seeking to prohibit such Person from providing or seeking to provide debt financing to any Person in connection with a transaction involving the Synlogic or any of its Subsidiaries in connection with the Mergers.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Compliance; Permits;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Synlogic and each of its Subsidiaries is, and since January 1, 2023, has been in material compliance with all applicable Laws, including the FDCA, the PHSA, FDA regulations adopted thereunder or any other applicable Law administered or enforced by the FDA or other Drug Regulatory Agency. No investigation, claim, suit, proceeding, audit, Order, or other action by any Governmental Authority is pending or, to the Knowledge of Synlogic, threatened against Synlogic or any of its Subsidiaries. There is no agreement or Order binding upon Synlogic or any of its Subsidiaries which (i) has or could reasonably be expected to have the effect of prohibiting or materially impairing any business practice of Synlogic or any of its Subsidiaries, any acquisition of material property by Synlogic or any of its Subsidiaries or the conduct of business by Synlogic or any of its Subsidiaries as currently conducted, (ii) is reasonably likely to have an adverse effect on Synlogic’s ability to comply with or perform any covenant or obligation under this Agreement or (iii) is reasonably likely to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Each of Synlogic and its Subsidiaries holds all required Governmental Authorizations that are material to the operation of the business of Synlogic as currently conducted (collectively, the “</w:t>
      </w:r>
      <w:r>
        <w:rPr>
          <w:rFonts w:ascii="Times New Roman" w:hAnsi="Times New Roman"/>
          <w:b/>
          <w:sz w:val="20"/>
        </w:rPr>
        <w:t>Synlogic Permits</w:t>
      </w:r>
      <w:r>
        <w:rPr>
          <w:rFonts w:ascii="Times New Roman" w:hAnsi="Times New Roman"/>
          <w:sz w:val="20"/>
        </w:rPr>
        <w:t xml:space="preserve">”). </w:t>
      </w:r>
      <w:r>
        <w:rPr>
          <w:rFonts w:ascii="Times New Roman" w:hAnsi="Times New Roman"/>
          <w:sz w:val="20"/>
          <w:u w:val="single"/>
        </w:rPr>
        <w:t>Section 4.15(b)</w:t>
      </w:r>
      <w:r>
        <w:rPr>
          <w:rFonts w:ascii="Times New Roman" w:hAnsi="Times New Roman"/>
          <w:sz w:val="20"/>
        </w:rPr>
        <w:t xml:space="preserve"> of the Synlogic Disclosure Schedule identifies each Synlogic Permit. Each of Synlogic and its Subsidiaries is in material compliance with the terms of the Synlogic Permits. No Legal Proceeding is pending or, to the Knowledge of Synlogic, threatened, which seeks to revoke, substantially limit, suspend, or materially modify any Synlogic Permit.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Legal Proceedings pending or, to the Knowledge of Synlogic, threatened in writing with respect to an alleged material violation by Synlogic or any of its Subsidiaries of the FDCA, PHSA, FDA regulations adopted thereunder, or any other applicable Law administered or enforced by a Drug Regulatory Agency.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Each of Synlogic and its Subsidiaries holds all required material Governmental Authorizations issuable by any Drug Regulatory Agency necessary for the conduct of the business of Synlogic as currently conducted, and, as applicable, the research, development, testing, manufacturing, packaging, processing, storage, labeling, sale, marketing, advertising, distribution and importation or exportation, as currently conducted, of any of its product candidates (the “</w:t>
      </w:r>
      <w:r>
        <w:rPr>
          <w:rFonts w:ascii="Times New Roman" w:hAnsi="Times New Roman"/>
          <w:b/>
          <w:sz w:val="20"/>
        </w:rPr>
        <w:t>Synlogic Product Candidates</w:t>
      </w:r>
      <w:r>
        <w:rPr>
          <w:rFonts w:ascii="Times New Roman" w:hAnsi="Times New Roman"/>
          <w:sz w:val="20"/>
        </w:rPr>
        <w:t>”) (collectively, the “</w:t>
      </w:r>
      <w:r>
        <w:rPr>
          <w:rFonts w:ascii="Times New Roman" w:hAnsi="Times New Roman"/>
          <w:b/>
          <w:sz w:val="20"/>
        </w:rPr>
        <w:t>Synlogic Regulatory Permits</w:t>
      </w:r>
      <w:r>
        <w:rPr>
          <w:rFonts w:ascii="Times New Roman" w:hAnsi="Times New Roman"/>
          <w:sz w:val="20"/>
        </w:rPr>
        <w:t xml:space="preserve">”) and no such Synlogic Regulatory Permit has been (i) revoked, withdrawn, suspended, cancelled or terminated or (ii) modified in any material, adverse manner, in the case of each of (i) and (ii) by a Drug Regulatory Agency. Synlogic has timely maintained and is in compliance in all material respects with the Synlogic Regulatory Permits and neither Synlogic nor any of its Subsidiaries has, since January 1, 2023, received any written notice or other written communication from any Drug Regulatory Agency regarding (A) any material violation of or failure to comply materially with any term or requirement of any Synlogic Regulatory Permit or (B) any revocation, withdrawal, suspension, cancellation, termination or material modification of any Synlogic Regulatory Permit.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of this Agreement, all clinical, non-clinical and other studies and tests conducted by or on behalf of, or sponsored by, Synlogic or its Subsidiaries, in which Synlogic or its Subsidiaries or their respective product candidates, including the Synlogic Product Candidates, have participated, were and, if still pending, are being conducted in compliance in all material respects with the applicable regulations of the Drug Regulatory Agencies and other applicable Law, including, without limitation, 21 C.F.R. Parts 50, 54, 58 and 312, 45 C.F.R. Part 46, and all other applicable Laws governing informed consent, institutional review boards, and the protection of human subjects. Other than as set forth on </w:t>
      </w:r>
      <w:r>
        <w:rPr>
          <w:rFonts w:ascii="Times New Roman" w:hAnsi="Times New Roman"/>
          <w:sz w:val="20"/>
          <w:u w:val="single"/>
        </w:rPr>
        <w:t>Section 4.15(e)</w:t>
      </w:r>
      <w:r>
        <w:rPr>
          <w:rFonts w:ascii="Times New Roman" w:hAnsi="Times New Roman"/>
          <w:sz w:val="20"/>
        </w:rPr>
        <w:t xml:space="preserve"> of the Synlogic Disclosure Schedule, neither Synlogic nor any of its Subsidiaries has received any written notices, correspondence, or other communications from any Drug Regulatory Agency requiring, or, to the Knowledge of Synlogic, threatening any action to place a clinical hold order on, or otherwise terminate, delay, or suspend any clinical studies conducted by or on behalf of, or sponsored by, Synlogic or any of its Subsidiaries or in which Synlogic or any of its Subsidiaries or its current product candidates, including the Synlogic Product Candidates, have participated. </w:t>
      </w:r>
    </w:p>
    <w:p>
      <w:pPr>
        <w:pStyle w:val="TextBody"/>
        <w:bidi w:val="0"/>
        <w:spacing w:before="240" w:after="0"/>
        <w:jc w:val="left"/>
        <w:rPr>
          <w:rFonts w:ascii="Times New Roman" w:hAnsi="Times New Roman"/>
          <w:sz w:val="20"/>
        </w:rPr>
      </w:pPr>
      <w:r>
        <w:rPr>
          <w:rFonts w:ascii="Times New Roman" w:hAnsi="Times New Roman"/>
          <w:sz w:val="20"/>
        </w:rPr>
        <w:t xml:space="preserve">(f) Neither Synlogic nor any of its Subsidiaries, and, to the Knowledge of Synlogic, any contract manufacturer in relation to its activities with respect to any Synlogic Product Candidate, is the subject of any pending or, to the Knowledge of Synlogic, threatened investigation in respect of its business or products by the FDA pursuant to its “Fraud, Untrue Statements of Material Facts, Bribery, and Illegal Gratuities” Final Policy set forth in 56 Fed. Reg. 46191 (September 10, 1991) and any amendments thereto, or any other applicable Law. To the Knowledge of Synlogic, neither Synlogic nor any of its Subsidiaries nor any contract manufacturer in relation to its activities with respect to any Synlogic Product Candidate has committed any acts, made any statement, or failed to make any statement, in each case in respect of Synlogic’s business or products that would violate the FDA’s “Fraud, Untrue Statements of Material Facts, Bribery, and Illegal Gratuities” Final Policy, and any amendments thereto, or any other applicable Law. None of Synlogic, any of its Subsidiaries, and to the Knowledge of Synlogic, any contract manufacturer in relation to its activities with respect to any Synlogic Product Candidate, or any of their respective officers, employees or agents has been convicted of any crime or engaged in any conduct that could result in a debarment or exclusion under (i) 21 U.S.C. Section 335a, (ii) 42 U.S.C. § 1320a-7, or (iii) any other applicable Law. To the Knowledge of Synlogic, no debarment or exclusionary claims, actions, proceedings or investigations in respect of Synlogic’s or its Subsidiaries’ business or Synlogic Product Candidates are pending or threatened against Synlogic, any of its Subsidiaries, and to the Knowledge of Synlogic, any contract manufacturer in relation to its activities with respect to any Synlogic Product Candidate, or any of its respective officers, employees or agents. Neither Synlogic nor any of its Subsidiaries is a party to or has any reporting obligations under any corporate integrity agreements, monitoring agreements, deferred or non-prosecution agreements, consent decrees, settlement orders, or similar agreements with or imposed by any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All manufacturing operations conducted by, or to the Knowledge of Synlogic, for the benefit of, Synlogic or its Subsidiaries in connection with any Synlogic Product Candidate, since January 1, 2023, have been and are being conducted in compliance in all material respects with applicable Laws, including the FDA’s standards for current good manufacturing practices, including applicable requirements contained in 21 C.F.R. Parts 210, 211, 600-680 and the applicable respective counterparts thereof promulgated by Governmental Authorities in countries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(h) No laboratory or manufacturing site owned by Synlogic or its Subsidiaries, and to the Knowledge of Synlogic, no manufacturing site of a contract manufacturer or laboratory, with respect to any Synlogic Product Candidate, (i) is subject to a Drug Regulatory Agency shutdown or import or export prohibition or (ii) has since January 1, 2023, received any unresolved Form FDA 483, notice of violation, warning letter, untitled letter, or similar correspondence or notice from the FDA or other Governmental Authority alleging or asserting material noncompliance with the FDCA, PHSA or any other applicable Law, and, to the Knowledge of Synlogic, neither the FDA nor any other Governmental Authority is considering such action.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is no pending Legal Proceeding and, to the Knowledge of Synlogic, no Person has threatened in writing to commence any Legal Proceeding: (i) that involves Synlogic or any of its Subsidiaries or any Synlogic Associate (in his or her capacity as such) or any of the material assets owned or used by Synlogic or any of its Subsidiaries or (ii) that challenges, or that may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Order to which Synlogic or any of its Subsidiaries, or any of the material assets owned or used by Synlogic or any of its Subsidiaries is subject. To the Knowledge of Synlogic, no officer or other Key Employee of Synlogic or any of its Subsidiaries is subject to any Order that prohibits such officer or employee from engaging in or continuing any conduct, activity or practice relating to the business of Synlogic or any of its Subsidiaries or to any material assets owned or used by Synlogic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Synlogic and each of its Subsidiaries has timely filed all income Tax Returns and all other material Tax Returns that were required to be filed by or with respect to it under applicable Law. All such Tax Returns were correct and complete in all material respects and have been prepared in material compliance with all applicable Law. Subject to exceptions as would not be material, no written claim has ever been made by a Governmental Authority in a jurisdiction where Synlogic or any of its Subsidiaries does not file a particular type of Tax Return that Synlogic or any of its Subsidiaries is subject to taxation by that jurisdiction that would require the filing of such a Tax Return. </w:t>
      </w:r>
    </w:p>
    <w:p>
      <w:pPr>
        <w:pStyle w:val="TextBody"/>
        <w:bidi w:val="0"/>
        <w:spacing w:before="240" w:after="0"/>
        <w:jc w:val="left"/>
        <w:rPr>
          <w:rFonts w:ascii="Times New Roman" w:hAnsi="Times New Roman"/>
          <w:sz w:val="20"/>
        </w:rPr>
      </w:pPr>
      <w:r>
        <w:rPr>
          <w:rFonts w:ascii="Times New Roman" w:hAnsi="Times New Roman"/>
          <w:sz w:val="20"/>
        </w:rPr>
        <w:t xml:space="preserve">(b) All income Taxes and any other material amounts of Taxes due and owing by Synlogic and each of its Subsidiaries (whether or not shown on any Tax Return) have been timely paid. The unpaid Taxes of Synlogic and each of its Subsidiaries for periods (or portions thereof) ending on or prior to the date of the Synlogic Balance Sheet do not materially exceed the accruals for current Taxes set forth on the Synlogic Balance Sheet. Since the date of the Synlogic Balance Sheet, neither Synlogic nor any of its Subsidiaries has incurred any material Liability for Taxes outside the Ordinary Course of Business or otherwise inconsistent with past custom and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of Synlogic and each of its Subsidiaries has withheld and paid to the appropriate Governmental Authority all material Taxes required to have been withheld and paid in connection with any amounts paid or owing to any employee, independent contractor, creditor, stockholder, or other third party.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Encumbrances for material Taxes (other Encumbrances described in clause (i) of the definition of “Permitted Encumbrances”) upon any of the assets of Synlogic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No deficiencies for income Taxes or any other material amount of Taxes with respect to Synlogic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a material amount of Taxes of Synlogic or any of its Subsidiaries. Neither Synlogic nor any of its Subsidiaries has waived any statute of limitations in respect of any income Taxes or other material Taxes or agreed to any extension of time with respect to any income Tax or other material Tax assessment or deficiency, which waiver or extension is still in effect. </w:t>
      </w:r>
    </w:p>
    <w:p>
      <w:pPr>
        <w:pStyle w:val="TextBody"/>
        <w:bidi w:val="0"/>
        <w:spacing w:before="240" w:after="0"/>
        <w:jc w:val="left"/>
        <w:rPr>
          <w:rFonts w:ascii="Times New Roman" w:hAnsi="Times New Roman"/>
          <w:sz w:val="20"/>
        </w:rPr>
      </w:pPr>
      <w:r>
        <w:rPr>
          <w:rFonts w:ascii="Times New Roman" w:hAnsi="Times New Roman"/>
          <w:sz w:val="20"/>
        </w:rPr>
        <w:t xml:space="preserve">(f) Neither Synlogic nor any of its Subsidiaries is a party to any material Tax allocation, Tax sharing or similar agreement (including indemnity arrangements), other than Ordinary Course Agreements. </w:t>
      </w:r>
    </w:p>
    <w:p>
      <w:pPr>
        <w:pStyle w:val="TextBody"/>
        <w:bidi w:val="0"/>
        <w:spacing w:before="240" w:after="0"/>
        <w:jc w:val="left"/>
        <w:rPr>
          <w:rFonts w:ascii="Times New Roman" w:hAnsi="Times New Roman"/>
          <w:sz w:val="20"/>
        </w:rPr>
      </w:pPr>
      <w:r>
        <w:rPr>
          <w:rFonts w:ascii="Times New Roman" w:hAnsi="Times New Roman"/>
          <w:sz w:val="20"/>
        </w:rPr>
        <w:t xml:space="preserve">(g) Neither Synlogic nor any of its Subsidiaries has been a member of an affiliated group filing a consolidated U.S. federal income Tax Return (other than a group the common parent of which is Synlogic). Neither Synlogic nor any of its Subsidiaries has any material Liability for the Taxes of any Person (other than Synlogic) under Treasury Regulations Section 1.1502-6 (or any similar provision of state, local, or foreign law), as a transferee or successor, or by Contract (other than an Ordinary Course Agreement). </w:t>
      </w:r>
    </w:p>
    <w:p>
      <w:pPr>
        <w:pStyle w:val="TextBody"/>
        <w:bidi w:val="0"/>
        <w:spacing w:before="240" w:after="0"/>
        <w:jc w:val="left"/>
        <w:rPr>
          <w:rFonts w:ascii="Times New Roman" w:hAnsi="Times New Roman"/>
          <w:sz w:val="20"/>
        </w:rPr>
      </w:pPr>
      <w:r>
        <w:rPr>
          <w:rFonts w:ascii="Times New Roman" w:hAnsi="Times New Roman"/>
          <w:sz w:val="20"/>
        </w:rPr>
        <w:t xml:space="preserve">(h) Within the past two (2) years, neither Synlogic nor any of its Subsidiaries has distributed stock of another Person, or has had its stock distributed by another Person, in a transaction that was purported or intended to be governed in whole or in part by Section 355 of the Code or Section 361 of the Code. </w:t>
      </w:r>
    </w:p>
    <w:p>
      <w:pPr>
        <w:pStyle w:val="TextBody"/>
        <w:bidi w:val="0"/>
        <w:spacing w:before="240" w:after="0"/>
        <w:jc w:val="left"/>
        <w:rPr>
          <w:rFonts w:ascii="Times New Roman" w:hAnsi="Times New Roman"/>
          <w:sz w:val="20"/>
        </w:rPr>
      </w:pPr>
      <w:r>
        <w:rPr>
          <w:rFonts w:ascii="Times New Roman" w:hAnsi="Times New Roman"/>
          <w:sz w:val="20"/>
        </w:rPr>
        <w:t xml:space="preserve">(i) Neither Synlogic nor any of its Subsidiaries has entered into any transaction identified as a “listed transaction” for purposes of Treasury Regulations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(j) Neither Synlogic nor any of its Subsidiaries will be required to include any material item of income or gain in, or exclude any material item of deduction or loss from, taxable income for any taxable period (or portion thereof) beginning after the Closing Date as a result of any: (i) change in, or use of improper, method of accounting for a taxable period ending on or prior to the Closing Date; (ii) “closing agreement” as described in Section 7121 of the Code (or any corresponding or similar provision of state, local or foreign income Tax law) executed at or prior to the Closing; (iii) installment sale or open transaction disposition made at or prior to the Closing; (iv) prepaid amount, advance payments or deferred revenue received or accrued at or prior to the Closing; or (v) intercompany transaction or excess loss amount described in Treasury Regulations under Section 1502 of the Code (or any corresponding or similar provision of state, local or foreign income Tax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Section 4.17(k)</w:t>
      </w:r>
      <w:r>
        <w:rPr>
          <w:rFonts w:ascii="Times New Roman" w:hAnsi="Times New Roman"/>
          <w:sz w:val="20"/>
        </w:rPr>
        <w:t xml:space="preserve"> of the Synlogic Disclosure Schedule sets forth the entity classification of Synlogic and each of its Subsidiaries for U.S. federal income tax purposes. Neither Synlogic nor any of its Subsidiaries has made an election or taken any other action to change its federal and state income tax classification from such classification. </w:t>
      </w:r>
    </w:p>
    <w:p>
      <w:pPr>
        <w:pStyle w:val="TextBody"/>
        <w:bidi w:val="0"/>
        <w:spacing w:before="240" w:after="0"/>
        <w:jc w:val="left"/>
        <w:rPr>
          <w:rFonts w:ascii="Times New Roman" w:hAnsi="Times New Roman"/>
          <w:sz w:val="20"/>
        </w:rPr>
      </w:pPr>
      <w:r>
        <w:rPr>
          <w:rFonts w:ascii="Times New Roman" w:hAnsi="Times New Roman"/>
          <w:sz w:val="20"/>
        </w:rPr>
        <w:t xml:space="preserve">(l) Neither Synlogic nor any of its Subsidiaries has taken or knowingly failed to take any action, nor to the Knowledge of Synlogic, are there any facts or circumstances, in each case, that would reasonably be expected to prevent or impede the Mergers from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(m) For purposes of this Section 4.17, each reference to Synlogic or any of its Subsidiaries shall be deemed to include any Person that was liquidated into, merged with, or is otherwise a predecessor to, Synlogic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Employee and Labor Matters;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4.18(a)</w:t>
      </w:r>
      <w:r>
        <w:rPr>
          <w:rFonts w:ascii="Times New Roman" w:hAnsi="Times New Roman"/>
          <w:sz w:val="20"/>
        </w:rPr>
        <w:t xml:space="preserve"> of the Synlogic Disclosure Schedule contains a complete and accurate list of all Synlogic employees as of the date of this Agreement, setting forth for each employee: job title; classification as exempt or non-exempt for wage and hour purposes; annual base salary, hourly rate or other rates of compensation; target bonus opportunity; full-time or part-time status; date of hire; business location; status (i.e., active or inactive and if inactive, the type of leave and estimated duration); and any visa or work permit status and the date of expiration, if applicable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4.18(b)</w:t>
      </w:r>
      <w:r>
        <w:rPr>
          <w:rFonts w:ascii="Times New Roman" w:hAnsi="Times New Roman"/>
          <w:sz w:val="20"/>
        </w:rPr>
        <w:t xml:space="preserve"> of the Synlogic Disclosure Schedule contains a complete and accurate list as of the date hereof of all of the individual independent contractors, consultants, temporary employees, leased employees or other agents employed or used by Synlogic and classified by Synlogic as other than employees, or compensated other than through wages paid by Synlogic through Synlogic’s payroll department (“</w:t>
      </w:r>
      <w:r>
        <w:rPr>
          <w:rFonts w:ascii="Times New Roman" w:hAnsi="Times New Roman"/>
          <w:b/>
          <w:sz w:val="20"/>
        </w:rPr>
        <w:t>Synlogic Contingent Workers</w:t>
      </w:r>
      <w:r>
        <w:rPr>
          <w:rFonts w:ascii="Times New Roman" w:hAnsi="Times New Roman"/>
          <w:sz w:val="20"/>
        </w:rPr>
        <w:t xml:space="preserve">”), showing for each Synlogic Contingent Worker such individual’s engagement date, role in the business, work location, and fee or compensation arrangements. </w:t>
      </w:r>
    </w:p>
    <w:p>
      <w:pPr>
        <w:pStyle w:val="TextBody"/>
        <w:bidi w:val="0"/>
        <w:spacing w:before="240" w:after="0"/>
        <w:jc w:val="left"/>
        <w:rPr>
          <w:rFonts w:ascii="Times New Roman" w:hAnsi="Times New Roman"/>
          <w:sz w:val="20"/>
        </w:rPr>
      </w:pPr>
      <w:r>
        <w:rPr>
          <w:rFonts w:ascii="Times New Roman" w:hAnsi="Times New Roman"/>
          <w:sz w:val="20"/>
        </w:rPr>
        <w:t xml:space="preserve">(c) Neither Synlogic nor any of its Subsidiaries is a party to, bound by the terms of, or has a duty to bargain under, any collective bargaining agreement or other Contract with a labor union, works council or labor organization representing any Synlogic Associate, and there are no labor unions, works council or labor organizations representing or, to the Knowledge of Synlogic, purporting to represent or seeking to represent any Synlogic Associates, including through the filing of a petition for representation election.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4.18(d)</w:t>
      </w:r>
      <w:r>
        <w:rPr>
          <w:rFonts w:ascii="Times New Roman" w:hAnsi="Times New Roman"/>
          <w:sz w:val="20"/>
        </w:rPr>
        <w:t xml:space="preserve"> of the Synlogic Disclosure Schedule lists all material Synlogic Employee Plans. </w:t>
      </w:r>
    </w:p>
    <w:p>
      <w:pPr>
        <w:pStyle w:val="TextBody"/>
        <w:bidi w:val="0"/>
        <w:spacing w:before="240" w:after="0"/>
        <w:jc w:val="left"/>
        <w:rPr>
          <w:rFonts w:ascii="Times New Roman" w:hAnsi="Times New Roman"/>
          <w:sz w:val="20"/>
        </w:rPr>
      </w:pPr>
      <w:r>
        <w:rPr>
          <w:rFonts w:ascii="Times New Roman" w:hAnsi="Times New Roman"/>
          <w:sz w:val="20"/>
        </w:rPr>
        <w:t xml:space="preserve">(e) As applicable with respect to each material Synlogic Employee Plan, Synlogic has made available to Caldera, true and complete copies of (i) the plan document, including all amendments thereto, and in the case of an unwritten Employee Plan, a written description of all material terms thereof, (ii) all related trust instruments or other funding-related documents and insurance contracts, (iii) the summary plan description and each summary of material modifications thereto, (iv) the financial statements for the most recent year for which such financial statements are available (in audited form, if available or required by ERISA) and, where applicable, annual reports required to be filed with any Governmental Authority (e.g., Form 5500 and all schedules thereto), (v) the most recent IRS determination or opinion letter, (vi) written results of any required compliance testing for the three most recent plan years, and (vii) all material, non-routine notices, filings or correspondence during the past three years with any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Each Synlogic Employee Plan that is intended to be qualified under Section 401(a) of the Code has received a favorable determination letter or may rely on a favorable opinion letter with respect to such qualified status from the IRS to the effect that such plan is qualified under Section 401(a) of the Code. To the Knowledge of Synlogic, nothing has occurred that would reasonably be expected to cause the loss of the qualified status of any such Synlogic Employee Plan or the Tax exempt status of any related trust. </w:t>
      </w:r>
    </w:p>
    <w:p>
      <w:pPr>
        <w:pStyle w:val="TextBody"/>
        <w:bidi w:val="0"/>
        <w:spacing w:before="240" w:after="0"/>
        <w:jc w:val="left"/>
        <w:rPr>
          <w:rFonts w:ascii="Times New Roman" w:hAnsi="Times New Roman"/>
          <w:sz w:val="20"/>
        </w:rPr>
      </w:pPr>
      <w:r>
        <w:rPr>
          <w:rFonts w:ascii="Times New Roman" w:hAnsi="Times New Roman"/>
          <w:sz w:val="20"/>
        </w:rPr>
        <w:t xml:space="preserve">(g) Each Synlogic Employee Plan has been established, maintained and operated in compliance, in all material respects, with its terms and all applicable Laws, including, without limitation, the Code and ERISA. No Legal Proceeding (other than those relating to routine claims for benefits) is pending or, to the Knowledge of Synlogic, threatened with respect to any Synlogic Employee Plan. All material payments and/or contributions required to have been made with respect to all Synlogic Employee Plans have been made or accrued on the financial statements of Synlogic in accordance with the terms of the applicable Synlogic Employee Plan and applicable Law and neither Synlogic nor any Synlogic ERISA Affiliate has any material Liability for any such unpaid contributions with respect to any Synlogic Employee Plan. </w:t>
      </w:r>
    </w:p>
    <w:p>
      <w:pPr>
        <w:pStyle w:val="TextBody"/>
        <w:bidi w:val="0"/>
        <w:spacing w:before="240" w:after="0"/>
        <w:jc w:val="left"/>
        <w:rPr>
          <w:rFonts w:ascii="Times New Roman" w:hAnsi="Times New Roman"/>
          <w:sz w:val="20"/>
        </w:rPr>
      </w:pPr>
      <w:r>
        <w:rPr>
          <w:rFonts w:ascii="Times New Roman" w:hAnsi="Times New Roman"/>
          <w:sz w:val="20"/>
        </w:rPr>
        <w:t xml:space="preserve">(h) Neither Synlogic, any of its Subsidiaries nor any of their ERISA Affiliates maintains, contributes to or is required to contribute to, or has any Liability with respect to, or has in the past six (6) years, maintained, contributed to, has been required to contribute to, or has had any Liability with respect to (i) any “employee benefit plan” (within the meaning of Section 3(2) of ERISA) that is or was subject to Title IV or Section 302 of ERISA or Section 412 of the Code, (ii) a Multiemployer Plan, (iii) any Multiple Employer Plan, or (iv) any Multiple Employer Welfare Arrangement. </w:t>
      </w:r>
    </w:p>
    <w:p>
      <w:pPr>
        <w:pStyle w:val="TextBody"/>
        <w:bidi w:val="0"/>
        <w:spacing w:before="240" w:after="0"/>
        <w:jc w:val="left"/>
        <w:rPr>
          <w:rFonts w:ascii="Times New Roman" w:hAnsi="Times New Roman"/>
          <w:sz w:val="20"/>
        </w:rPr>
      </w:pPr>
      <w:r>
        <w:rPr>
          <w:rFonts w:ascii="Times New Roman" w:hAnsi="Times New Roman"/>
          <w:sz w:val="20"/>
        </w:rPr>
        <w:t xml:space="preserve">(i) No Synlogic Employee Plan provides for medical or other welfare benefits to any service provider beyond termination of service or retirement, other than (i) pursuant to COBRA or an analogous state Law requirement (the full cost of which is borne by such Person or such Person’s dependents or beneficiaries) or (ii) continuation coverage through the end of the month in which such termination or retirement occurs. </w:t>
      </w:r>
    </w:p>
    <w:p>
      <w:pPr>
        <w:pStyle w:val="TextBody"/>
        <w:bidi w:val="0"/>
        <w:spacing w:before="240" w:after="0"/>
        <w:jc w:val="left"/>
        <w:rPr>
          <w:rFonts w:ascii="Times New Roman" w:hAnsi="Times New Roman"/>
          <w:sz w:val="20"/>
        </w:rPr>
      </w:pPr>
      <w:r>
        <w:rPr>
          <w:rFonts w:ascii="Times New Roman" w:hAnsi="Times New Roman"/>
          <w:sz w:val="20"/>
        </w:rPr>
        <w:t xml:space="preserve">(j) No Synlogic Employee Plan is subject to any law of a foreign jurisdiction outside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(k) Each Synlogic Employee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and no compensation has been or would reasonably be expected to be includable in the gross income of any Synlogic Associate as a result of the operation of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(l) Synlogic and its Subsidiaries are, and since January 1, 2023 have been, in compliance in all material respects with all applicable Laws respecting labor, employment and employment practices, including terms and conditions of employment, worker classification, tax withholding, unemployment compensation, workers’ compensation, prohibited discrimination, harassment, equal employment, fair employment practices, meal and rest periods, work authorization and immigration status, employee safety and health, wages (including overtime wages), pay equity, affirmative action, restrictive covenants, compensation, and hours of work. Except as would not reasonably be expected to have, individually or in the aggregate, a Synlogic Material Adverse Effect, there are no, and since January 1, 2023 there have been no, Legal Proceedings pending or, to the Knowledge of Synlogic, threatened against Synlogic or any of its Subsidiaries relating to any labor or employment matters or any Synlogic Associate. Synlogic is not a party to a conciliation agreement, consent decree or other agreement or Order with any federal, state, or local agency or Governmental Authority with respect to employment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Since January 1, 2023, (i) Synlogic has not taken any action which would constitute a “plant closing”, “collective dismissal”, “group dismissal”, “group termination”, “mass termination”, or “mass layoff” within the meaning of the WARN Act, (ii) issued any written notification of a plant closing or mass layoff required by the WARN Act (nor has Synlogic or any of its Subsidiaries has been under any requirement or obligation to issue any such notification), or (iii) incurred any Liability or obligation under the WARN Act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(n) Since January 1, 2023, there has not been, nor to the Knowledge of Synlogic has there been any threat of, any strike, slowdown, work stoppage, lockout, job action, union, organizing activity, question concerning representation or any similar activity or dispute, affecting Synlogic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(o) There is no contract, agreement, plan or arrangement to which Synlogic or any of its Subsidiaries is a party or by which it is bound to make any payment or compensate any Synlogic Associate for Taxes incurred pursuant to the Code, including, but not limited to,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(p) Except as set forth in </w:t>
      </w:r>
      <w:r>
        <w:rPr>
          <w:rFonts w:ascii="Times New Roman" w:hAnsi="Times New Roman"/>
          <w:sz w:val="20"/>
          <w:u w:val="single"/>
        </w:rPr>
        <w:t>Section 4.18(p)</w:t>
      </w:r>
      <w:r>
        <w:rPr>
          <w:rFonts w:ascii="Times New Roman" w:hAnsi="Times New Roman"/>
          <w:sz w:val="20"/>
        </w:rPr>
        <w:t xml:space="preserve"> of the Synlogic Disclosure Schedules, none of the execution and delivery of this Agreement, the shareholder approval of this Agreement, or the consummation of the Contemplated Transactions (either alone or in conjunction with any other event, including without limitation, a termination of employment) will result in any (i) payment or benefit (including severance, forgiveness of indebtedness or otherwise) becoming due to a Synlogic Associate, (ii) increase in any benefits or the compensation payable under any Synlogic Employee Plan, (iii) acceleration of the time of payment, funding or vesting of any such compensation or benefits or any loan forgiveness, (iv) restriction on the right of Synlogic or any of its Subsidiaries or, after the consummation of Contemplated Transactions, the Synlogic Merger Surviving Corporation, to merge, amend, terminate or transfer any Synlogic Employee Plan, or (v) “parachute payment” (within the meaning of Section 280G of the Code). </w:t>
      </w:r>
    </w:p>
    <w:p>
      <w:pPr>
        <w:pStyle w:val="TextBody"/>
        <w:bidi w:val="0"/>
        <w:spacing w:before="24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Environmental Matters</w:t>
      </w:r>
      <w:r>
        <w:rPr>
          <w:rFonts w:ascii="Times New Roman" w:hAnsi="Times New Roman"/>
          <w:sz w:val="20"/>
        </w:rPr>
        <w:t xml:space="preserve">. Since January 1, 2023, Synlogic and each of its Subsidiaries has complied with all applicable Environmental Laws, which compliance includes the possession by Synlogic of all permits and other Governmental Authorizations required under applicable Environmental Laws and compliance with the terms and conditions thereof, except for any failure to be in compliance that, individually or in the aggregate, would not result in a Synlogic Material Adverse Effect. Neither Synlogic nor any of its Subsidiaries has received since January 1, 2023, any written notice or other communication (in writing or otherwise), whether from a Governmental Authority, citizens group, employee or otherwise, that alleges that Synlogic or any of its Subsidiaries is not in compliance with any Environmental Law, and, to the Knowledge of Synlogic, there are no circumstances that may prevent or interfere with Synlogic’s or any of its Subsidiaries’ compliance with any Environmental Law in the future, except where such failure to comply would not reasonably be expected to have a Synlogic Material Adverse Effect. To the Knowledge of Synlogic: (a) no current or prior owner of any property leased or controlled by Synlogic or any of its Subsidiaries has received since January 1, 2023, any written notice or other communication relating to property owned or leased at any time by Synlogic or any of its Subsidiaries, whether from a Governmental Authority, citizens group, employee or otherwise, that alleges that such current or prior owner or Synlogic or any of its Subsidiaries is not in compliance with or violated any Environmental Law relating to such property and (b) neither Synlogic nor any of its Subsidiaries has any material Liability under any Environmental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4.20 </w:t>
      </w:r>
      <w:r>
        <w:rPr>
          <w:rFonts w:ascii="Times New Roman" w:hAnsi="Times New Roman"/>
          <w:sz w:val="20"/>
          <w:u w:val="single"/>
        </w:rPr>
        <w:t>Insurance</w:t>
      </w:r>
      <w:r>
        <w:rPr>
          <w:rFonts w:ascii="Times New Roman" w:hAnsi="Times New Roman"/>
          <w:sz w:val="20"/>
        </w:rPr>
        <w:t xml:space="preserve">. Synlogic has made available to Caldera accurate and complete copies of all material insurance policies and all material self-insurance programs and arrangements relating to the business, assets, liabilities and operations of Synlogic and its Subsidiaries. Each of such insurance policies is in full force and effect and Synlogic and its Subsidiaries are in compliance in all material respects with the terms thereof. Other than customary end of policy notifications from insurance carriers, since January 1, 2023, neither Synlogic nor any of its Subsidiaries has received any notice or other communication regarding any actual or possible: (a) cancellation or invalidation of any insurance policy or (b) refusal or denial of any coverage, reservation of rights or rejection of any material claim under any insurance policy. Each of Synlogic and its Subsidiaries has provided timely written notice to the appropriate insurance carrier(s) of each Legal Proceeding pending against Synlogic or such Subsidiary for which Synlogic or such Subsidiary has insurance coverage, and no such carrier has issued a denial of coverage or a reservation of rights with respect to any such Legal Proceeding, or informed Synlogic or any of its Subsidiaries of its intent to do so. </w:t>
      </w:r>
    </w:p>
    <w:p>
      <w:pPr>
        <w:pStyle w:val="TextBody"/>
        <w:bidi w:val="0"/>
        <w:spacing w:before="24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Transactions with Affiliates</w:t>
      </w:r>
      <w:r>
        <w:rPr>
          <w:rFonts w:ascii="Times New Roman" w:hAnsi="Times New Roman"/>
          <w:sz w:val="20"/>
        </w:rPr>
        <w:t xml:space="preserve">. Except as set forth in the Synlogic SEC Documents filed prior to the date of this Agreement, since the date of Synlogic’s last proxy statement filed with the SEC, no event has occurred that would be required to be reported by Synlogic pursuant to Item 404 of Regulation S-K promulgated by the SEC that has not otherwise been reported. </w:t>
      </w:r>
    </w:p>
    <w:p>
      <w:pPr>
        <w:pStyle w:val="TextBody"/>
        <w:bidi w:val="0"/>
        <w:spacing w:before="240" w:after="0"/>
        <w:jc w:val="left"/>
        <w:rPr>
          <w:rFonts w:ascii="Times New Roman" w:hAnsi="Times New Roman"/>
          <w:sz w:val="20"/>
        </w:rPr>
      </w:pPr>
      <w:r>
        <w:rPr>
          <w:rFonts w:ascii="Times New Roman" w:hAnsi="Times New Roman"/>
          <w:sz w:val="20"/>
        </w:rPr>
        <w:t xml:space="preserve">4.22 </w:t>
      </w:r>
      <w:r>
        <w:rPr>
          <w:rFonts w:ascii="Times New Roman" w:hAnsi="Times New Roman"/>
          <w:sz w:val="20"/>
          <w:u w:val="single"/>
        </w:rPr>
        <w:t>No Financial Advisors</w:t>
      </w:r>
      <w:r>
        <w:rPr>
          <w:rFonts w:ascii="Times New Roman" w:hAnsi="Times New Roman"/>
          <w:sz w:val="20"/>
        </w:rPr>
        <w:t xml:space="preserve">. Except as set forth on </w:t>
      </w:r>
      <w:r>
        <w:rPr>
          <w:rFonts w:ascii="Times New Roman" w:hAnsi="Times New Roman"/>
          <w:sz w:val="20"/>
          <w:u w:val="single"/>
        </w:rPr>
        <w:t>Section 4.22</w:t>
      </w:r>
      <w:r>
        <w:rPr>
          <w:rFonts w:ascii="Times New Roman" w:hAnsi="Times New Roman"/>
          <w:sz w:val="20"/>
        </w:rPr>
        <w:t xml:space="preserve"> of the Synlogic Disclosure Schedule, no broker, finder or investment banker is entitled to any brokerage fee, finder’s fee, opinion fee, success fee, transaction fee or other fee or commission in connection with the Contemplated Transactions based upon arrangements made by or on behalf of Synlogic. </w:t>
      </w:r>
    </w:p>
    <w:p>
      <w:pPr>
        <w:pStyle w:val="TextBody"/>
        <w:bidi w:val="0"/>
        <w:spacing w:before="240" w:after="0"/>
        <w:jc w:val="left"/>
        <w:rPr>
          <w:rFonts w:ascii="Times New Roman" w:hAnsi="Times New Roman"/>
          <w:sz w:val="20"/>
        </w:rPr>
      </w:pPr>
      <w:r>
        <w:rPr>
          <w:rFonts w:ascii="Times New Roman" w:hAnsi="Times New Roman"/>
          <w:sz w:val="20"/>
        </w:rPr>
        <w:t xml:space="preserve">4.23 </w:t>
      </w:r>
      <w:r>
        <w:rPr>
          <w:rFonts w:ascii="Times New Roman" w:hAnsi="Times New Roman"/>
          <w:sz w:val="20"/>
          <w:u w:val="single"/>
        </w:rPr>
        <w:t>Valid Issuance; No Bad Actor</w:t>
      </w:r>
      <w:r>
        <w:rPr>
          <w:rFonts w:ascii="Times New Roman" w:hAnsi="Times New Roman"/>
          <w:sz w:val="20"/>
        </w:rPr>
        <w:t>. The Parent Common Stock to be issued in the Mergers will, when issued in accordance with the provisions of this Agreement, be validly issued, fully paid and nonassessable. To the Knowledge of Synlogic, as of the date of this Agreement and as of the Closing, no “bad actor” disqualifying event described in Rule 506(d)(l)(i)-(viii) of the Securities Act (a “</w:t>
      </w:r>
      <w:r>
        <w:rPr>
          <w:rFonts w:ascii="Times New Roman" w:hAnsi="Times New Roman"/>
          <w:b/>
          <w:sz w:val="20"/>
        </w:rPr>
        <w:t>Disqualifying Event</w:t>
      </w:r>
      <w:r>
        <w:rPr>
          <w:rFonts w:ascii="Times New Roman" w:hAnsi="Times New Roman"/>
          <w:sz w:val="20"/>
        </w:rPr>
        <w:t xml:space="preserve">”) is applicable to Synlogic or, to Synlogic’s Knowledge, any Synlogic Covered Person, except for a Disqualifying Event as to which Rule 506(d)(2)(ii-iv) or (d)(3) of the Securities Act is applicable. </w:t>
      </w:r>
    </w:p>
    <w:p>
      <w:pPr>
        <w:pStyle w:val="TextBody"/>
        <w:bidi w:val="0"/>
        <w:spacing w:before="240" w:after="0"/>
        <w:jc w:val="left"/>
        <w:rPr>
          <w:rFonts w:ascii="Times New Roman" w:hAnsi="Times New Roman"/>
          <w:sz w:val="20"/>
        </w:rPr>
      </w:pPr>
      <w:r>
        <w:rPr>
          <w:rFonts w:ascii="Times New Roman" w:hAnsi="Times New Roman"/>
          <w:sz w:val="20"/>
        </w:rPr>
        <w:t xml:space="preserve">4.24 </w:t>
      </w:r>
      <w:r>
        <w:rPr>
          <w:rFonts w:ascii="Times New Roman" w:hAnsi="Times New Roman"/>
          <w:sz w:val="20"/>
          <w:u w:val="single"/>
        </w:rPr>
        <w:t>Privacy and Data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Synlogic and its Subsidiaries have complied with all applicable Privacy Laws and the applicable terms of any Synlogic Contracts relating to privacy, data security, collection or use of Personal Information of any individuals that interact with Synlogic or any of its Subsidiaries in connection with the operation of Synlogic’s and its Subsidiaries’ business, except for such noncompliance that has not had, and would not reasonably be expected to have, individually or in the aggregate, a Synlogic Material Adverse Effect. To the Knowledge of Synlogic, Synlogic has implemented and maintains commercially reasonable written policies and procedures (“</w:t>
      </w:r>
      <w:r>
        <w:rPr>
          <w:rFonts w:ascii="Times New Roman" w:hAnsi="Times New Roman"/>
          <w:b/>
          <w:sz w:val="20"/>
        </w:rPr>
        <w:t>Synlogic Privacy Policies</w:t>
      </w:r>
      <w:r>
        <w:rPr>
          <w:rFonts w:ascii="Times New Roman" w:hAnsi="Times New Roman"/>
          <w:sz w:val="20"/>
        </w:rPr>
        <w:t xml:space="preserve">”), satisfying the requirements of applicable Privacy Laws and Synlogic Contracts, concerning the privacy, data security, collection and use of Personal Information and has complied with the same, except for such noncompliance that has not to the Knowledge of Synlogic had, and would not reasonably be expected to have, individually or in the aggregate, a Synlogic Material Adverse Effect. To the Knowledge of Synlogic, as of the date hereof, no claims have been asserted or threatened against Synlogic by any Person alleging a violation of Privacy Laws, Synlogic Privacy Policies and/or the applicable terms of any Synlogic Contracts relating to data privacy, security, collection or use of Personal Information of any individuals and Synlogic has not received written notice of any of the same. To the Knowledge of Synlogic, there have been no data security incidents, personal data breaches or incidents related to Personal Information or Synlogic data in the custody or control of Synlogic or any service provider acting on behalf of Synlogic, in each case where such incident, breach or event would result in a notification obligation to any Person under applicable law or pursuant to the terms of any Synlogic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information technology assets and equipment of Synlogic and its Subsidiaries (collectively, “</w:t>
      </w:r>
      <w:r>
        <w:rPr>
          <w:rFonts w:ascii="Times New Roman" w:hAnsi="Times New Roman"/>
          <w:b/>
          <w:sz w:val="20"/>
        </w:rPr>
        <w:t>Synlogic IT Systems</w:t>
      </w:r>
      <w:r>
        <w:rPr>
          <w:rFonts w:ascii="Times New Roman" w:hAnsi="Times New Roman"/>
          <w:sz w:val="20"/>
        </w:rPr>
        <w:t xml:space="preserve">”) are adequate for, and operate and perform in all material respects as required in connection with the operation of the business of Synlogic and its Subsidiaries as currently conducted, and to the Knowledge of Synlogic, free and clear of all material bugs, errors, defects, Trojan horses, time bombs, malware and other corruptants. Synlogic and its Subsidiaries have implemented and maintain commercially reasonable physical, technical and administrative safeguards designed to protect Personal Information processed by or on behalf of Synlogic and its Subsidiaries, any other material confidential information and the security of Synlogic IT Systems used in connection with their businesses, and during the past three years, there have been no breaches, violations, or unauthorized uses of or accesses to same, except for those that have been remedied without material cost or liability or the duty to notify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4.25 </w:t>
      </w:r>
      <w:r>
        <w:rPr>
          <w:rFonts w:ascii="Times New Roman" w:hAnsi="Times New Roman"/>
          <w:sz w:val="20"/>
          <w:u w:val="single"/>
        </w:rPr>
        <w:t>No Other Representations or Warranties</w:t>
      </w:r>
      <w:r>
        <w:rPr>
          <w:rFonts w:ascii="Times New Roman" w:hAnsi="Times New Roman"/>
          <w:sz w:val="20"/>
        </w:rPr>
        <w:t xml:space="preserve">. Synlogic and its Subsidiaries hereby acknowledge and agree that, except for the representations and warranties contained in this Agreement, neither Caldera nor any of its Subsidiaries nor any other person on behalf of Caldera or its Subsidiaries makes any express or implied representation or warranty with respect to Caldera or its Subsidiaries or with respect to any other information provided to Synlogic, its stockholders or any of its Affiliates in connection with the Contemplated Transactions, and (subject to the express representations and warranties of Caldera set forth in </w:t>
      </w:r>
      <w:r>
        <w:rPr>
          <w:rFonts w:ascii="Times New Roman" w:hAnsi="Times New Roman"/>
          <w:sz w:val="20"/>
          <w:u w:val="single"/>
        </w:rPr>
        <w:t>Article III</w:t>
      </w:r>
      <w:r>
        <w:rPr>
          <w:rFonts w:ascii="Times New Roman" w:hAnsi="Times New Roman"/>
          <w:sz w:val="20"/>
        </w:rPr>
        <w:t xml:space="preserve"> (in each case as qualified and limited by the Caldera Disclosure Schedule)) none of Synlogic, its Representatives, stockholders or members, has relied on any such information (including the accuracy or completeness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w:t>
      </w:r>
    </w:p>
    <w:p>
      <w:pPr>
        <w:pStyle w:val="TextBody"/>
        <w:bidi w:val="0"/>
        <w:spacing w:before="240" w:after="0"/>
        <w:jc w:val="left"/>
        <w:rPr>
          <w:rFonts w:ascii="Times New Roman" w:hAnsi="Times New Roman"/>
          <w:sz w:val="20"/>
        </w:rPr>
      </w:pPr>
      <w:r>
        <w:rPr>
          <w:rFonts w:ascii="Times New Roman" w:hAnsi="Times New Roman"/>
          <w:sz w:val="20"/>
        </w:rPr>
        <w:t xml:space="preserve">Parent represents and warrants to Caldera and Synlogic as follows: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Due Organization</w:t>
      </w:r>
      <w:r>
        <w:rPr>
          <w:rFonts w:ascii="Times New Roman" w:hAnsi="Times New Roman"/>
          <w:sz w:val="20"/>
        </w:rPr>
        <w:t xml:space="preserve">. Parent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Authority; Binding Nature of Agreement</w:t>
      </w:r>
      <w:r>
        <w:rPr>
          <w:rFonts w:ascii="Times New Roman" w:hAnsi="Times New Roman"/>
          <w:sz w:val="20"/>
        </w:rPr>
        <w:t xml:space="preserve">. Parent has all necessary corporate power and authority to enter into and to perform its obligations under this Agreement and to consummate the Contemplated Transactions. The Parent Board (at a meeting duly called and held or by written consent in lieu thereof in accordance with the Organizational Documents of Parent) has (i) determined that the Contemplated Transactions are fair to, advisable and in the best interests of Parent and its stockholders, (ii) approved and declared advisable this Agreement and the Contemplated Transactions, and (iii) determined to recommend, upon the terms and subject to the conditions set forth in this Agreement, that its stockholder vote to approve the Mergers. This Agreement has been duly executed and delivered by Parent, and assuming the due authorization, execution and delivery by Synlogic, Caldera, Synlogic Merger Sub and Caldera Merger Sub, constitutes the legal, valid and binding obligation of Parent, enforceable against Parent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No Vote of Parent Stockholders; Required Approval</w:t>
      </w:r>
      <w:r>
        <w:rPr>
          <w:rFonts w:ascii="Times New Roman" w:hAnsi="Times New Roman"/>
          <w:sz w:val="20"/>
        </w:rPr>
        <w:t xml:space="preserve">. The vote or Consent of Synlogic as the sole stockholder of Parent is the only vote or consent of the holders of any class or series of capital stock of Parent necessary to approve the Mergers and adopt this Agreement, which Consent shall be given immediately following the execution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Litigation</w:t>
      </w:r>
      <w:r>
        <w:rPr>
          <w:rFonts w:ascii="Times New Roman" w:hAnsi="Times New Roman"/>
          <w:sz w:val="20"/>
        </w:rPr>
        <w:t xml:space="preserve">. There are no Legal Proceedings pending, or, to the Knowledge of Parent, threatened in writing, that would reasonably be expected to be material to Parent. Parent is not subject to any Order.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Absence of Certain Agreements</w:t>
      </w:r>
      <w:r>
        <w:rPr>
          <w:rFonts w:ascii="Times New Roman" w:hAnsi="Times New Roman"/>
          <w:sz w:val="20"/>
        </w:rPr>
        <w:t xml:space="preserve">. As of the date hereof, other than the Caldera Stockholder Support Agreements, the Synlogic Stockholder Support Agreements and the Securities Purchase Agreement, neither Parent nor any of its respective Affiliates has entered into any agreement, arrangement or understanding (in each case, whether oral or written), or authorized, committed or agreed to enter into any agreement, arrangement or understanding (in each case, whether oral or written), (i) pursuant to which any stockholder of the Synlogic would be entitled to receive, in respect of any share of Parent Common Stock, consideration of a different amount or nature than the Synlogic Merger Shares or pursuant to which any stockholder of the Synlogic has agreed to vote to adopt this Agreement or has agreed to vote against any Superior Offer or (ii) pursuant to which any stockholder of the Synlogic or any of its Subsidiaries has agreed to make an investment in, or contribution to, Parent in connection with the transactions contemplated by this Agreement. As of the date hereof, other than the Caldera Stockholder Support Agreements, the Synlogic Stockholder Support Agreements, the Lock-Up Agreement and the Securities Purchase Agreement, there are no agreements, arrangements or understandings (in each case, whether oral or written) between Synlogic and Parent or any of their respective Affiliates, on the one hand, and any member of the Synlogic’s management or directors, on the other hand, that relate in any way to, or are in connection with, the Contemplated Transactions or the operations of the Parent, Synlogic or any of their Subsidiaries or, following the Synlogic Effective Time, the Synlogic Merger Surviving Corporation or any of its Subsidiaries. None of Parent nor any of its Affiliates (which for this purpose will be deemed to include each direct investor in Synlogic, Parent, Caldera Merger Sub and Synlogic Merger Sub) has entered into any Contract with any Person prohibiting or seeking to prohibit such Person from providing or seeking to provide debt financing to any Person in connection with a transaction involving the Synlogic or any of its Subsidiaries in connection with the Mergers.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Stock Ownership</w:t>
      </w:r>
      <w:r>
        <w:rPr>
          <w:rFonts w:ascii="Times New Roman" w:hAnsi="Times New Roman"/>
          <w:sz w:val="20"/>
        </w:rPr>
        <w:t xml:space="preserve">. Parent does not own any shares of capital stock of Caldera. None of Parent nor any of its respective Affiliates is an “interested stockholder” of Caldera as defined in Section 203(c) of Delaware Law.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Brokers’ Fees</w:t>
      </w:r>
      <w:r>
        <w:rPr>
          <w:rFonts w:ascii="Times New Roman" w:hAnsi="Times New Roman"/>
          <w:sz w:val="20"/>
        </w:rPr>
        <w:t xml:space="preserve">. There is no investment banker, broker, finder or other agent or intermediary that has been retained by or is authorized to act on behalf of Parent or any of its Affiliates, or any of their respective officers or directors in their capacities as officers or directors, who is entitled to any advisory, banking, broker’s, finder’s or similar fee or commission in connection with the Contemplated Transactions, for which Caldera or Synlogic or any of their Subsidiaries would be liable.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Parent Information</w:t>
      </w:r>
      <w:r>
        <w:rPr>
          <w:rFonts w:ascii="Times New Roman" w:hAnsi="Times New Roman"/>
          <w:sz w:val="20"/>
        </w:rPr>
        <w:t xml:space="preserve">. The written information supplied or to be supplied by Parent specifically for inclusion in the Synlogic Proxy Statement will not, at the time the Synlogic Proxy Statement (and any amendment or supplement thereto) is first filed with the SEC and at the time it is first disseminated to the stockholders of the Synlogic, contain any untrue statement of a material fact or omit to state any material fact required to be stated therein or necessary to make the statements therein, in light of the circumstances under which they are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Conduct of Caldera’s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expressly contemplated or permitted by this Agreement, as required by applicable Law or unless Synlogic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the Synlogic Effective Time (the “</w:t>
      </w:r>
      <w:r>
        <w:rPr>
          <w:rFonts w:ascii="Times New Roman" w:hAnsi="Times New Roman"/>
          <w:b/>
          <w:sz w:val="20"/>
        </w:rPr>
        <w:t>Pre-Closing Period</w:t>
      </w:r>
      <w:r>
        <w:rPr>
          <w:rFonts w:ascii="Times New Roman" w:hAnsi="Times New Roman"/>
          <w:sz w:val="20"/>
        </w:rPr>
        <w:t xml:space="preserve">”), Caldera shall, and shall cause its Subsidiaries to, use commercially reasonable efforts to conduct its business and operations in the ordinary course of business and consistent with past practice and in material compliance with the applicable Law and the requirements of all Contracts that constitute Caldera Material Contracts. </w:t>
      </w:r>
    </w:p>
    <w:p>
      <w:pPr>
        <w:pStyle w:val="TextBody"/>
        <w:bidi w:val="0"/>
        <w:spacing w:before="240" w:after="0"/>
        <w:jc w:val="left"/>
        <w:rPr>
          <w:rFonts w:ascii="Times New Roman" w:hAnsi="Times New Roman"/>
          <w:sz w:val="20"/>
        </w:rPr>
      </w:pPr>
      <w:r>
        <w:rPr>
          <w:rFonts w:ascii="Times New Roman" w:hAnsi="Times New Roman"/>
          <w:sz w:val="20"/>
        </w:rPr>
        <w:t xml:space="preserve">(b) Except (A) as expressly contemplated or permitted by this Agreement, (B) as set forth in </w:t>
      </w:r>
      <w:r>
        <w:rPr>
          <w:rFonts w:ascii="Times New Roman" w:hAnsi="Times New Roman"/>
          <w:sz w:val="20"/>
          <w:u w:val="single"/>
        </w:rPr>
        <w:t>Section 6.1(b)</w:t>
      </w:r>
      <w:r>
        <w:rPr>
          <w:rFonts w:ascii="Times New Roman" w:hAnsi="Times New Roman"/>
          <w:sz w:val="20"/>
        </w:rPr>
        <w:t xml:space="preserve"> of the Caldera Disclosure Schedule, (C) as required by applicable Law or (D) with the prior written consent of Synlogic (which consent shall not be unreasonably withheld, delayed or conditioned), at all times during the Pre-Closing Period, Caldera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amend or otherwise change its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(ii) sell, lease, license or otherwise dispose of any material assets of Caldera or any of its Subsidiaries, or in either case, any interests therein, except (i) pursuant to existing Contracts, (ii) for sales or licensing of products to customers or (iii) otherwise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(iii) except for the Caldera Preferred Stock Conversion, the Concurrent Financing, and the issuance of securities under this Agreement, take any action with respect to any equity interests of Caldera or any of its Subsidiaries, including any issuance, sale, transfer, redemption, repurchase, recapitalization, adjustment, split, combination, reclassification, dividend, distribution or any other action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(iv) create, incur, assume, guarantee or repay (other than any mandatory repayments) any indebtedness, other than the incurrence of indebtedness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 issue, deliver, sell, grant, pledge, transfer, subject to any Encumbrance or dispose of any Caldera Capital Stock or the securities of any Subsidiary of Caldera; </w:t>
      </w:r>
    </w:p>
    <w:p>
      <w:pPr>
        <w:pStyle w:val="TextBody"/>
        <w:bidi w:val="0"/>
        <w:spacing w:before="240" w:after="0"/>
        <w:jc w:val="left"/>
        <w:rPr>
          <w:rFonts w:ascii="Times New Roman" w:hAnsi="Times New Roman"/>
          <w:sz w:val="20"/>
        </w:rPr>
      </w:pPr>
      <w:r>
        <w:rPr>
          <w:rFonts w:ascii="Times New Roman" w:hAnsi="Times New Roman"/>
          <w:sz w:val="20"/>
        </w:rPr>
        <w:t xml:space="preserve">(vi) create or otherwise incur any Encumbrance on any material asset of Caldera or any of its Subsidiaries,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(vii) make any loans, advances or capital contributions to, or investments in, any Person other than trade payables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(viii) adversely amend or otherwise adversely modify in any material respect or terminate (excluding any expiration in accordance with its terms) any Contract listed in </w:t>
      </w:r>
      <w:r>
        <w:rPr>
          <w:rFonts w:ascii="Times New Roman" w:hAnsi="Times New Roman"/>
          <w:sz w:val="20"/>
          <w:u w:val="single"/>
        </w:rPr>
        <w:t>Section 3.13</w:t>
      </w:r>
      <w:r>
        <w:rPr>
          <w:rFonts w:ascii="Times New Roman" w:hAnsi="Times New Roman"/>
          <w:sz w:val="20"/>
        </w:rPr>
        <w:t xml:space="preserve"> of the Caldera Disclosure Schedule, other than any amendment or modification entered into in the Ordinary Course of Business and containing terms not materially less favorable to Caldera or any of its Subsidiaries than the terms of such Contract in effect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(ix) enter into any Contract that would be required to be disclosed in </w:t>
      </w:r>
      <w:r>
        <w:rPr>
          <w:rFonts w:ascii="Times New Roman" w:hAnsi="Times New Roman"/>
          <w:sz w:val="20"/>
          <w:u w:val="single"/>
        </w:rPr>
        <w:t>Section 3.13</w:t>
      </w:r>
      <w:r>
        <w:rPr>
          <w:rFonts w:ascii="Times New Roman" w:hAnsi="Times New Roman"/>
          <w:sz w:val="20"/>
        </w:rPr>
        <w:t xml:space="preserve"> of the Caldera Disclosure Schedule if such Contract were in effect as of the date of this Agreement (it being understood that (A) the entry of any such Contract in the Ordinary Course of Business shall be permitted so long as such Contract does not contains terms of the type described in clauses </w:t>
      </w:r>
      <w:r>
        <w:rPr>
          <w:rFonts w:ascii="Times New Roman" w:hAnsi="Times New Roman"/>
          <w:sz w:val="20"/>
          <w:u w:val="single"/>
        </w:rPr>
        <w:t>(v) or</w:t>
      </w:r>
      <w:r>
        <w:rPr>
          <w:rFonts w:ascii="Times New Roman" w:hAnsi="Times New Roman"/>
          <w:sz w:val="20"/>
        </w:rPr>
        <w:t xml:space="preserve"> </w:t>
      </w:r>
      <w:r>
        <w:rPr>
          <w:rFonts w:ascii="Times New Roman" w:hAnsi="Times New Roman"/>
          <w:sz w:val="20"/>
          <w:u w:val="single"/>
        </w:rPr>
        <w:t>(vi)</w:t>
      </w:r>
      <w:r>
        <w:rPr>
          <w:rFonts w:ascii="Times New Roman" w:hAnsi="Times New Roman"/>
          <w:sz w:val="20"/>
        </w:rPr>
        <w:t xml:space="preserve"> of </w:t>
      </w:r>
      <w:r>
        <w:rPr>
          <w:rFonts w:ascii="Times New Roman" w:hAnsi="Times New Roman"/>
          <w:sz w:val="20"/>
          <w:u w:val="single"/>
        </w:rPr>
        <w:t>Section 3.13(a)</w:t>
      </w:r>
      <w:r>
        <w:rPr>
          <w:rFonts w:ascii="Times New Roman" w:hAnsi="Times New Roman"/>
          <w:sz w:val="20"/>
        </w:rPr>
        <w:t xml:space="preserve"> and (B) Caldera may enter into securities purchase agreements to issue shares of Caldera Common Stock in the Concurrent Financing immediately prior to the Caldera Effective Time at a per share price that is not less than the per share price provided in the Securities Purchase Agreement and on terms and conditions substantially similar to the terms and conditions of the Securities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except as required by any Caldera Employee Plan or applicable Law, (i) increase any salary, wage or other compensation or benefit to, or enter into or amend any employment, retention, change-in-control, termination or severance agreement with, any Caldera Associate, other than annual increases in base compensation in the Ordinary Course of Business with respect to employees whose annual base compensation is less than $250,000 and provided that such increases do not, individually or in the aggregate, result in any material increase in costs, obligations or liabilities for Caldera and its Subsidiaries, (ii) grant or pay any bonuses to any Caldera Associate (other than pursuant to existing bonus programs or arrangements set forth on </w:t>
      </w:r>
      <w:r>
        <w:rPr>
          <w:rFonts w:ascii="Times New Roman" w:hAnsi="Times New Roman"/>
          <w:sz w:val="20"/>
          <w:u w:val="single"/>
        </w:rPr>
        <w:t>Section 3.17(a)</w:t>
      </w:r>
      <w:r>
        <w:rPr>
          <w:rFonts w:ascii="Times New Roman" w:hAnsi="Times New Roman"/>
          <w:sz w:val="20"/>
        </w:rPr>
        <w:t xml:space="preserve"> of the Caldera Disclosure Schedules), (iii) establish, enter into or adopt any new material Caldera Employee Plan or any plan, program, policy, agreement or arrangement that would be a material Caldera Employee Plan if it was in effect on the date hereof or amend or modify, in a manner that would, individually or in the aggregate, materially increase costs, obligations or liabilities for Caldera and its Subsidiaries or the Surviving Corporation, any existing Caldera Employee Plan or accelerate the vesting of any compensation (including stock options, restricted stock, restricted stock units, phantom units, warrants, other shares of capital stock or rights of any kind to acquire any shares of capital stock or equity-based awards) for the benefit of any Caldera Associate, (iv) grant to any Caldera Associate any right to receive, or pay to any Caldera Associate, any severance, change in control, transaction, retention, termination or similar compensation or benefits or increases therein, (v) take any action to accelerate any payment or benefit, or the funding of any payment or benefit, payable or to be provided to any Caldera Associate, (vi) grant any new long-term incentive or equity-based awards, or amend or modify the terms of any such outstanding awards other than in the Ordinary Course of Business to newly hired employees or (vii) hire, terminate (other than for cause), promote or change the employment status or title of any Caldera Associate except that in each case for (i) through (vii) in this Section 6.1(b)(x), Caldera shall be permitted to take any action as set forth herein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(xi) adopt, enter into, amend or terminate any collective bargaining agreement or Contract with any labor union, works council or labor organization; </w:t>
      </w:r>
    </w:p>
    <w:p>
      <w:pPr>
        <w:pStyle w:val="TextBody"/>
        <w:bidi w:val="0"/>
        <w:spacing w:before="240" w:after="0"/>
        <w:jc w:val="left"/>
        <w:rPr>
          <w:rFonts w:ascii="Times New Roman" w:hAnsi="Times New Roman"/>
          <w:sz w:val="20"/>
        </w:rPr>
      </w:pPr>
      <w:r>
        <w:rPr>
          <w:rFonts w:ascii="Times New Roman" w:hAnsi="Times New Roman"/>
          <w:sz w:val="20"/>
        </w:rPr>
        <w:t xml:space="preserve">(xii) settle any material Legal Proceeding involving Caldera or any of its Subsidiaries or relating to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(xiii) make or change any material Tax election, change any annual Tax accounting period, enter into any closing agreement with a Governmental Authority with respect to material Taxes or settle any Tax claim with respect to material Taxes, in each case, except if such action would not reasonably be expected to have a material and adverse effect on Caldera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(xiv) take any action, or knowingly fail to take any action, where such action or failure to act would reasonably be expected to prevent the Mergers from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(xv) make any material change in any method of financial accounting or financial accounting practice of Caldera or any of its Subsidiaries, except for any such change required by reason of a change in GAAP or other applicable financial accounting standards; </w:t>
      </w:r>
    </w:p>
    <w:p>
      <w:pPr>
        <w:pStyle w:val="TextBody"/>
        <w:bidi w:val="0"/>
        <w:spacing w:before="240" w:after="0"/>
        <w:jc w:val="left"/>
        <w:rPr>
          <w:rFonts w:ascii="Times New Roman" w:hAnsi="Times New Roman"/>
          <w:sz w:val="20"/>
        </w:rPr>
      </w:pPr>
      <w:r>
        <w:rPr>
          <w:rFonts w:ascii="Times New Roman" w:hAnsi="Times New Roman"/>
          <w:sz w:val="20"/>
        </w:rPr>
        <w:t xml:space="preserve">(xvi) other than in connection with actions contemplated by this Agreement, adopt, approve, consent to or propose any change in the Organizational Documents of Caldera or any of its Subsidiaries; or </w:t>
      </w:r>
    </w:p>
    <w:p>
      <w:pPr>
        <w:pStyle w:val="TextBody"/>
        <w:bidi w:val="0"/>
        <w:spacing w:before="240" w:after="0"/>
        <w:jc w:val="left"/>
        <w:rPr>
          <w:rFonts w:ascii="Times New Roman" w:hAnsi="Times New Roman"/>
          <w:sz w:val="20"/>
        </w:rPr>
      </w:pPr>
      <w:r>
        <w:rPr>
          <w:rFonts w:ascii="Times New Roman" w:hAnsi="Times New Roman"/>
          <w:sz w:val="20"/>
        </w:rPr>
        <w:t xml:space="preserve">(xvii) agree or commit to do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Nothing contained in this Agreement shall give Parent or Synlogic, directly or indirectly, the right to control or direct the operations of Caldera prior to the Caldera Effective Time. Prior to the Caldera Effective Time, Caldera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Conduct of Synlogic’s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expressly contemplated or permitted by this Agreement, as required by applicable Law or unless Caldera shall otherwise consent in writing (which consent shall not be unreasonably withheld, delayed or conditioned), during the Pre-Closing Period, Synlogic shall, and shall cause its Subsidiaries to, use commercially reasonable efforts to conduct its business and operations in the ordinary course of business and consistent with past practice and in material compliance with the applicable Law and the requirements of all Contracts that constitute Synlogic Material Contracts. </w:t>
      </w:r>
    </w:p>
    <w:p>
      <w:pPr>
        <w:pStyle w:val="TextBody"/>
        <w:bidi w:val="0"/>
        <w:spacing w:before="240" w:after="0"/>
        <w:jc w:val="left"/>
        <w:rPr>
          <w:rFonts w:ascii="Times New Roman" w:hAnsi="Times New Roman"/>
          <w:sz w:val="20"/>
        </w:rPr>
      </w:pPr>
      <w:r>
        <w:rPr>
          <w:rFonts w:ascii="Times New Roman" w:hAnsi="Times New Roman"/>
          <w:sz w:val="20"/>
        </w:rPr>
        <w:t xml:space="preserve">(b) Except (A) as expressly contemplated or permitted by this Agreement, (B) as set forth in </w:t>
      </w:r>
      <w:r>
        <w:rPr>
          <w:rFonts w:ascii="Times New Roman" w:hAnsi="Times New Roman"/>
          <w:sz w:val="20"/>
          <w:u w:val="single"/>
        </w:rPr>
        <w:t>Section 6.2(b)</w:t>
      </w:r>
      <w:r>
        <w:rPr>
          <w:rFonts w:ascii="Times New Roman" w:hAnsi="Times New Roman"/>
          <w:sz w:val="20"/>
        </w:rPr>
        <w:t xml:space="preserve"> of the Synlogic Disclosure Schedule, (C) as required by applicable Law or (D) with the prior written consent of Caldera (which consent shall not be unreasonably withheld, delayed or conditioned), at all times during the Pre-Closing Period, Synlogic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except in connection with the Annual Meeting Synlogic Stockholder Vote or the Synlogic Reverse Stock Split, amend or otherwise change its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(ii) sell, lease, license or otherwise dispose of any material assets (other than Intellectual Property) of Synlogic or any of its Subsidiaries, or in either case, any interests therein, except (i) pursuant to existing Contracts, (ii) for sales or licensing of products to customers or (iii) otherwise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(iii) except in connection with the Synlogic Reverse Stock Split and the issuance of securities under this Agreement, take any action with respect to any equity interests of Synlogic or any of its Subsidiaries, including any issuance, sale, transfer, redemption, repurchase, recapitalization, adjustment, split, combination, reclassification, dividend, distribution or any other action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(iv) create, incur, assume, guarantee or repay (other than any mandatory repayments) any indebtedness, other than the incurrence of indebtedness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 issue, deliver, sell, grant, pledge, transfer, subject to any Encumbrance or dispose of any Synlogic Common Stock or the securities of any Subsidiary of Synlogic; </w:t>
      </w:r>
    </w:p>
    <w:p>
      <w:pPr>
        <w:pStyle w:val="TextBody"/>
        <w:bidi w:val="0"/>
        <w:spacing w:before="240" w:after="0"/>
        <w:jc w:val="left"/>
        <w:rPr>
          <w:rFonts w:ascii="Times New Roman" w:hAnsi="Times New Roman"/>
          <w:sz w:val="20"/>
        </w:rPr>
      </w:pPr>
      <w:r>
        <w:rPr>
          <w:rFonts w:ascii="Times New Roman" w:hAnsi="Times New Roman"/>
          <w:sz w:val="20"/>
        </w:rPr>
        <w:t xml:space="preserve">(vi) create or otherwise incur any Encumbrance on any material asset of Synlogic or any of its Subsidiaries,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(vii) make any loans, advances or capital contributions to, or investments in, any Person other than trade payables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(viii) adversely amend or otherwise adversely modify in any material respect or terminate (excluding any expiration in accordance with its terms) any Contract listed in </w:t>
      </w:r>
      <w:r>
        <w:rPr>
          <w:rFonts w:ascii="Times New Roman" w:hAnsi="Times New Roman"/>
          <w:sz w:val="20"/>
          <w:u w:val="single"/>
        </w:rPr>
        <w:t>Section 4.13</w:t>
      </w:r>
      <w:r>
        <w:rPr>
          <w:rFonts w:ascii="Times New Roman" w:hAnsi="Times New Roman"/>
          <w:sz w:val="20"/>
        </w:rPr>
        <w:t xml:space="preserve"> of the Synlogic Disclosure Schedule, other than any amendment or modification entered into in the Ordinary Course of Business and containing terms, not materially less favorable to Synlogic or any of its Subsidiaries than the terms of such Contract in effect as of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enter into any Contract that would be required to be disclosed in </w:t>
      </w:r>
      <w:r>
        <w:rPr>
          <w:rFonts w:ascii="Times New Roman" w:hAnsi="Times New Roman"/>
          <w:sz w:val="20"/>
          <w:u w:val="single"/>
        </w:rPr>
        <w:t>Section 4.13</w:t>
      </w:r>
      <w:r>
        <w:rPr>
          <w:rFonts w:ascii="Times New Roman" w:hAnsi="Times New Roman"/>
          <w:sz w:val="20"/>
        </w:rPr>
        <w:t xml:space="preserve"> of the Synlogic Disclosure Schedule if such Contract were in effect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 except as required by any Synlogic Employee Plan or applicable Law, (i) increase any salary, wage or other compensation or benefit to, or enter into or amend any employment, retention, change-in-control, termination or severance agreement with, any Synlogic Associate, (ii) grant or pay any bonuses to any Synlogic Associate (other than pursuant to existing bonus programs or arrangements set forth on </w:t>
      </w:r>
      <w:r>
        <w:rPr>
          <w:rFonts w:ascii="Times New Roman" w:hAnsi="Times New Roman"/>
          <w:sz w:val="20"/>
          <w:u w:val="single"/>
        </w:rPr>
        <w:t>Section 4.18(a)</w:t>
      </w:r>
      <w:r>
        <w:rPr>
          <w:rFonts w:ascii="Times New Roman" w:hAnsi="Times New Roman"/>
          <w:sz w:val="20"/>
        </w:rPr>
        <w:t xml:space="preserve"> of the Synlogic Disclosure Schedules), (iii) establish, enter into or adopt any new Synlogic Employee Plan or any plan, program, policy, agreement or arrangement that would be a material Synlogic Employee Plan if it was in effect on the date hereof or amend or modify, in a manner that would, individually or in the aggregate, materially increase costs, obligations or liabilities for Synlogic and its Subsidiaries or the Surviving Corporation, any existing Synlogic Employee Plan or accelerate the vesting of any compensation (including stock options, restricted stock, restricted stock units, phantom units, warrants, other shares of capital stock or rights of any kind to acquire any shares of capital stock or equity-based awards) for the benefit of any Synlogic Associate, (iv) grant to any Synlogic Associate any right to receive, or pay to any Synlogic Associate, any severance, change in control, transaction, retention, termination or similar compensation or benefits or increases therein, (v) take any action to accelerate any payment or benefit, or the funding of any payment or benefit, payable or to be provided to any Synlogic Associate, (vi) grant any new long-term incentive or equity-based awards, or amend or modify the terms of any such outstanding awards or (vii) hire, terminate (other than for cause), promote or change the employment status or title of any Synlogic Associate; </w:t>
      </w:r>
    </w:p>
    <w:p>
      <w:pPr>
        <w:pStyle w:val="TextBody"/>
        <w:bidi w:val="0"/>
        <w:spacing w:before="240" w:after="0"/>
        <w:jc w:val="left"/>
        <w:rPr>
          <w:rFonts w:ascii="Times New Roman" w:hAnsi="Times New Roman"/>
          <w:sz w:val="20"/>
        </w:rPr>
      </w:pPr>
      <w:r>
        <w:rPr>
          <w:rFonts w:ascii="Times New Roman" w:hAnsi="Times New Roman"/>
          <w:sz w:val="20"/>
        </w:rPr>
        <w:t xml:space="preserve">(xi) adopt, enter into, amend or terminate any collective bargaining agreement or Contract with any labor union, works council or labor organization; </w:t>
      </w:r>
    </w:p>
    <w:p>
      <w:pPr>
        <w:pStyle w:val="TextBody"/>
        <w:bidi w:val="0"/>
        <w:spacing w:before="240" w:after="0"/>
        <w:jc w:val="left"/>
        <w:rPr>
          <w:rFonts w:ascii="Times New Roman" w:hAnsi="Times New Roman"/>
          <w:sz w:val="20"/>
        </w:rPr>
      </w:pPr>
      <w:r>
        <w:rPr>
          <w:rFonts w:ascii="Times New Roman" w:hAnsi="Times New Roman"/>
          <w:sz w:val="20"/>
        </w:rPr>
        <w:t xml:space="preserve">(xii) settle any material Legal Proceeding involving Synlogic or any of its Subsidiaries or relating to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(xiii) make or change any material Tax election, change any annual Tax accounting period, enter into any closing agreement with a Governmental Authority with respect to material Taxes or settle any Tax claim with respect to material Taxes, in each case, except if such action would not reasonably be expected to have a material and adverse effect on Synlogic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(xiv) take any action, or knowingly fail to take any action, where such action or failure to act would reasonably be expected to prevent the Mergers from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(xv) make any material change in any method of financial accounting or financial accounting practice of Synlogic or any of its Subsidiaries, except for any such change required by reason of a change in GAAP or other applicable financial accounting standards; </w:t>
      </w:r>
    </w:p>
    <w:p>
      <w:pPr>
        <w:pStyle w:val="TextBody"/>
        <w:bidi w:val="0"/>
        <w:spacing w:before="240" w:after="0"/>
        <w:jc w:val="left"/>
        <w:rPr>
          <w:rFonts w:ascii="Times New Roman" w:hAnsi="Times New Roman"/>
          <w:sz w:val="20"/>
        </w:rPr>
      </w:pPr>
      <w:r>
        <w:rPr>
          <w:rFonts w:ascii="Times New Roman" w:hAnsi="Times New Roman"/>
          <w:sz w:val="20"/>
        </w:rPr>
        <w:t xml:space="preserve">(xvi) other than in connection with actions contemplated by this Agreement, adopt, approve, consent to or propose any change in the Organizational Documents of Synlogic or any of its Subsidiaries; or </w:t>
      </w:r>
    </w:p>
    <w:p>
      <w:pPr>
        <w:pStyle w:val="TextBody"/>
        <w:bidi w:val="0"/>
        <w:spacing w:before="240" w:after="0"/>
        <w:jc w:val="left"/>
        <w:rPr>
          <w:rFonts w:ascii="Times New Roman" w:hAnsi="Times New Roman"/>
          <w:sz w:val="20"/>
        </w:rPr>
      </w:pPr>
      <w:r>
        <w:rPr>
          <w:rFonts w:ascii="Times New Roman" w:hAnsi="Times New Roman"/>
          <w:sz w:val="20"/>
        </w:rPr>
        <w:t xml:space="preserve">(xvii) agree or commit to do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Nothing contained in this Agreement shall give Caldera, directly or indirectly, the right to control or direct the operations of Synlogic prior to the Synlogic Effective Time. Prior to the Synlogic Effective Time, Synlogic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Conduct of Parent’s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expressly contemplated or permitted by this Agreement, as required by applicable Law or unless Caldera shall otherwise consent in writing (which consent shall not be unreasonably withheld, delayed or conditioned), during the Pre-Closing Period, Parent shall, and shall cause its Subsidiaries to, use commercially reasonable efforts to conduct its business and operations in the ordinary course of business and consistent with past practice and in material compliance with the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Except (A) as expressly contemplated or permitted by this Agreement, (B) as required by applicable Law or (C) with the prior written consent of Caldera (which consent shall not be unreasonably withheld, delayed or conditioned), at all times during the Pre-Closing Period, Parent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sell, lease, license or otherwise dispose of any material assets of Parent, or in either case, any interests therein, except (i) pursuant to existing Contracts, (ii) for sales or licensing of products to customers or (iii) otherwise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(ii) take any action with respect to any equity interests of Parent or any of its Subsidiaries, including any issuance, sale, transfer, redemption, repurchase, recapitalization, adjustment, split, combination, reclassification, dividend, distribution or any other action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(iii) create, incur, assume, guarantee or repay (other than any mandatory repayments) any indebtedness; </w:t>
      </w:r>
    </w:p>
    <w:p>
      <w:pPr>
        <w:pStyle w:val="TextBody"/>
        <w:bidi w:val="0"/>
        <w:spacing w:before="240" w:after="0"/>
        <w:jc w:val="left"/>
        <w:rPr>
          <w:rFonts w:ascii="Times New Roman" w:hAnsi="Times New Roman"/>
          <w:sz w:val="20"/>
        </w:rPr>
      </w:pPr>
      <w:r>
        <w:rPr>
          <w:rFonts w:ascii="Times New Roman" w:hAnsi="Times New Roman"/>
          <w:sz w:val="20"/>
        </w:rPr>
        <w:t xml:space="preserve">(iv) issue, deliver, sell, grant, pledge, transfer, subject to any Encumbrance or dispose of any Parent Common Stock or the securities of any Subsidiary of Parent; </w:t>
      </w:r>
    </w:p>
    <w:p>
      <w:pPr>
        <w:pStyle w:val="TextBody"/>
        <w:bidi w:val="0"/>
        <w:spacing w:before="240" w:after="0"/>
        <w:jc w:val="left"/>
        <w:rPr>
          <w:rFonts w:ascii="Times New Roman" w:hAnsi="Times New Roman"/>
          <w:sz w:val="20"/>
        </w:rPr>
      </w:pPr>
      <w:r>
        <w:rPr>
          <w:rFonts w:ascii="Times New Roman" w:hAnsi="Times New Roman"/>
          <w:sz w:val="20"/>
        </w:rPr>
        <w:t xml:space="preserve">(v) create or otherwise incur any Encumbrance on any material asset of Parent or any of its Subsidiaries,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(vi) make any loans, advances or capital contributions to, or investments in, any Person other than trade payables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(vii) enter into any Contract; </w:t>
      </w:r>
    </w:p>
    <w:p>
      <w:pPr>
        <w:pStyle w:val="TextBody"/>
        <w:bidi w:val="0"/>
        <w:spacing w:before="240" w:after="0"/>
        <w:jc w:val="left"/>
        <w:rPr>
          <w:rFonts w:ascii="Times New Roman" w:hAnsi="Times New Roman"/>
          <w:sz w:val="20"/>
        </w:rPr>
      </w:pPr>
      <w:r>
        <w:rPr>
          <w:rFonts w:ascii="Times New Roman" w:hAnsi="Times New Roman"/>
          <w:sz w:val="20"/>
        </w:rPr>
        <w:t xml:space="preserve">(viii) hire or terminate any employees; </w:t>
      </w:r>
    </w:p>
    <w:p>
      <w:pPr>
        <w:pStyle w:val="TextBody"/>
        <w:bidi w:val="0"/>
        <w:spacing w:before="240" w:after="0"/>
        <w:jc w:val="left"/>
        <w:rPr>
          <w:rFonts w:ascii="Times New Roman" w:hAnsi="Times New Roman"/>
          <w:sz w:val="20"/>
        </w:rPr>
      </w:pPr>
      <w:r>
        <w:rPr>
          <w:rFonts w:ascii="Times New Roman" w:hAnsi="Times New Roman"/>
          <w:sz w:val="20"/>
        </w:rPr>
        <w:t xml:space="preserve">(ix) settle any material Legal Proceeding involving Parent or relating to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 make or change any material Tax election, change any annual Tax accounting period, enter into any closing agreement with a Governmental Authority with respect to material Taxes or settle any Tax claim with respect to material Taxes, in each case, except if such action would not reasonably be expected to have a material and adverse effect on Parent following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take any action, or knowingly fail to take any action, where such action or failure to act would reasonably be expected to prevent the Mergers from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(xii) make any material change in any method of financial accounting or financial accounting practice of Parent or any of its Subsidiaries, except for any such change required by reason of a change in GAAP or other applicable financial accounting standards; </w:t>
      </w:r>
    </w:p>
    <w:p>
      <w:pPr>
        <w:pStyle w:val="TextBody"/>
        <w:bidi w:val="0"/>
        <w:spacing w:before="240" w:after="0"/>
        <w:jc w:val="left"/>
        <w:rPr>
          <w:rFonts w:ascii="Times New Roman" w:hAnsi="Times New Roman"/>
          <w:sz w:val="20"/>
        </w:rPr>
      </w:pPr>
      <w:r>
        <w:rPr>
          <w:rFonts w:ascii="Times New Roman" w:hAnsi="Times New Roman"/>
          <w:sz w:val="20"/>
        </w:rPr>
        <w:t xml:space="preserve">(xiii) other than in connection with actions contemplated by this Agreement, adopt, approve, consent to or propose any change in the Organizational Documents of Parent or any of its Subsidiaries; or </w:t>
      </w:r>
    </w:p>
    <w:p>
      <w:pPr>
        <w:pStyle w:val="TextBody"/>
        <w:bidi w:val="0"/>
        <w:spacing w:before="240" w:after="0"/>
        <w:jc w:val="left"/>
        <w:rPr>
          <w:rFonts w:ascii="Times New Roman" w:hAnsi="Times New Roman"/>
          <w:sz w:val="20"/>
        </w:rPr>
      </w:pPr>
      <w:r>
        <w:rPr>
          <w:rFonts w:ascii="Times New Roman" w:hAnsi="Times New Roman"/>
          <w:sz w:val="20"/>
        </w:rPr>
        <w:t xml:space="preserve">(xiv) agree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Access and Investigation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of the Confidentiality Agreement, which the Parties agree will continue in full force following the date of this Agreement, during the Pre-Closing Period, upon reasonable written notice, Synlogic, on the one hand, and Caldera, on the other hand, shall and shall use commercially reasonable efforts to cause such Party’s Representatives to: (i) 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 (ii)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(iii) permit the other Party’s officers and other employees to meet (with virtual meeting sufficient), during normal business hours, with the chief financial officer and other officers and managers of such Party responsible for such Party’s financial statements and the internal controls of such Party to discuss such matters as the other Party may deem reasonably necessary or appropriate, and (iv) promptly provide the other Party with copies, when available, of unaudited financial statements or management accounts, and communications sent by or on behalf of such Party to its stockholders or any material notice, report or other document filed with or sent to or received from any Governmental Authority in connection with the Contemplated Transactions. Any investigation conducted by either Synlogic or Caldera pursuant to this </w:t>
      </w:r>
      <w:r>
        <w:rPr>
          <w:rFonts w:ascii="Times New Roman" w:hAnsi="Times New Roman"/>
          <w:sz w:val="20"/>
          <w:u w:val="single"/>
        </w:rPr>
        <w:t>Section 6.4</w:t>
      </w:r>
      <w:r>
        <w:rPr>
          <w:rFonts w:ascii="Times New Roman" w:hAnsi="Times New Roman"/>
          <w:sz w:val="20"/>
        </w:rPr>
        <w:t xml:space="preserve"> shall be conducted in such manner as not to interfere unreasonably with the conduct of the business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in this </w:t>
      </w:r>
      <w:r>
        <w:rPr>
          <w:rFonts w:ascii="Times New Roman" w:hAnsi="Times New Roman"/>
          <w:sz w:val="20"/>
          <w:u w:val="single"/>
        </w:rPr>
        <w:t>Section 6.4</w:t>
      </w:r>
      <w:r>
        <w:rPr>
          <w:rFonts w:ascii="Times New Roman" w:hAnsi="Times New Roman"/>
          <w:sz w:val="20"/>
        </w:rPr>
        <w:t xml:space="preserve">, no access or examination contemplated by this </w:t>
      </w:r>
      <w:r>
        <w:rPr>
          <w:rFonts w:ascii="Times New Roman" w:hAnsi="Times New Roman"/>
          <w:sz w:val="20"/>
          <w:u w:val="single"/>
        </w:rPr>
        <w:t>Section 6.4</w:t>
      </w:r>
      <w:r>
        <w:rPr>
          <w:rFonts w:ascii="Times New Roman" w:hAnsi="Times New Roman"/>
          <w:sz w:val="20"/>
        </w:rPr>
        <w:t xml:space="preserve"> shall be permitted to the extent that it would require any Party or its Subsidiaries to waive the attorney-client privilege or attorney work product privilege, conflict with any third party confidentiality obligations to which such Party is bound, or violate any applicable Law; provided,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Synlogic and Caldera agrees that, during the Pre-Closing Period, neither it nor any of its Subsidiaries shall, nor shall it or any of its Subsidiaries authorize any of its Representatives to, directly or indirectly: (i) solicit, assist, initiate, engage,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or group (other than in a Party to this Agreement or its Representatives) in connection with or in response to an Acquisition Proposal or Acquisition Inquiry, (iii) engage, encourage or participate in discussions or negotiations with any Person or group with respect to any Acquisition Proposal or Acquisition Inquiry, (iv) approve, endorse or recommend any Acquisition Proposal (subject to </w:t>
      </w:r>
      <w:r>
        <w:rPr>
          <w:rFonts w:ascii="Times New Roman" w:hAnsi="Times New Roman"/>
          <w:sz w:val="20"/>
          <w:u w:val="single"/>
        </w:rPr>
        <w:t>Section 7.2</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(v) negotiate, execute or enter into any letter of intent, agreement in principle, acquisition agreement or any other Contract contemplating or otherwise relating to any Acquisition Transaction, (vi) take any action that could reasonably be expected to lead to an Acquisition Proposal or Acquisition Inquiry, (vii) release any Person from, or waive any provision of, any confidentiality agreement to which such Party is a party, the release or waiver of which could reasonably be expected to lead to an Acquisition Proposal or Acquisition Inquiry, or (viii) publicly propose to do any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contained in this </w:t>
      </w:r>
      <w:r>
        <w:rPr>
          <w:rFonts w:ascii="Times New Roman" w:hAnsi="Times New Roman"/>
          <w:sz w:val="20"/>
          <w:u w:val="single"/>
        </w:rPr>
        <w:t>Section 6.5</w:t>
      </w:r>
      <w:r>
        <w:rPr>
          <w:rFonts w:ascii="Times New Roman" w:hAnsi="Times New Roman"/>
          <w:sz w:val="20"/>
        </w:rPr>
        <w:t xml:space="preserve"> and subject to compliance with this </w:t>
      </w:r>
      <w:r>
        <w:rPr>
          <w:rFonts w:ascii="Times New Roman" w:hAnsi="Times New Roman"/>
          <w:sz w:val="20"/>
          <w:u w:val="single"/>
        </w:rPr>
        <w:t>Section 6.5</w:t>
      </w:r>
      <w:r>
        <w:rPr>
          <w:rFonts w:ascii="Times New Roman" w:hAnsi="Times New Roman"/>
          <w:sz w:val="20"/>
        </w:rPr>
        <w:t xml:space="preserve">, prior to obtaining the Required Synlogic Stockholder Approval, Synlogic may furnish nonpublic information regarding Synlogic and its Subsidiaries to, and enter into discussions or negotiations with, any Person in response to a bona fide, unsolicited, written Acquisition Proposal by such Person which the Synlogic Board determines in good faith, after consultation with its financial advisors and outside legal counsel, constitutes, or is reasonably likely to result in, a Superior Offer (and is not withdrawn) if: (A) neither Synlogic nor any Representative of Synlogic shall have breached this </w:t>
      </w:r>
      <w:r>
        <w:rPr>
          <w:rFonts w:ascii="Times New Roman" w:hAnsi="Times New Roman"/>
          <w:sz w:val="20"/>
          <w:u w:val="single"/>
        </w:rPr>
        <w:t>Section 6.5</w:t>
      </w:r>
      <w:r>
        <w:rPr>
          <w:rFonts w:ascii="Times New Roman" w:hAnsi="Times New Roman"/>
          <w:sz w:val="20"/>
        </w:rPr>
        <w:t xml:space="preserve"> in any material respect, (B) the Synlogic Board concludes in good faith, after consulting with outside counsel, that the failure to take such action would reasonably be expected to constitute a violation of the Synlogic Board’s fiduciary duties under applicable Law, (C) at least one (1) Business Day prior to initially furnishing any such nonpublic information to, or enter into discussions with, such Person, (D) Synlogic receives from such Person an executed Acceptable Confidentiality Agreement and (E) at least one (1) Business Day prior to furnishing any such nonpublic information to such Person, Synlogic furnishes such nonpublic information to Caldera (to the extent such information has not been previously furnished by Synlogic to Caldera). Without limiting the generality of the foregoing, each party acknowledges and agrees that, in the event any Representative of such party takes any action that, if taken by such party, would constitute a breach of this </w:t>
      </w:r>
      <w:r>
        <w:rPr>
          <w:rFonts w:ascii="Times New Roman" w:hAnsi="Times New Roman"/>
          <w:sz w:val="20"/>
          <w:u w:val="single"/>
        </w:rPr>
        <w:t>Section 6.5</w:t>
      </w:r>
      <w:r>
        <w:rPr>
          <w:rFonts w:ascii="Times New Roman" w:hAnsi="Times New Roman"/>
          <w:sz w:val="20"/>
        </w:rPr>
        <w:t xml:space="preserve"> by such party, the taking of such action by such Representative shall be deemed to constitute a breach of this </w:t>
      </w:r>
      <w:r>
        <w:rPr>
          <w:rFonts w:ascii="Times New Roman" w:hAnsi="Times New Roman"/>
          <w:sz w:val="20"/>
          <w:u w:val="single"/>
        </w:rPr>
        <w:t>Section 6.5</w:t>
      </w:r>
      <w:r>
        <w:rPr>
          <w:rFonts w:ascii="Times New Roman" w:hAnsi="Times New Roman"/>
          <w:sz w:val="20"/>
        </w:rPr>
        <w:t xml:space="preserve"> by such party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contained in this </w:t>
      </w:r>
      <w:r>
        <w:rPr>
          <w:rFonts w:ascii="Times New Roman" w:hAnsi="Times New Roman"/>
          <w:sz w:val="20"/>
          <w:u w:val="single"/>
        </w:rPr>
        <w:t>Section 6.5</w:t>
      </w:r>
      <w:r>
        <w:rPr>
          <w:rFonts w:ascii="Times New Roman" w:hAnsi="Times New Roman"/>
          <w:sz w:val="20"/>
        </w:rPr>
        <w:t xml:space="preserve"> and subject to compliance with this </w:t>
      </w:r>
      <w:r>
        <w:rPr>
          <w:rFonts w:ascii="Times New Roman" w:hAnsi="Times New Roman"/>
          <w:sz w:val="20"/>
          <w:u w:val="single"/>
        </w:rPr>
        <w:t>Section 6.5</w:t>
      </w:r>
      <w:r>
        <w:rPr>
          <w:rFonts w:ascii="Times New Roman" w:hAnsi="Times New Roman"/>
          <w:sz w:val="20"/>
        </w:rPr>
        <w:t xml:space="preserve">, prior to obtaining the Required Caldera Stockholder Approval, Caldera may furnish nonpublic information regarding Caldera and its Subsidiaries to, and enter into discussions or negotiations with, any Person in response to a bona fide, unsolicited, written Acquisition Proposal by such Person which the Caldera Board determines in good faith, after consultation with its financial advisors and outside legal counsel, constitutes, or is reasonably likely to result in, a Superior Offer (and is not withdrawn) if: (A) neither Caldera nor any Representative of Caldera shall have breached this </w:t>
      </w:r>
      <w:r>
        <w:rPr>
          <w:rFonts w:ascii="Times New Roman" w:hAnsi="Times New Roman"/>
          <w:sz w:val="20"/>
          <w:u w:val="single"/>
        </w:rPr>
        <w:t>Section 6.5</w:t>
      </w:r>
      <w:r>
        <w:rPr>
          <w:rFonts w:ascii="Times New Roman" w:hAnsi="Times New Roman"/>
          <w:sz w:val="20"/>
        </w:rPr>
        <w:t xml:space="preserve"> in any material respect, (B) the Caldera Board concludes in good faith, after consulting with outside counsel, that the failure to take such action would reasonably be expected to constitute a violation of the Caldera Board’s fiduciary duties under applicable Law, (C) at least one (1) Business Day prior to initially furnishing any such nonpublic information to, or enter into discussions with, such Person, (D) Caldera receives from such Person an executed Acceptable Confidentiality Agreement and (E) at least one (1) Business Day prior to furnishing any such nonpublic information to such Person, Caldera furnishes such nonpublic information to Synlogic (to the extent such information has not been previously furnished by Caldera to Synlogic).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any Party or any Representative of such Party receives an unsolicited Acquisition Proposal or Acquisition Inquiry at any time during the Pre-Closing Period, then such Party shall promptly (and in no event later than one (1) Business Day after such Party becomes aware of such Acquisition Proposal or Acquisition Inquiry) notify the other Party in writing of such Acquisition Proposal or Acquisition Inquiry, which notification shall contain the details of such Acquisition Proposal or Acquisition Inquiry (including the identity of the Person making or submitting such Acquisition Proposal or Acquisition Inquiry and either a copy of such Acquisition Proposal if in writing or, if not, a written summary of the terms thereof). Such Party shall keep the other Party reasonably informed with respect to the status and terms of any such Acquisition Proposal or Acquisition Inquiry and any material modification or material proposed modification thereto, and shall promptly provide the other Party with copies of any draft agreements related thereto delivered to (or by) such Party to the person making such Acquisition Proposal or Acquisition Inquiry. </w:t>
      </w:r>
    </w:p>
    <w:p>
      <w:pPr>
        <w:pStyle w:val="TextBody"/>
        <w:bidi w:val="0"/>
        <w:spacing w:before="240" w:after="0"/>
        <w:jc w:val="left"/>
        <w:rPr>
          <w:rFonts w:ascii="Times New Roman" w:hAnsi="Times New Roman"/>
          <w:sz w:val="20"/>
        </w:rPr>
      </w:pPr>
      <w:r>
        <w:rPr>
          <w:rFonts w:ascii="Times New Roman" w:hAnsi="Times New Roman"/>
          <w:sz w:val="20"/>
        </w:rPr>
        <w:t xml:space="preserve">(e) 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as soon as reasonably practicable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Notification of Certain Matters</w:t>
      </w:r>
      <w:r>
        <w:rPr>
          <w:rFonts w:ascii="Times New Roman" w:hAnsi="Times New Roman"/>
          <w:sz w:val="20"/>
        </w:rPr>
        <w:t xml:space="preserve">. During the Pre-Closing Period, each of Caldera, on the one hand, and Synlogic, on the other hand, shall promptly notify the other (and, if in writing, furnish copies of) if any of the following occurs: (i) any notice or other communication is received from any Person alleging that the Consent of such Person is or may be required in connection with any of the Contemplated Transactions, (ii) any non-compliance with any Law is alleged or any Legal Proceeding against or involving or otherwise affecting such Party or its Subsidiaries is commenced, or, to the Knowledge of such Party, threatened against such Party or, to the Knowledge of such Party, any director, officer or Key Employee of such Party, in each case, in such person’s capacity as such, (iii) such Party becomes aware of any inaccuracy in any representation or warranty made by such Party in this Agreement or (iv) the failure of such Party to timely comply with any covenant or obligation of such Party; in each case that could reasonably be expected to make the timely satisfaction of any of the conditions set forth in </w:t>
      </w:r>
      <w:r>
        <w:rPr>
          <w:rFonts w:ascii="Times New Roman" w:hAnsi="Times New Roman"/>
          <w:sz w:val="20"/>
          <w:u w:val="single"/>
        </w:rPr>
        <w:t>Article VIII</w:t>
      </w:r>
      <w:r>
        <w:rPr>
          <w:rFonts w:ascii="Times New Roman" w:hAnsi="Times New Roman"/>
          <w:sz w:val="20"/>
        </w:rPr>
        <w:t xml:space="preserve"> impossible or materially less likely or could otherwise materially impact the consummation of the Contemplated Transactions. No such notice shall be deemed to supplement or amend the Caldera Disclosure Schedule or the Synlogic Disclosure Schedule for the purpose of (A) determining the accuracy of any of the representations and warranties made by Caldera or Synlogic in this Agreement or (B) determining whether any condition set forth in </w:t>
      </w:r>
      <w:r>
        <w:rPr>
          <w:rFonts w:ascii="Times New Roman" w:hAnsi="Times New Roman"/>
          <w:sz w:val="20"/>
          <w:u w:val="single"/>
        </w:rPr>
        <w:t>Article VIII</w:t>
      </w:r>
      <w:r>
        <w:rPr>
          <w:rFonts w:ascii="Times New Roman" w:hAnsi="Times New Roman"/>
          <w:sz w:val="20"/>
        </w:rPr>
        <w:t xml:space="preserve"> has been satisfied. Any failure by either Party to provide notice pursuant to this </w:t>
      </w:r>
      <w:r>
        <w:rPr>
          <w:rFonts w:ascii="Times New Roman" w:hAnsi="Times New Roman"/>
          <w:sz w:val="20"/>
          <w:u w:val="single"/>
        </w:rPr>
        <w:t>Section 6.6,</w:t>
      </w:r>
      <w:r>
        <w:rPr>
          <w:rFonts w:ascii="Times New Roman" w:hAnsi="Times New Roman"/>
          <w:sz w:val="20"/>
        </w:rPr>
        <w:t xml:space="preserve"> or any delay in providing such notice, shall not be deemed to be a breach for purposes of </w:t>
      </w:r>
      <w:r>
        <w:rPr>
          <w:rFonts w:ascii="Times New Roman" w:hAnsi="Times New Roman"/>
          <w:sz w:val="20"/>
          <w:u w:val="single"/>
        </w:rPr>
        <w:t>Section 8.2(b)</w:t>
      </w:r>
      <w:r>
        <w:rPr>
          <w:rFonts w:ascii="Times New Roman" w:hAnsi="Times New Roman"/>
          <w:sz w:val="20"/>
        </w:rPr>
        <w:t xml:space="preserve"> or </w:t>
      </w:r>
      <w:r>
        <w:rPr>
          <w:rFonts w:ascii="Times New Roman" w:hAnsi="Times New Roman"/>
          <w:sz w:val="20"/>
          <w:u w:val="single"/>
        </w:rPr>
        <w:t>8.3(b)</w:t>
      </w:r>
      <w:r>
        <w:rPr>
          <w:rFonts w:ascii="Times New Roman" w:hAnsi="Times New Roman"/>
          <w:sz w:val="20"/>
        </w:rPr>
        <w:t xml:space="preserve">, as applicable, unless such delay or failure to provide such notice was results in material prejudice to the another Party.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Synlogic ESPP</w:t>
      </w:r>
      <w:r>
        <w:rPr>
          <w:rFonts w:ascii="Times New Roman" w:hAnsi="Times New Roman"/>
          <w:sz w:val="20"/>
        </w:rPr>
        <w:t xml:space="preserve">. As soon as reasonably practicable following the date of this Agreement, the Synlogic Board shall adopt appropriate resolutions to provide that (a) no offering periods or purchase periods shall be commenced following as of the date hereof under the Synlogic ESPP and (b) the Synlogic ESPP will be terminated effective on the day prior to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Concurrent 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of this Agreement, Caldera shall use commercially reasonable efforts to obtain the Concurrent Financing on the terms and conditions described in the Securities Purchase Agreement and satisfy the conditions to the Concurrent Financing as described in the Securities Purchase Agreement. Caldera shall not permit any termination, amendment or modification to be made to, or any waiver of any provision under, or any replacement of, the Securities Purchase Agreement without the prior written consent of Synlogic (not to be unreasonably withheld, conditioned or delayed). Caldera shall promptly deliver to the other Parties copies of any such termination, amendment, modification, waiver or replacement. </w:t>
      </w:r>
    </w:p>
    <w:p>
      <w:pPr>
        <w:pStyle w:val="TextBody"/>
        <w:bidi w:val="0"/>
        <w:spacing w:before="240" w:after="0"/>
        <w:jc w:val="left"/>
        <w:rPr>
          <w:rFonts w:ascii="Times New Roman" w:hAnsi="Times New Roman"/>
          <w:sz w:val="20"/>
        </w:rPr>
      </w:pPr>
      <w:r>
        <w:rPr>
          <w:rFonts w:ascii="Times New Roman" w:hAnsi="Times New Roman"/>
          <w:sz w:val="20"/>
        </w:rPr>
        <w:t xml:space="preserve">(b) Caldera shall use commercially reasonable efforts (i) to maintain in effect the Securities Purchase Agreement, (ii) to enforce its rights under the Securities Purchase Agreement and (iii) to comply with its obligations under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(c) Caldera shall give the other Parties prompt notice (i) of any breach or default by any party to the Securities Purchase Agreement or definitive agreements related to the Concurrent Financing of which Caldera becomes aware, (ii) of the receipt of any written notice or other written communication from any purchaser with respect to any (x) actual breach, default, termination or repudiation by any party to the Securities Purchase Agreement or definitive agreements related to the Concurrent Financing of any provisions of the Securities Purchase Agreement or definitive agreements related to the Concurrent Financing or (y) material dispute or disagreement relating to the Concurrent Financing with respect to the obligation to fund the Concurrent Financing at or substantially simultaneously with the Closing, and (iii) if at any time for any reason Caldera believes in good faith that it will not be able to obtain all or any portion of the Concurrent Financing on the terms and conditions, in the manner or from the sources contemplated by the Securities Purchase Agreement or definitive agreements related to the Concurrent Financing. Caldera shall promptly provide information reasonably requested by the other Parties relating to the circumstances referred to in clauses (i), (ii) or (iii) of the immediately preceding sentence.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AGREEMENTS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Registration Statement; 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practicable after the date of this Agreement (but in any event, no later than August 31, 2026 (the “</w:t>
      </w:r>
      <w:r>
        <w:rPr>
          <w:rFonts w:ascii="Times New Roman" w:hAnsi="Times New Roman"/>
          <w:b/>
          <w:sz w:val="20"/>
        </w:rPr>
        <w:t>Filing Deadline</w:t>
      </w:r>
      <w:r>
        <w:rPr>
          <w:rFonts w:ascii="Times New Roman" w:hAnsi="Times New Roman"/>
          <w:sz w:val="20"/>
        </w:rPr>
        <w:t>”), Parent and Synlogic in cooperation with Caldera, shall prepare and file with the SEC a registration statement on Form S-4 (the “</w:t>
      </w:r>
      <w:r>
        <w:rPr>
          <w:rFonts w:ascii="Times New Roman" w:hAnsi="Times New Roman"/>
          <w:b/>
          <w:sz w:val="20"/>
        </w:rPr>
        <w:t>Form</w:t>
      </w:r>
      <w:r>
        <w:rPr>
          <w:rFonts w:ascii="Times New Roman" w:hAnsi="Times New Roman"/>
          <w:sz w:val="20"/>
        </w:rPr>
        <w:t> </w:t>
      </w:r>
      <w:r>
        <w:rPr>
          <w:rFonts w:ascii="Times New Roman" w:hAnsi="Times New Roman"/>
          <w:b/>
          <w:sz w:val="20"/>
        </w:rPr>
        <w:t>S-4</w:t>
      </w:r>
      <w:r>
        <w:rPr>
          <w:rFonts w:ascii="Times New Roman" w:hAnsi="Times New Roman"/>
          <w:sz w:val="20"/>
        </w:rPr>
        <w:t>”), in which a proxy statement relating to the Required Synlogic Stockholder Meeting to be held in connection with the Mergers (together with any amendments thereof or supplements thereto, the “</w:t>
      </w:r>
      <w:r>
        <w:rPr>
          <w:rFonts w:ascii="Times New Roman" w:hAnsi="Times New Roman"/>
          <w:b/>
          <w:sz w:val="20"/>
        </w:rPr>
        <w:t>Synlogic Proxy Statement</w:t>
      </w:r>
      <w:r>
        <w:rPr>
          <w:rFonts w:ascii="Times New Roman" w:hAnsi="Times New Roman"/>
          <w:sz w:val="20"/>
        </w:rPr>
        <w:t>”) shall be included as a prospectus (the Synlogic Proxy Statement and the Form S-4, collectively, the “</w:t>
      </w:r>
      <w:r>
        <w:rPr>
          <w:rFonts w:ascii="Times New Roman" w:hAnsi="Times New Roman"/>
          <w:b/>
          <w:sz w:val="20"/>
        </w:rPr>
        <w:t>Registration Statement</w:t>
      </w:r>
      <w:r>
        <w:rPr>
          <w:rFonts w:ascii="Times New Roman" w:hAnsi="Times New Roman"/>
          <w:sz w:val="20"/>
        </w:rPr>
        <w:t xml:space="preserve">”), in connection with the registration under the Securities Act of the shares of Parent Common Stock to be issued by virtue of the Mergers (including, for the avoidance of doubt, shares of Parent Common Stock issued in exchange for shares of Caldera Common Stock issued in the Concurrent Financing). Each of Parent, Synlogic and Caldera shall use their commercially reasonable efforts to respond promptly to any comments of the SEC or its staff and to cause the Registration Statement to become effective as promptly as practicable, and shall take all or any action required under any applicable federal, state, securities and other Laws in connection with the issuance of shares of Parent Common Stock pursuant to the Mergers. Each of the Parties shall furnish all information concerning itself and their Affiliates, as applicable, to the other Parties as the other Parties may reasonably request in connection with such actions and the preparation of the Registration Statement and Synlogic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(b) Parent and Synlogic each covenant and agree that the Registration Statement (and the letter to stockholders included therewith) will (i) comply as to form in all material respects with the requirements of applicable U.S. federal securities laws and Delaware Law, and (ii) will not contain any untrue statement of a material fact or omit to state any material fact required to be stated therein or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order to make the statements made therein, in light of the circumstances under which they were made, not misleading. Caldera covenants and agrees that the information supplied by or on behalf of Caldera, concerning itself, to Parent and Synlogic for inclusion in the Registration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none of Parent, Synlogic or Caldera makes any covenant, representation or warranty with respect to statements made in the Registration Statement (and the letter to stockholders included therewith), if any, based on information provided by the other party or any of their Representatives regarding such other party or its Affiliates for inclusion therein. </w:t>
      </w:r>
    </w:p>
    <w:p>
      <w:pPr>
        <w:pStyle w:val="TextBody"/>
        <w:bidi w:val="0"/>
        <w:spacing w:before="240" w:after="0"/>
        <w:jc w:val="left"/>
        <w:rPr>
          <w:rFonts w:ascii="Times New Roman" w:hAnsi="Times New Roman"/>
          <w:sz w:val="20"/>
        </w:rPr>
      </w:pPr>
      <w:r>
        <w:rPr>
          <w:rFonts w:ascii="Times New Roman" w:hAnsi="Times New Roman"/>
          <w:sz w:val="20"/>
        </w:rPr>
        <w:t xml:space="preserve">(c) Synlogic shall use commercially reasonable efforts to cause the Synlogic Proxy Statement to be filed with the SEC and mailed to Synlogic’s stockholders as promptly as practicable after the Registration Statement is declared effective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before the Closing (i) any Party (A) becomes aware of any event or information that, pursuant to the Securities Act or the Exchange Act, should be disclosed in an amendment or supplement to the Registration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then, in each case such party, as the case may be, shall promptly inform the other parties thereof and shall cooperate with such other Parties in filing such amendment or supplement with the SEC (and, if appropriate, in mailing such amendment or supplement to Parent and Synlogic stockholders) or otherwise addressing such SEC request or comments and each party shall use their commercially reasonable efforts to cause any such amendment to become effective, if required. Each of Parent and Synlogic shall promptly notify Caldera if it becomes aware (1) that the Registration Statement has become effective, (2) of the issuance of any stop order or suspension of the qualification or registration of the Parent Common Stock issuance in connection with the Mergers for offering or sale in any jurisdiction, or (3) any order of the SEC related to the Registration Statement, and shall promptly provide to Caldera copies of all written correspondence between it or any of its Representatives, on the one hand, and the SEC or staff of the SEC, on the other hand, with respect to the Registration Statement and all orders of the SEC relating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(e) Caldera shall reasonably cooperate with Parent and Synlogic and provide, and cause its Representatives to provide, Parent, Synlogic and their Representatives, with all true, correct and complete information regarding Caldera and its Subsidiaries that is required by law to be included in the Registration Statement or reasonably requested by Parent to be included in the Registration Statement. Without limiting their respective obligations in </w:t>
      </w:r>
      <w:r>
        <w:rPr>
          <w:rFonts w:ascii="Times New Roman" w:hAnsi="Times New Roman"/>
          <w:sz w:val="20"/>
          <w:u w:val="single"/>
        </w:rPr>
        <w:t>Section 6.6</w:t>
      </w:r>
      <w:r>
        <w:rPr>
          <w:rFonts w:ascii="Times New Roman" w:hAnsi="Times New Roman"/>
          <w:sz w:val="20"/>
        </w:rPr>
        <w:t xml:space="preserve">, each of Synlogic and Caldera will use commercially reasonable efforts to cause to be delivered to Parent a consent letter of their respective independent accounting firms, on or before the date on which the Registration Statement and each amendment thereof, if any, is filed with the SEC, that is customary in scope and substance for consent letters delivered by independent public accountants in connection with registration statements similar to the Registration Statement (and reasonably satisfactory in form and substance to Parent). </w:t>
      </w:r>
    </w:p>
    <w:p>
      <w:pPr>
        <w:pStyle w:val="TextBody"/>
        <w:bidi w:val="0"/>
        <w:spacing w:before="240" w:after="0"/>
        <w:jc w:val="left"/>
        <w:rPr>
          <w:rFonts w:ascii="Times New Roman" w:hAnsi="Times New Roman"/>
          <w:sz w:val="20"/>
        </w:rPr>
      </w:pPr>
      <w:r>
        <w:rPr>
          <w:rFonts w:ascii="Times New Roman" w:hAnsi="Times New Roman"/>
          <w:sz w:val="20"/>
        </w:rPr>
        <w:t xml:space="preserve">(f) Caldera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No filing of, or amendment or supplement to, the Registration Statement will be made by Parent, and no filing of, or amendment or supplement to, the Registration Statement will be made by Parent, in each case, without Caldera and its legal counsel having been given reasonable opportunity to review and comment on such filing of, or amendment or supplement to,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Caldera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Promptly after the Registration Statement has been declared effective under the Securities Act, and in any event no later than two (2) Business Days thereafter, Caldera shall prepare, with the cooperation of Synlogic, and cause to be mailed to its stockholders an information statement, which shall include a copy of the Synlogic Proxy Statement, and the Caldera Stockholder Written Consent, in order to solicit the approval of Caldera’s stockholders, including but not limited to Caldera’s stockholders sufficient for the Required Caldera Stockholder Approval in lieu of a meeting pursuant to Section 228 of Delaware Law, for purposes of (i) adopting and approving this Agreement and the Contemplated Transactions, and (ii) acknowledging that the approval given thereby is irrevocable. Caldera shall use its reasonable best efforts to cause Caldera’s stockholders sufficient for the Required Caldera Stockholder Approval to execute and deliver to Caldera the Caldera Stockholder Written Consent promptly following delivery thereof, and in any event no later than fifteen (15) days after the Registration Statement has been declared effective. Promptly following receipt of the duly executed Caldera Stockholder Written Consent, Caldera shall deliver a copy of the duly executed Caldera Stockholder Written Consent to Synlogic. Under no circumstances shall Caldera assert that any other approval or Consent is necessary by its stockholders to approve this Agreement and the Contemplated Transactions. In connection with the Caldera Stockholder Written Consent, Caldera shall take all actions necessary or advisable to comply in all material respects, and shall comply in all material respects, with Delaware Law, including Section 228 and Section 262 thereof, and the Organizational Documents of Caldera. </w:t>
      </w:r>
    </w:p>
    <w:p>
      <w:pPr>
        <w:pStyle w:val="TextBody"/>
        <w:bidi w:val="0"/>
        <w:spacing w:before="240" w:after="0"/>
        <w:jc w:val="left"/>
        <w:rPr>
          <w:rFonts w:ascii="Times New Roman" w:hAnsi="Times New Roman"/>
          <w:sz w:val="20"/>
        </w:rPr>
      </w:pPr>
      <w:r>
        <w:rPr>
          <w:rFonts w:ascii="Times New Roman" w:hAnsi="Times New Roman"/>
          <w:sz w:val="20"/>
        </w:rPr>
        <w:t xml:space="preserve">(b) Caldera agrees that, subject in all respects to </w:t>
      </w:r>
      <w:r>
        <w:rPr>
          <w:rFonts w:ascii="Times New Roman" w:hAnsi="Times New Roman"/>
          <w:sz w:val="20"/>
          <w:u w:val="single"/>
        </w:rPr>
        <w:t>Section 7.2(c)</w:t>
      </w:r>
      <w:r>
        <w:rPr>
          <w:rFonts w:ascii="Times New Roman" w:hAnsi="Times New Roman"/>
          <w:sz w:val="20"/>
        </w:rPr>
        <w:t xml:space="preserve">: (i) the Caldera Board shall use commercially reasonable efforts to solicit stockholder approval within the timeframe set forth in </w:t>
      </w:r>
      <w:r>
        <w:rPr>
          <w:rFonts w:ascii="Times New Roman" w:hAnsi="Times New Roman"/>
          <w:sz w:val="20"/>
          <w:u w:val="single"/>
        </w:rPr>
        <w:t>Section 7.2(a)</w:t>
      </w:r>
      <w:r>
        <w:rPr>
          <w:rFonts w:ascii="Times New Roman" w:hAnsi="Times New Roman"/>
          <w:sz w:val="20"/>
        </w:rPr>
        <w:t xml:space="preserve"> (the recommendation of the Caldera Board that Caldera’s stockholders vote to adopt and approve this Agreement being referred to as the “</w:t>
      </w:r>
      <w:r>
        <w:rPr>
          <w:rFonts w:ascii="Times New Roman" w:hAnsi="Times New Roman"/>
          <w:b/>
          <w:sz w:val="20"/>
        </w:rPr>
        <w:t>Caldera Board Recommendation</w:t>
      </w:r>
      <w:r>
        <w:rPr>
          <w:rFonts w:ascii="Times New Roman" w:hAnsi="Times New Roman"/>
          <w:sz w:val="20"/>
        </w:rPr>
        <w:t>”) and (ii) the Caldera Board Recommendation shall not be withheld, amended, withdrawn or modified (and the Caldera Board shall not publicly propose to withhold, amend, withdraw or modify the Caldera Board Recommendation) in a manner adverse to Parent or Synlogic, and no resolution by the Caldera Board or any committee thereof to withdraw or modify the Caldera Board Recommendation in a manner adverse to Parent or Synlogic or to adopt, approve or recommend (or publicly propose to adopt, approve or recommend) any Acquisition Proposal shall be adopted or proposed (the actions set forth in the foregoing clause (ii), collectively, a “</w:t>
      </w:r>
      <w:r>
        <w:rPr>
          <w:rFonts w:ascii="Times New Roman" w:hAnsi="Times New Roman"/>
          <w:b/>
          <w:sz w:val="20"/>
        </w:rPr>
        <w:t>Caldera Board Adverse Recommendation 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w:t>
      </w:r>
      <w:r>
        <w:rPr>
          <w:rFonts w:ascii="Times New Roman" w:hAnsi="Times New Roman"/>
          <w:sz w:val="20"/>
          <w:u w:val="single"/>
        </w:rPr>
        <w:t>Section 7.2(b)</w:t>
      </w:r>
      <w:r>
        <w:rPr>
          <w:rFonts w:ascii="Times New Roman" w:hAnsi="Times New Roman"/>
          <w:sz w:val="20"/>
        </w:rPr>
        <w:t xml:space="preserve">, and subject to compliance with </w:t>
      </w:r>
      <w:r>
        <w:rPr>
          <w:rFonts w:ascii="Times New Roman" w:hAnsi="Times New Roman"/>
          <w:sz w:val="20"/>
          <w:u w:val="single"/>
        </w:rPr>
        <w:t>Section 6.5</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at any time prior to the receipt of the Required Caldera Stockholder Approval, (i) if Caldera receives a bona fide, unsolicited, written Superior Offer or (ii) as a result of a material development or change in circumstances that was not known or reasonably foreseen to the Caldera Board or any committee thereof on the date of this Agreement (other than any such event, development or change to the extent related to (A) any Acquisition Proposal, Acquisition Inquiry, Acquisition Transaction or the consequences thereof or (B) the fact, in and of itself, that Caldera meets or exceeds internal budgets, plans or forecasts of its revenues, earnings or other financial performance or results of operations) that affects the business, assets or operations of Caldera that occurs or arises after the date of this Agreement (a “</w:t>
      </w:r>
      <w:r>
        <w:rPr>
          <w:rFonts w:ascii="Times New Roman" w:hAnsi="Times New Roman"/>
          <w:b/>
          <w:sz w:val="20"/>
        </w:rPr>
        <w:t>Caldera Intervening Event</w:t>
      </w:r>
      <w:r>
        <w:rPr>
          <w:rFonts w:ascii="Times New Roman" w:hAnsi="Times New Roman"/>
          <w:sz w:val="20"/>
        </w:rPr>
        <w:t xml:space="preserve">”), the Caldera Board may make a Caldera Board Adverse Recommendation Change if, but only if (i) in the case of a Superior Offer, following the receipt of and on account of such Superior Offer, (1) the Caldera Board determines in good faith, after consulting with outside legal counsel and reasonably considering all relevant factors, that the failure to withhold, amend, withdraw or modify such recommendation would reasonably be expected to be inconsistent with its fiduciary duties under applicable Law, (2) Caldera has, and has caused its financial advisors and outside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legal counsel to, during the Caldera Notice Period, negotiate with Synlogic in good faith to make such adjustments to the terms and conditions of this Agreement so that such Acquisition Proposal ceases to constitute a Superior Offer (to the extent Synlogic desires to negotiate) and (3) if after Synlogic shall have delivered to Caldera an irrevocable written offer to alter the terms or conditions of this Agreement during the Caldera Notice Period, the Caldera Board shall have determined in good faith, based on the advice of its outside legal counsel, that the failure to withhold, amend, withdraw or modify the Caldera Board Recommendation would reasonably be expected to be inconsistent with its fiduciary duties under applicable Law (after taking into account such alterations of the terms and conditions of this Agreement); provided that (x) Synlogic receives written notice from Caldera confirming that the Caldera Board has determined to change its recommendation at least four (4) Business Days in advance of the Caldera Board Adverse Recommendation Change (the “</w:t>
      </w:r>
      <w:r>
        <w:rPr>
          <w:rFonts w:ascii="Times New Roman" w:hAnsi="Times New Roman"/>
          <w:b/>
          <w:sz w:val="20"/>
        </w:rPr>
        <w:t>Caldera Notice Period</w:t>
      </w:r>
      <w:r>
        <w:rPr>
          <w:rFonts w:ascii="Times New Roman" w:hAnsi="Times New Roman"/>
          <w:sz w:val="20"/>
        </w:rPr>
        <w:t xml:space="preserve">”), which notice shall include a description in reasonable detail of the reasons for such Caldera Board Adverse Recommendation Change, and written copies of any relevant proposed transaction agreements with any party making a potential Superior Offer, (y) during any Caldera Notice Period, Synlogic shall be entitled to deliver to Caldera one or more counterproposals to such Acquisition Proposal and Caldera will, and cause its Representatives to, negotiate with Synlogic in good faith (to the extent Synlogic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Caldera’s stockholders would receive as a result of such potential Superior Offer), Caldera shall be required to provide Synlogic with notice of such material amendment and the Caldera Notice Period shall be extended, if applicable, to ensure that at least two (2) Business Days remain in the Caldera Notice Period following such notification during which the Parties shall comply again with the requirements of this </w:t>
      </w:r>
      <w:r>
        <w:rPr>
          <w:rFonts w:ascii="Times New Roman" w:hAnsi="Times New Roman"/>
          <w:sz w:val="20"/>
          <w:u w:val="single"/>
        </w:rPr>
        <w:t>Section 7.2(c)</w:t>
      </w:r>
      <w:r>
        <w:rPr>
          <w:rFonts w:ascii="Times New Roman" w:hAnsi="Times New Roman"/>
          <w:sz w:val="20"/>
        </w:rPr>
        <w:t xml:space="preserve"> and the Caldera Board shall not make a Caldera Board Adverse Recommendation Change prior to the end of such Caldera Notice Period as so extended (it being understood that there may be multiple extensions) or (ii) in the case of a Caldera Intervening Event, Caldera promptly notifies Synlogic, in writing, within the Caldera Notice Period before making a Caldera Board Adverse Recommendation Change, which notice shall state expressly the material facts and circumstances related to the applicable Company Intervening Event and that the Caldera Board intends to make a Caldera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Synlogic Stockholder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Synlogic shall take all action necessary under applicable Law to call, give notice of and hold a meeting (such meeting, the “</w:t>
      </w:r>
      <w:r>
        <w:rPr>
          <w:rFonts w:ascii="Times New Roman" w:hAnsi="Times New Roman"/>
          <w:b/>
          <w:sz w:val="20"/>
        </w:rPr>
        <w:t>Synlogic Stockholder Meeting</w:t>
      </w:r>
      <w:r>
        <w:rPr>
          <w:rFonts w:ascii="Times New Roman" w:hAnsi="Times New Roman"/>
          <w:sz w:val="20"/>
        </w:rPr>
        <w:t xml:space="preserve">”) of the holders of Synlogic Common Stock to consider the Synlogic Stockholder Matters. The Synlogic Stockholder Meeting shall be held as promptly as practicable after the date that the Registration Statement is declared effective under the Securities Act, and in any event no later than forty-five (45) days after the effective date of the Registration Statement. Synlogic shall take reasonable measures to ensure that all proxies solicited in connection with the Synlogic Stockholder Meeting are solicited in compliance with all applicable Law. Notwithstanding anything to the contrary contained herein, if on the date of the Synlogic Stockholder Meeting, or a date preceding the date on which the Synlogic Stockholder Meeting is scheduled, Synlogic reasonably believes that (i) it will not receive proxies sufficient to obtain the Required Synlogic Stockholder Approval, whether or not a quorum would be present or (ii) it will not have sufficient shares of Synlogic Common Stock represented (whether in person or by proxy) to constitute a quorum necessary to conduct the business of the Synlogic Stockholder Meeting, Synlogic may postpone or adjourn, or make one or more successive postponements or adjournments of, the Synlogic Stockholder Meeting, each not to exceed ten (10) calendar days, as long as the date of the Synlogic Stockholder Meeting is not postponed or adjourned more than an aggregate of sixty (60) calendar days in connection with any postponements or adjournments.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Synlogic agrees that, subject in all respects to </w:t>
      </w:r>
      <w:r>
        <w:rPr>
          <w:rFonts w:ascii="Times New Roman" w:hAnsi="Times New Roman"/>
          <w:sz w:val="20"/>
          <w:u w:val="single"/>
        </w:rPr>
        <w:t>Section 7.3(c)</w:t>
      </w:r>
      <w:r>
        <w:rPr>
          <w:rFonts w:ascii="Times New Roman" w:hAnsi="Times New Roman"/>
          <w:sz w:val="20"/>
        </w:rPr>
        <w:t xml:space="preserve">, (i) the Synlogic Board shall recommend that the holders of Synlogic Common Stock approve the Synlogic Stockholder Matters and shall use commercially reasonable efforts to solicit such approval within the timeframe set forth in </w:t>
      </w:r>
      <w:r>
        <w:rPr>
          <w:rFonts w:ascii="Times New Roman" w:hAnsi="Times New Roman"/>
          <w:sz w:val="20"/>
          <w:u w:val="single"/>
        </w:rPr>
        <w:t>Section 7.3(a)</w:t>
      </w:r>
      <w:r>
        <w:rPr>
          <w:rFonts w:ascii="Times New Roman" w:hAnsi="Times New Roman"/>
          <w:sz w:val="20"/>
        </w:rPr>
        <w:t xml:space="preserve"> above, (ii) the Proxy Statement shall include a statement to the effect that the Synlogic Board recommends that Synlogic’s stockholders vote to approve the Synlogic Stockholder Matters (the recommendation of the Synlogic Board being referred to as the “</w:t>
      </w:r>
      <w:r>
        <w:rPr>
          <w:rFonts w:ascii="Times New Roman" w:hAnsi="Times New Roman"/>
          <w:b/>
          <w:sz w:val="20"/>
        </w:rPr>
        <w:t>Synlogic Board Recommendation</w:t>
      </w:r>
      <w:r>
        <w:rPr>
          <w:rFonts w:ascii="Times New Roman" w:hAnsi="Times New Roman"/>
          <w:sz w:val="20"/>
        </w:rPr>
        <w:t>”) and (iii) the Synlogic Board Recommendation shall not be withheld, amended, withdrawn or modified (and the Synlogic Board shall not publicly propose to withhold, amend, withdraw or modify the Synlogic Board Recommendation) in a manner adverse to Caldera, and no resolution by the Synlogic Board or any committee thereof to withdraw or modify the Synlogic Board Recommendation in a manner adverse to Caldera or to adopt, approve or recommend (or publicly propose to adopt, approve or recommend) any Acquisition Proposal shall be adopted or proposed (the actions set forth in the foregoing clause (iii), collectively, a “</w:t>
      </w:r>
      <w:r>
        <w:rPr>
          <w:rFonts w:ascii="Times New Roman" w:hAnsi="Times New Roman"/>
          <w:b/>
          <w:sz w:val="20"/>
        </w:rPr>
        <w:t>Synlogic Board Adverse Recommendation 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w:t>
      </w:r>
      <w:r>
        <w:rPr>
          <w:rFonts w:ascii="Times New Roman" w:hAnsi="Times New Roman"/>
          <w:sz w:val="20"/>
          <w:u w:val="single"/>
        </w:rPr>
        <w:t>Section 7.3(b)</w:t>
      </w:r>
      <w:r>
        <w:rPr>
          <w:rFonts w:ascii="Times New Roman" w:hAnsi="Times New Roman"/>
          <w:sz w:val="20"/>
        </w:rPr>
        <w:t xml:space="preserve">, and subject to compliance with </w:t>
      </w:r>
      <w:r>
        <w:rPr>
          <w:rFonts w:ascii="Times New Roman" w:hAnsi="Times New Roman"/>
          <w:sz w:val="20"/>
          <w:u w:val="single"/>
        </w:rPr>
        <w:t>Section 6.5</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at any time prior to the approval of the Synlogic Stockholder Matters by the Required Synlogic Stockholder Approval, (i) if Synlogic receives a bona fide, unsolicited, written Superior Offer or (ii) as a result of a material development or change in circumstances that was not known or reasonably foreseen to the Synlogic Board or any committee thereof on the date of this Agreement (other than any such event, development or change to the extent related to (A) any Acquisition Proposal, Acquisition Inquiry, Acquisition Transaction or the consequences thereof or (B) the fact, in and of itself, that Synlogic meets or exceeds internal budgets, plans or forecasts of its revenues, earnings or other financial performance or results of operations) that affects the business, assets or operations of Synlogic that occurs or arises after the date of this Agreement (a “</w:t>
      </w:r>
      <w:r>
        <w:rPr>
          <w:rFonts w:ascii="Times New Roman" w:hAnsi="Times New Roman"/>
          <w:b/>
          <w:sz w:val="20"/>
        </w:rPr>
        <w:t>Synlogic Intervening Event</w:t>
      </w:r>
      <w:r>
        <w:rPr>
          <w:rFonts w:ascii="Times New Roman" w:hAnsi="Times New Roman"/>
          <w:sz w:val="20"/>
        </w:rPr>
        <w:t xml:space="preserve">”), the Synlogic Board may make a Synlogic Board Adverse Recommendation Change if, but only if (i) in the case of a Superior Offer, following the receipt of and on account of such Superior Offer, (1) the Synlogic Board determines in good faith, after consulting with outside legal counsel and reasonably considering all relevant factors, that the failure to withhold, amend, withdraw or modify such recommendation would reasonably be expected to be inconsistent with its fiduciary duties under applicable Law, (2) Synlogic has, and has caused its financial advisors and outside legal counsel to, during the Synlogic Notice Period, negotiate with Caldera in good faith to make such adjustments to the terms and conditions of this Agreement so that such Acquisition Proposal ceases to constitute a Superior Offer (to the extent Caldera desires to negotiate) and (3) if after Caldera shall have delivered to Synlogic an irrevocable written offer to alter the terms or conditions of this Agreement during the Synlogic Notice Period, the Synlogic Board shall have determined in good faith, based on the advice of its outside legal counsel, that the failure to withhold, amend, withdraw or modify the Synlogic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(x) Caldera receives written notice from Synlogic confirming that the Synlogic Board has determined to change its recommendation at least four (4) Business Days in advance of the Synlogic Board Adverse Recommendation Change (the “</w:t>
      </w:r>
      <w:r>
        <w:rPr>
          <w:rFonts w:ascii="Times New Roman" w:hAnsi="Times New Roman"/>
          <w:b/>
          <w:sz w:val="20"/>
        </w:rPr>
        <w:t>Synlogic Notice Period</w:t>
      </w:r>
      <w:r>
        <w:rPr>
          <w:rFonts w:ascii="Times New Roman" w:hAnsi="Times New Roman"/>
          <w:sz w:val="20"/>
        </w:rPr>
        <w:t xml:space="preserve">”), which notice shall include a description in reasonable detail of the reasons for such Synlogic Board Adverse Recommendation Change, and written copies of any relevant proposed transaction agreements with any party making a potential Superior Offer, (y) during any Synlogic Notice Period, Caldera shall be entitled to deliver to Synlogic one or more counterproposals to such Acquisition Proposal and Synlogic will, and cause its Representatives to, negotiate with Caldera in good faith (to the extent Caldera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Synlogic’s stockholders would receive as a result of such potential Superior Offer), Synlogic shall be required to provide Caldera with notice of such material amendment and the Synlogic Notice Period shall be extended, if applicable, to ensure that at least two (2) Business Days remain in the Synlogic Notice Period following such notification during which the parties shall comply again with the requirements of this </w:t>
      </w:r>
      <w:r>
        <w:rPr>
          <w:rFonts w:ascii="Times New Roman" w:hAnsi="Times New Roman"/>
          <w:sz w:val="20"/>
          <w:u w:val="single"/>
        </w:rPr>
        <w:t>Section 7.3(c)</w:t>
      </w:r>
      <w:r>
        <w:rPr>
          <w:rFonts w:ascii="Times New Roman" w:hAnsi="Times New Roman"/>
          <w:sz w:val="20"/>
        </w:rPr>
        <w:t xml:space="preserve"> and the Synlogic Board shall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make a Synlogic Board Adverse Recommendation Change prior to the end of such Synlogic Notice Period as so extended (it being understood that there may be multiple extensions) or (ii) in the case of a Synlogic Intervening Event, Synlogic promptly notifies Caldera, in writing, within the Synlogic Notice Period before making a Synlogic Board Adverse Recommendation Change, which notice shall state expressly the material facts and circumstances related to the applicable Synlogic Intervening Event and that the Synlogic Board intends to make a Synlogic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(d) Reserved. </w:t>
      </w:r>
    </w:p>
    <w:p>
      <w:pPr>
        <w:pStyle w:val="TextBody"/>
        <w:bidi w:val="0"/>
        <w:spacing w:before="240" w:after="0"/>
        <w:jc w:val="left"/>
        <w:rPr>
          <w:rFonts w:ascii="Times New Roman" w:hAnsi="Times New Roman"/>
          <w:sz w:val="20"/>
        </w:rPr>
      </w:pPr>
      <w:r>
        <w:rPr>
          <w:rFonts w:ascii="Times New Roman" w:hAnsi="Times New Roman"/>
          <w:sz w:val="20"/>
        </w:rPr>
        <w:t xml:space="preserve">(e) Nothing contained in this Agreement shall prohibit Synlogic or the Synlogic Board from complying with Rules 14d-9 and 14e-2(a) promulgated under the Exchange Act; provided however, that any disclosure made by Synlogic or the Synlogic Board pursuant to Rules 14d-9 and 14e-2(a) shall be limited to a statement that Synlogic is unable to take a position with respect to the bidder’s tender offer unless the Synlogic Board determines in good faith, after consultation with its outside legal counsel, that such statement would reasonably be expected to be inconsistent with its fiduciary duties under applicable Law; provided, further that Synlogic shall provide Caldera with a reasonable opportunity to review any such disclosure prior to the making thereof (to the extent practicable) and shall consider in good faith any comments from Caldera with respect thereto (it being understood that any Synlogic Board Adverse Recommendation Change shall be subject to Section 7.3(c)).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Efforts; Regulatory Approvals; Transaction Litigation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use commercially reasonable efforts to consummate the Contemplated Transactions.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required to be obtained (pursuant to any applicable law or Contract, or otherwise) by such Party in connection with the Contemplated Transactions or for such Contract to remain in full force and effect, and (iii) shall use commercially reasonable efforts to satisfy the conditions precedent to the consummation of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generality of the foregoing, each Party shall use commercially reasonable efforts to file or otherwise submit, within five (5) Business Days after the date of this Agreement, all applications, notices, reports and other documents (if any) required to be filed by such Party with or otherwise submitted by such Party to any Governmental Authority with respect to the transactions contemplated hereby, and to submit promptly any additional information requested by any such Governmental Authority. </w:t>
      </w:r>
    </w:p>
    <w:p>
      <w:pPr>
        <w:pStyle w:val="TextBody"/>
        <w:bidi w:val="0"/>
        <w:spacing w:before="240" w:after="0"/>
        <w:jc w:val="left"/>
        <w:rPr>
          <w:rFonts w:ascii="Times New Roman" w:hAnsi="Times New Roman"/>
          <w:sz w:val="20"/>
        </w:rPr>
      </w:pPr>
      <w:r>
        <w:rPr>
          <w:rFonts w:ascii="Times New Roman" w:hAnsi="Times New Roman"/>
          <w:sz w:val="20"/>
        </w:rPr>
        <w:t>(c) Without limiting the generality of the foregoing, Synlogic or Caldera, as applicable (hereinafter, the “</w:t>
      </w:r>
      <w:r>
        <w:rPr>
          <w:rFonts w:ascii="Times New Roman" w:hAnsi="Times New Roman"/>
          <w:b/>
          <w:sz w:val="20"/>
        </w:rPr>
        <w:t>Transaction Litigation Party</w:t>
      </w:r>
      <w:r>
        <w:rPr>
          <w:rFonts w:ascii="Times New Roman" w:hAnsi="Times New Roman"/>
          <w:sz w:val="20"/>
        </w:rPr>
        <w:t>”), shall give the other Party prompt (but not later than within two (2) Business Days) written notice of any “demand letter,” investigation by a Governmental Authority, or any Legal Proceeding initiated, or threatened in writing against the Transaction Litigation Party and/or its directors or officers relating to this Agreement or the Contemplated Transactions (the “</w:t>
      </w:r>
      <w:r>
        <w:rPr>
          <w:rFonts w:ascii="Times New Roman" w:hAnsi="Times New Roman"/>
          <w:b/>
          <w:sz w:val="20"/>
        </w:rPr>
        <w:t>Transaction Litigation</w:t>
      </w:r>
      <w:r>
        <w:rPr>
          <w:rFonts w:ascii="Times New Roman" w:hAnsi="Times New Roman"/>
          <w:sz w:val="20"/>
        </w:rPr>
        <w:t xml:space="preserve">”) (including by providing copies of all pleadings or correspondence with respect thereto) and keep the other Party reasonably informed with respect to the status thereof. The Transaction Litigation Party shall, on behalf of the Parties hereto, control and lead all communications and strategy relating to any Transaction Litigation. The Transaction Litigation Party will (i) give the other Party the opportunity to participate in the defense, settlement or prosecution of any Transaction Litigation, (ii) consult with the other Party with respect to the defense, settlement and prosecution of any Transaction Litigation, (iii) consider in good faith the other Party’s advice with respect to such Transaction Litigation and (iv) not settle or consent or agree to settle or compromise any Transaction Litigation without the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Party’s prior written consent and no such settlement shall (A) impose any liability or obligation on Caldera, Synlogic or Parent, (B) affect the consideration or timing of the Closing, or (C) include any admission of wrongdoing by Caldera, Synlogic or Parent, in each case without such Party’s prior written consent. Without otherwise limiting the rights of current or former directors and officers of the Transaction Litigation Party with regard to the right to counsel, following the Synlogic Effective Time, current or former directors and officers of the Transaction Litigation Party with rights to indemnification as described in </w:t>
      </w:r>
      <w:r>
        <w:rPr>
          <w:rFonts w:ascii="Times New Roman" w:hAnsi="Times New Roman"/>
          <w:sz w:val="20"/>
          <w:u w:val="single"/>
        </w:rPr>
        <w:t>Section 7.6</w:t>
      </w:r>
      <w:r>
        <w:rPr>
          <w:rFonts w:ascii="Times New Roman" w:hAnsi="Times New Roman"/>
          <w:sz w:val="20"/>
        </w:rPr>
        <w:t xml:space="preserve"> shall be entitled to retain a single counsel, selected by such indemnified parties, to represent them in connection with the defense of any Transaction Litigation as it relates to such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Disclosures</w:t>
      </w:r>
      <w:r>
        <w:rPr>
          <w:rFonts w:ascii="Times New Roman" w:hAnsi="Times New Roman"/>
          <w:sz w:val="20"/>
        </w:rPr>
        <w:t xml:space="preserve">. Without limiting any Party’s obligations under the Confidentiality Agreement, no Party shall, and no Party shall permit any of its Subsidiaries or any of its Representative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provided, however, that each of Caldera and Synlogic may make any statement in response to questions by the press, analysts, investors or those attending industry conferences or financial analyst conference calls, so long as any such statements are consistent with previous press releases, public disclosures or public statements made by Caldera and Synlogic in compliance with this </w:t>
      </w:r>
      <w:r>
        <w:rPr>
          <w:rFonts w:ascii="Times New Roman" w:hAnsi="Times New Roman"/>
          <w:sz w:val="20"/>
          <w:u w:val="single"/>
        </w:rPr>
        <w:t>Section 7.5</w:t>
      </w:r>
      <w:r>
        <w:rPr>
          <w:rFonts w:ascii="Times New Roman" w:hAnsi="Times New Roman"/>
          <w:sz w:val="20"/>
        </w:rPr>
        <w:t xml:space="preserve">. Notwithstanding the foregoing, a Party need not consult with any other Parties in connection with such portion of any press release, public statement or filing to be issued or made pursuant to </w:t>
      </w:r>
      <w:r>
        <w:rPr>
          <w:rFonts w:ascii="Times New Roman" w:hAnsi="Times New Roman"/>
          <w:sz w:val="20"/>
          <w:u w:val="single"/>
        </w:rPr>
        <w:t>Section 7.3(d)</w:t>
      </w:r>
      <w:r>
        <w:rPr>
          <w:rFonts w:ascii="Times New Roman" w:hAnsi="Times New Roman"/>
          <w:sz w:val="20"/>
        </w:rPr>
        <w:t xml:space="preserve"> or with an Acquisition Proposal, or Synlogic Board Adverse Recommendation Change with respect to Synlogic only pursuant to </w:t>
      </w:r>
      <w:r>
        <w:rPr>
          <w:rFonts w:ascii="Times New Roman" w:hAnsi="Times New Roman"/>
          <w:sz w:val="20"/>
          <w:u w:val="single"/>
        </w:rPr>
        <w:t>Section 7.3(e)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Indemnification of Officers and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the Synlogic Effective Time through the sixth anniversary of the date on which the Synlogic Effective Time occurs, each of Parent, the Caldera Merger Surviving Corporation, and the Synlogic Merger Surviving Corporation shall indemnify and hold harmless each person who is now, or has been at any time prior to the date hereof, or who becomes prior to the Synlogic Effective Time, a director or officer of Synlogic or Caldera, respectively (the “</w:t>
      </w:r>
      <w:r>
        <w:rPr>
          <w:rFonts w:ascii="Times New Roman" w:hAnsi="Times New Roman"/>
          <w:b/>
          <w:sz w:val="20"/>
        </w:rPr>
        <w:t>D&amp;O Indemnified Parties</w:t>
      </w:r>
      <w:r>
        <w:rPr>
          <w:rFonts w:ascii="Times New Roman" w:hAnsi="Times New Roman"/>
          <w:sz w:val="20"/>
        </w:rPr>
        <w:t>”), against all claims, losses, liabilities, damages, judgments, fines and reasonable fees, costs and expenses, including attorneys’ fees and disbursements (collectively, “</w:t>
      </w:r>
      <w:r>
        <w:rPr>
          <w:rFonts w:ascii="Times New Roman" w:hAnsi="Times New Roman"/>
          <w:b/>
          <w:sz w:val="20"/>
        </w:rPr>
        <w:t>Costs</w:t>
      </w:r>
      <w:r>
        <w:rPr>
          <w:rFonts w:ascii="Times New Roman" w:hAnsi="Times New Roman"/>
          <w:sz w:val="20"/>
        </w:rPr>
        <w:t xml:space="preserve">”), incurred in connection with any claim, action, suit, proceeding or investigation, whether civil, criminal, administrative or investigative, arising out of or pertaining to the fact that the D&amp;O Indemnified Party is or was a director or officer of Synlogic or of Caldera, whether asserted or claimed prior to, at or after the Synlogic Effective Time, in each case, to the fullest extent permitted under Delaware Law. Each D&amp;O Indemnified Party will be entitled to advancement of expenses incurred in the defense of any such claim, action, suit, proceeding or investigation from each of Parent, the Caldera Merger Surviving Corporation, and the Synlogic Merger Surviving Corporation from the D&amp;O Indemnified Party of a request therefor; provided that any such person to whom expenses are advanced provides an undertaking to each of Parent, the Caldera Merger Surviving Corporation, and the Synlogic Merger Surviving Corporation, to the extent then required by Delaware Law, to repay such advances if it is ultimately determined that such person is not entitled to indemnification. No other form of undertaking shall be required. All rights to indemnification, exculpation and advancement of expenses or other protection in respect of any claim asserted or made, and for which a D&amp;O Indemnified Party delivers a written notice to Parent prior to the sixth (6th) anniversary of the Synlogic Effective Time asserting a claim for such protections pursuant to this </w:t>
      </w:r>
      <w:r>
        <w:rPr>
          <w:rFonts w:ascii="Times New Roman" w:hAnsi="Times New Roman"/>
          <w:sz w:val="20"/>
          <w:u w:val="single"/>
        </w:rPr>
        <w:t>Section 7.6</w:t>
      </w:r>
      <w:r>
        <w:rPr>
          <w:rFonts w:ascii="Times New Roman" w:hAnsi="Times New Roman"/>
          <w:sz w:val="20"/>
        </w:rPr>
        <w:t xml:space="preserve">, shall continue until the final disposition of such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provisions of Synlogic Merger Surviving Corporation’s Organizational Documents with respect to indemnification, advancement of expenses and exculpation of present and former directors and officers of Synlogic that are presently set forth in Synlogic’s Organizational Documents shall not be amended, modified or repealed for a period of six years from the Synlogic Effective Time in a manner that would adversely affect the rights thereunder of individuals who, at or prior to the Synlogic Effective Time, were officers or directors of Synlogic, unless such modification is required by applicable Law. The Synlogic Merger Surviving Corporation’s Organizational Documents shall contain, and Synlogic shall cause the certificate of incorporation of the Synlogic Merger Surviving Corporation to so contain, provisions no less favorable with respect to indemnification, advancement of expenses and exculpation of present and former directors and officers as those presently set forth in Synlogic’s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Synlogic Effective Time, (i) the Caldera Merger Surviving Corporation shall fulfill and honor in all respects the obligations of Caldera to its D&amp;O Indemnified Parties as of immediately prior to the Closing pursuant to any indemnification provisions under Caldera’s Organizational Documents and pursuant to any indemnification agreements between Caldera and such D&amp;O Indemnified Parties, with respect to claims arising out of matters occurring at or prior to the Caldera Effective Time and (ii) the Synlogic Merger Surviving Corporation shall fulfill and honor in all respects the obligations of Synlogic to its D&amp;O Indemnified Parties as of immediately prior to the Closing pursuant to any indemnification provisions under Synlogic’s Organizational Documents and pursuant to any indemnification agreements between Synlogic and such D&amp;O Indemnified Parties, with respect to claims arising out of matters occurring at or prior to the Synlogic Effective Time. </w:t>
      </w:r>
    </w:p>
    <w:p>
      <w:pPr>
        <w:pStyle w:val="TextBody"/>
        <w:bidi w:val="0"/>
        <w:spacing w:before="240" w:after="0"/>
        <w:jc w:val="left"/>
        <w:rPr>
          <w:rFonts w:ascii="Times New Roman" w:hAnsi="Times New Roman"/>
          <w:sz w:val="20"/>
        </w:rPr>
      </w:pPr>
      <w:r>
        <w:rPr>
          <w:rFonts w:ascii="Times New Roman" w:hAnsi="Times New Roman"/>
          <w:sz w:val="20"/>
        </w:rPr>
        <w:t>(d) From and after the Synlogic Effective Time, Parent shall maintain directors’ and officers’ liability insurance policies, with an effective date as of the Closing Date, on commercially available terms and conditions and with coverage limits customary for U.S. public companies similarly situated to Synlogic. In addition, Synlogic shall purchase, prior to the Synlogic Effective Time, a six-year prepaid “</w:t>
      </w:r>
      <w:r>
        <w:rPr>
          <w:rFonts w:ascii="Times New Roman" w:hAnsi="Times New Roman"/>
          <w:b/>
          <w:sz w:val="20"/>
        </w:rPr>
        <w:t>D&amp;O tail policy</w:t>
      </w:r>
      <w:r>
        <w:rPr>
          <w:rFonts w:ascii="Times New Roman" w:hAnsi="Times New Roman"/>
          <w:sz w:val="20"/>
        </w:rPr>
        <w:t xml:space="preserve">” for the non-cancellable extension of directors’ and officers’ liability coverage of Synlogic’s existing directors’ and officers’ insurance policies for a claims reporting or discovery period of at least six years from and after the Synlogic Effective Time with respect to any claim related to any period of time at or prior to the Synlogic Effective Time with terms, conditions, retentions and limits of liability that are no less favorable than the coverage provided under Synlogic’s existing policies as of the date of this Agreement with respect to any actual or alleged error, misstatement, misleading statement, act, omission, neglect, breach of duty or any matter claimed against a director or officer of Synlogic by reason of him or her serving in such capacity that existed or occurred at or prior to the Synlogic Effective Time (including in connection with this Agreement or the Contemplated Transactions or in connection with Synlogic’s initial public offering of shares of Synlogic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The provisions of this </w:t>
      </w:r>
      <w:r>
        <w:rPr>
          <w:rFonts w:ascii="Times New Roman" w:hAnsi="Times New Roman"/>
          <w:sz w:val="20"/>
          <w:u w:val="single"/>
        </w:rPr>
        <w:t>Section 7.6</w:t>
      </w:r>
      <w:r>
        <w:rPr>
          <w:rFonts w:ascii="Times New Roman" w:hAnsi="Times New Roman"/>
          <w:sz w:val="20"/>
        </w:rPr>
        <w:t xml:space="preserve"> are intended to be in addition to the rights otherwise available to the current and former officers and directors of Synlogic and Caldera by Law, charter, statute, bylaw or agreement, and shall operate for the benefit of, and shall be enforceable by, each of the D&amp;O Indemnified Parties, their heirs and their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(f) In the event Parent, the Synlogic Merger Surviving Corporation or the Caldera Merger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Synlogic Merger Surviving Corporation, as the case may be, shall succeed to the obligations set forth in this </w:t>
      </w:r>
      <w:r>
        <w:rPr>
          <w:rFonts w:ascii="Times New Roman" w:hAnsi="Times New Roman"/>
          <w:sz w:val="20"/>
          <w:u w:val="single"/>
        </w:rPr>
        <w:t>Section 7.6</w:t>
      </w:r>
      <w:r>
        <w:rPr>
          <w:rFonts w:ascii="Times New Roman" w:hAnsi="Times New Roman"/>
          <w:sz w:val="20"/>
        </w:rPr>
        <w:t xml:space="preserve">. Parent shall cause the Synlogic Merger Surviving Corporation to perform all of the obligations of the Surviving Corporation under this </w:t>
      </w:r>
      <w:r>
        <w:rPr>
          <w:rFonts w:ascii="Times New Roman" w:hAnsi="Times New Roman"/>
          <w:sz w:val="20"/>
          <w:u w:val="single"/>
        </w:rPr>
        <w:t>Section 7.6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All transfer, documentary, sales, use, stamp, registration, excise, recording, registration value added and other such similar Taxes and fees (including any penalties and interest) that become payable in connection with or by reason of the execution of this Agreement and the transactions contemplated hereby (collectively, “</w:t>
      </w:r>
      <w:r>
        <w:rPr>
          <w:rFonts w:ascii="Times New Roman" w:hAnsi="Times New Roman"/>
          <w:b/>
          <w:sz w:val="20"/>
        </w:rPr>
        <w:t>Transfer Taxes</w:t>
      </w:r>
      <w:r>
        <w:rPr>
          <w:rFonts w:ascii="Times New Roman" w:hAnsi="Times New Roman"/>
          <w:sz w:val="20"/>
        </w:rPr>
        <w:t xml:space="preserve">”) shall be borne and paid by Parent. Parent (at its own cost and expense) will file any necessary Tax Returns and other documentation as required by applicable Law with respect to such Transfer Taxes. </w:t>
      </w:r>
    </w:p>
    <w:p>
      <w:pPr>
        <w:pStyle w:val="TextBody"/>
        <w:bidi w:val="0"/>
        <w:spacing w:before="240" w:after="0"/>
        <w:jc w:val="left"/>
        <w:rPr>
          <w:rFonts w:ascii="Times New Roman" w:hAnsi="Times New Roman"/>
          <w:sz w:val="20"/>
        </w:rPr>
      </w:pPr>
      <w:r>
        <w:rPr>
          <w:rFonts w:ascii="Times New Roman" w:hAnsi="Times New Roman"/>
          <w:sz w:val="20"/>
        </w:rPr>
        <w:t xml:space="preserve">(b) At the Closing, each of Synlogic and Caldera shall deliver to Parent a certificate pursuant to Treasury Regulations Sections 1.1445-2(c) and 1.897-2(h), together with a form of notice to the IRS in accordance with the requirements of Treasury Regulations Section 1.897-2(h), in each case, in form and substance reasonably acceptable to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Parent’s only remedy for Caldera’s or Synlogic’s failure (as the case may be) to provide such form or certificate will be to withhold from the payments to be made pursuant to this Agreement any required withholding Tax under Section 1445 of the Code, and Caldera’s or Synlogic’s failure (as the case may be) to provide any such form or certificate will not be deemed to be a failure of the conditions set forth in </w:t>
      </w:r>
      <w:r>
        <w:rPr>
          <w:rFonts w:ascii="Times New Roman" w:hAnsi="Times New Roman"/>
          <w:sz w:val="20"/>
          <w:u w:val="single"/>
        </w:rPr>
        <w:t>Section 7.7</w:t>
      </w:r>
      <w:r>
        <w:rPr>
          <w:rFonts w:ascii="Times New Roman" w:hAnsi="Times New Roman"/>
          <w:sz w:val="20"/>
        </w:rPr>
        <w:t xml:space="preserve"> to have been met. </w:t>
      </w:r>
    </w:p>
    <w:p>
      <w:pPr>
        <w:pStyle w:val="TextBody"/>
        <w:bidi w:val="0"/>
        <w:spacing w:before="240" w:after="0"/>
        <w:jc w:val="left"/>
        <w:rPr>
          <w:rFonts w:ascii="Times New Roman" w:hAnsi="Times New Roman"/>
          <w:sz w:val="20"/>
        </w:rPr>
      </w:pPr>
      <w:r>
        <w:rPr>
          <w:rFonts w:ascii="Times New Roman" w:hAnsi="Times New Roman"/>
          <w:sz w:val="20"/>
        </w:rPr>
        <w:t xml:space="preserve">(c) The parties intend that, for United States federal income tax purposes, the Mergers will qualify for the Intended Tax Treatment and the Parties agree not to take any action (or fail to take any action) inconsistent with the Intended Tax Treatment. The Mergers shall be reported by the parties for all Tax purposes in accordance with the foregoing, unless otherwise required by a Governmental Authority as a result of a “determination” within the meaning of Section 1313(a) of the Code. The parties shall cooperate with each other and their respective counsel to document and support the Tax treatment of the Mergers as qualifying for the Intended Tax Treatment, including in the event the SEC requests or requires an opinion with respect to any discussion in a registration statement of the United States federal income Tax consequences of the Mergers to the stockholders of either Caldera or Synlogic. If such an opinion is requested or required by the SEC, it shall be provided by the tax advisor of the party receiving the request and shall be provided solely with respect to the consequences for that party’s stockholders. Each party shall execute and deliver customary tax representation letters to the applicable tax advisor in form and substance reasonably satisfactory to such advisor upon which such advisor shall be entitled to rely in rendering such tax opinion. </w:t>
      </w:r>
    </w:p>
    <w:p>
      <w:pPr>
        <w:pStyle w:val="TextBody"/>
        <w:bidi w:val="0"/>
        <w:spacing w:before="24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Listing</w:t>
      </w:r>
      <w:r>
        <w:rPr>
          <w:rFonts w:ascii="Times New Roman" w:hAnsi="Times New Roman"/>
          <w:sz w:val="20"/>
        </w:rPr>
        <w:t>. From the date hereof until the Synlogic Effective Time and the Caldera Effective Time, Synlogic shall remain quoted on the OTC Pink Limited Market, or its successor inter-dealer quotation system, if any (“</w:t>
      </w:r>
      <w:r>
        <w:rPr>
          <w:rFonts w:ascii="Times New Roman" w:hAnsi="Times New Roman"/>
          <w:b/>
          <w:sz w:val="20"/>
        </w:rPr>
        <w:t>OTC Pink</w:t>
      </w:r>
      <w:r>
        <w:rPr>
          <w:rFonts w:ascii="Times New Roman" w:hAnsi="Times New Roman"/>
          <w:sz w:val="20"/>
        </w:rPr>
        <w:t>”) until the Synlogic Effective Time. After the execution of this Agreement and as promptly as reasonably practicable in accordance with applicable Law, the Parties shall prepare and Caldera shall file with Nasdaq a listing application (the “</w:t>
      </w:r>
      <w:r>
        <w:rPr>
          <w:rFonts w:ascii="Times New Roman" w:hAnsi="Times New Roman"/>
          <w:b/>
          <w:sz w:val="20"/>
        </w:rPr>
        <w:t>Nasdaq Listing Application</w:t>
      </w:r>
      <w:r>
        <w:rPr>
          <w:rFonts w:ascii="Times New Roman" w:hAnsi="Times New Roman"/>
          <w:sz w:val="20"/>
        </w:rPr>
        <w:t xml:space="preserve">”) for the listing of shares of Parent Common Stock on Nasdaq and shall use commercially reasonable efforts to cause the listing of shares of Parent Common Stock is authorized for listing on Nasdaq prior to the Caldera Effective Time, subject to official notice of issuance. Each Party and its Subsidiaries shall prepare and furnish all information (including any required financial statements) concerning itself as may reasonably be requested in connection with such actions and the preparation of the Nasdaq Listing Application, provided that no Party shall use any such information for any other purpose without the prior written consent of the providing Party (which consent shall not be unreasonably withheld, conditioned or delayed) or if doing so would violate or cause a violation of applicable Law or other applicable securities Laws. Each of Parent and Synlogic authorizes Caldera to utilize in the Nasdaq Listing Application and in all such filed materials the information concerning Parent and its Subsidiaries and Synlogic and its Subsidiaries furnished by each of Parent and Synlogic, respectively. Each Party will reasonably promptly inform the other Party of all verbal or written communications between Nasdaq and such Party or its Representatives. The Parties not filing the Nasdaq Listing Application will cooperate with Caldera as reasonably requested by Caldera with respect to the Nasdaq Listing Application and promptly furnish to such Party all information concerning itself, its members and its stockholders that may be required or reasonably requested in connection with any action contemplated by this </w:t>
      </w:r>
      <w:r>
        <w:rPr>
          <w:rFonts w:ascii="Times New Roman" w:hAnsi="Times New Roman"/>
          <w:sz w:val="20"/>
          <w:u w:val="single"/>
        </w:rPr>
        <w:t>Section 7.8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7.9 </w:t>
      </w:r>
      <w:r>
        <w:rPr>
          <w:rFonts w:ascii="Times New Roman" w:hAnsi="Times New Roman"/>
          <w:sz w:val="20"/>
          <w:u w:val="single"/>
        </w:rPr>
        <w:t>Legends</w:t>
      </w:r>
      <w:r>
        <w:rPr>
          <w:rFonts w:ascii="Times New Roman" w:hAnsi="Times New Roman"/>
          <w:sz w:val="20"/>
        </w:rPr>
        <w:t xml:space="preserve">. Parent shall be entitled to place appropriate legends on the book entries and/or certificates evidencing any shares of Parent Common Stock to be received in the Mergers by equityholders of Synlogic who are “affiliates” of Parent for purposes of Rules 144 and 145 under the Securities Act reflecting the restrictions set forth in Rules 144 and 145 and to issue appropriate stop transfer instructions to the transfer agent for Parent Common Stock. </w:t>
      </w:r>
    </w:p>
    <w:p>
      <w:pPr>
        <w:pStyle w:val="TextBody"/>
        <w:bidi w:val="0"/>
        <w:spacing w:before="240" w:after="0"/>
        <w:jc w:val="left"/>
        <w:rPr>
          <w:rFonts w:ascii="Times New Roman" w:hAnsi="Times New Roman"/>
          <w:sz w:val="20"/>
        </w:rPr>
      </w:pPr>
      <w:r>
        <w:rPr>
          <w:rFonts w:ascii="Times New Roman" w:hAnsi="Times New Roman"/>
          <w:sz w:val="20"/>
        </w:rPr>
        <w:t xml:space="preserve">7.10 </w:t>
      </w:r>
      <w:r>
        <w:rPr>
          <w:rFonts w:ascii="Times New Roman" w:hAnsi="Times New Roman"/>
          <w:sz w:val="20"/>
          <w:u w:val="single"/>
        </w:rPr>
        <w:t>Officers and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Directors and Officers of Parent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Parent shall cause, effective as of the Caldera Effective Time, the Parent Board to consist of six (6) individuals selected by the Caldera Board in its sole discretion (subject to compliance with the applicable listing rules of Nasdaq) as set forth on </w:t>
      </w:r>
      <w:r>
        <w:rPr>
          <w:rFonts w:ascii="Times New Roman" w:hAnsi="Times New Roman"/>
          <w:sz w:val="20"/>
          <w:u w:val="single"/>
        </w:rPr>
        <w:t>Section 7.10(a)(i)</w:t>
      </w:r>
      <w:r>
        <w:rPr>
          <w:rFonts w:ascii="Times New Roman" w:hAnsi="Times New Roman"/>
          <w:sz w:val="20"/>
        </w:rPr>
        <w:t xml:space="preserve"> of the Caldera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(ii) Parent shall cause the directors and officers of Parent listed on </w:t>
      </w:r>
      <w:r>
        <w:rPr>
          <w:rFonts w:ascii="Times New Roman" w:hAnsi="Times New Roman"/>
          <w:sz w:val="20"/>
          <w:u w:val="single"/>
        </w:rPr>
        <w:t>Section 7.10(a)(ii)</w:t>
      </w:r>
      <w:r>
        <w:rPr>
          <w:rFonts w:ascii="Times New Roman" w:hAnsi="Times New Roman"/>
          <w:sz w:val="20"/>
        </w:rPr>
        <w:t xml:space="preserve"> of the Caldera Disclosure Schedule to sign written resignations in forms reasonably satisfactory to Caldera, dated on or before the Closing Date and effective as of the Caldera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(iii) Immediately following the Caldera Effective Time, Parent shall take all necessary action to appoint the officers of Caldera to become the equivalent officers of Parent until the earlier of their resignation or removal or until their respective successors are duly elected or appointed and qualified,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(iv) On the Closing Date, Parent shall enter into customary indemnification agreements reasonably satisfactory to Caldera with each individual to be appointed to, or serving on, the board of directors of Parent, which indemnification agreements shall continue to be effective following the Caldera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Directors and Officers of the Synlogic Merger 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Parties shall take all actions necessary (A) so that from and after the Synlogic Effective Time, the Synlogic Merger Surviving Corporation’s board of directors shall be constituted with those members as set forth on </w:t>
      </w:r>
      <w:r>
        <w:rPr>
          <w:rFonts w:ascii="Times New Roman" w:hAnsi="Times New Roman"/>
          <w:sz w:val="20"/>
          <w:u w:val="single"/>
        </w:rPr>
        <w:t>Section 7.10(b)</w:t>
      </w:r>
      <w:r>
        <w:rPr>
          <w:rFonts w:ascii="Times New Roman" w:hAnsi="Times New Roman"/>
          <w:sz w:val="20"/>
        </w:rPr>
        <w:t xml:space="preserve"> of the Caldera Disclosure Schedule and (B) to secure the resignations of the existing members of the board of directors of the Synlogic Merger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(ii) The Parties shall take all actions necessary so that the officers of Caldera immediately prior to the Synlogic Effective Time shall, from and after the Synlogic Effective Time, be the officers of the Synlogic Merger Surviving Corporation, until the earlier of their resignation or removal or until their respective successors are duly elected or appointed and qualified,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Directors and Officers of the Caldera Merger 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Parties shall take all actions necessary (A) so that from and after the Caldera Effective Time, the Caldera Merger Surviving Corporation’s board of directors shall be constituted with those members as set forth on </w:t>
      </w:r>
      <w:r>
        <w:rPr>
          <w:rFonts w:ascii="Times New Roman" w:hAnsi="Times New Roman"/>
          <w:sz w:val="20"/>
          <w:u w:val="single"/>
        </w:rPr>
        <w:t>Section 7.10(c)</w:t>
      </w:r>
      <w:r>
        <w:rPr>
          <w:rFonts w:ascii="Times New Roman" w:hAnsi="Times New Roman"/>
          <w:sz w:val="20"/>
        </w:rPr>
        <w:t xml:space="preserve"> of the Caldera Disclosure Schedule and (B) to secure the resignations of the existing members of the board of directors of the Caldera Merger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Parties shall take all actions necessary so that the officers of Caldera immediately prior to the Caldera Effective Time shall, from and after the Caldera Effective Time, be the officers of the Caldera Merger Surviving Corporation, until the earlier of their resignation or removal or until their respective successors are duly elected or appointed and qualified,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7.11 </w:t>
      </w:r>
      <w:r>
        <w:rPr>
          <w:rFonts w:ascii="Times New Roman" w:hAnsi="Times New Roman"/>
          <w:sz w:val="20"/>
          <w:u w:val="single"/>
        </w:rPr>
        <w:t>Termination of Certain Agreements and Rights</w:t>
      </w:r>
      <w:r>
        <w:rPr>
          <w:rFonts w:ascii="Times New Roman" w:hAnsi="Times New Roman"/>
          <w:sz w:val="20"/>
        </w:rPr>
        <w:t xml:space="preserve">. Caldera shall cause any stockholder agreements, voting agreements, registration rights agreements, co-sale agreements and any other similar Contracts between Caldera and any holders of Caldera Capital Stock, including any such Contract granting any Person investor rights, rights of first refusal, registration rights or director registration rights to be terminated immediately prior to the Caldera Effective Time, without any liability being imposed on the part of Caldera or the Caldera Merger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7.12 </w:t>
      </w:r>
      <w:r>
        <w:rPr>
          <w:rFonts w:ascii="Times New Roman" w:hAnsi="Times New Roman"/>
          <w:sz w:val="20"/>
          <w:u w:val="single"/>
        </w:rPr>
        <w:t>Section 16 Matters</w:t>
      </w:r>
      <w:r>
        <w:rPr>
          <w:rFonts w:ascii="Times New Roman" w:hAnsi="Times New Roman"/>
          <w:sz w:val="20"/>
        </w:rPr>
        <w:t xml:space="preserve">. Prior to the Synlogic Effective Time, Synlogic shall take all such steps as may be required to cause any acquisitions of Synlogic Common Stock and Synlogic Options in connection with the Contemplated Transactions, by each individual who is reasonably expected to become subject to the reporting requirements of Section 16(a) of the Exchange Act with respect to Synlogic, to be exempt under Rule 16b-3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7.13 </w:t>
      </w:r>
      <w:r>
        <w:rPr>
          <w:rFonts w:ascii="Times New Roman" w:hAnsi="Times New Roman"/>
          <w:sz w:val="20"/>
          <w:u w:val="single"/>
        </w:rPr>
        <w:t>Allocation Certificate</w:t>
      </w:r>
      <w:r>
        <w:rPr>
          <w:rFonts w:ascii="Times New Roman" w:hAnsi="Times New Roman"/>
          <w:sz w:val="20"/>
        </w:rPr>
        <w:t>. Caldera will prepare and deliver to Parent and Synlogic at least two (2) Business Days prior to the Closing Date a certificate signed by an executive officer of Caldera in a form reasonably acceptable to Synlogic setting forth (as of immediately prior to the Caldera Effective Time) (a) each holder of Caldera Capital Stock, (b) such holder’s name and address, (c) the number and type of Caldera Capital Stock held as of the Closing Date for each such holder and (d) the number of shares of Parent Common Stock to be issued to such holder pursuant to this Agreement in respect of the Caldera Capital Stock held by such holder as of immediately prior to the Caldera Effective Time (the “</w:t>
      </w:r>
      <w:r>
        <w:rPr>
          <w:rFonts w:ascii="Times New Roman" w:hAnsi="Times New Roman"/>
          <w:b/>
          <w:sz w:val="20"/>
        </w:rPr>
        <w:t>Allocation Certificate</w:t>
      </w:r>
      <w:r>
        <w:rPr>
          <w:rFonts w:ascii="Times New Roman" w:hAnsi="Times New Roman"/>
          <w:sz w:val="20"/>
        </w:rPr>
        <w:t xml:space="preserve">”). For the avoidance of doubt, the Allocation Certificate shall be prepared in good faith, in accordance with the Organizational Documents of Caldera and contracts applicable to Caldera Capital Stock, and the Caldera Options, and shall show each holder’s percentage ownership interest in Caldera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7.14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7.15 </w:t>
      </w:r>
      <w:r>
        <w:rPr>
          <w:rFonts w:ascii="Times New Roman" w:hAnsi="Times New Roman"/>
          <w:sz w:val="20"/>
          <w:u w:val="single"/>
        </w:rPr>
        <w:t>Obligations of Merger Subs</w:t>
      </w:r>
      <w:r>
        <w:rPr>
          <w:rFonts w:ascii="Times New Roman" w:hAnsi="Times New Roman"/>
          <w:sz w:val="20"/>
        </w:rPr>
        <w:t xml:space="preserve">. Parent will take all action necessary to cause each of Synlogic Merger Sub and Caldera Merger Sub to perform its obligations under this Agreement and to consummate the Mergers on the terms and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7.16 </w:t>
      </w:r>
      <w:r>
        <w:rPr>
          <w:rFonts w:ascii="Times New Roman" w:hAnsi="Times New Roman"/>
          <w:sz w:val="20"/>
          <w:u w:val="single"/>
        </w:rPr>
        <w:t>Takeover Statutes</w:t>
      </w:r>
      <w:r>
        <w:rPr>
          <w:rFonts w:ascii="Times New Roman" w:hAnsi="Times New Roman"/>
          <w:sz w:val="20"/>
        </w:rPr>
        <w:t xml:space="preserve">. If any takeover statute is or may become applicable to the Contemplated Transactions, each of Caldera, the Caldera Board, Synlogic and the Synlogic Board, as applicable, shall grant such approvals and take such actions as are necessary, to the extent permitted by Law, so that the Contemplated Transactions may be consummated as promptly as practicable on the terms contemplated by this Agreement and otherwise act to eliminate or minimize the effects of such statute or regulation on the Contemplated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7.17 </w:t>
      </w:r>
      <w:r>
        <w:rPr>
          <w:rFonts w:ascii="Times New Roman" w:hAnsi="Times New Roman"/>
          <w:sz w:val="20"/>
          <w:u w:val="single"/>
        </w:rPr>
        <w:t>Parent Equity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Synlogic Effective Time, Parent will cause the Parent Board to adopt the 2026 Equity Incentive Plan, subject to the Closing and effective as of the Synlogic Effective Time, and will include provisions in the Registration Statement for the stockholders of Parent to approve the 2026 Equity Incentive Plan. Subject to the approval of the 2026 Equity Incentive Plan by the stockholders of Parent prior to the Synlogic Effective Time, Parent shall file with the SEC, promptly after the Synlogic Effective Time, a registration statement on Form S-8 (or any successor form), if available for use by Parent, relating to the shares of Parent Common Stock issuable with respect to the 2026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Synlogic Effective Time, Parent will use commercially reasonable efforts to cause the Parent Board to adopt the 2026 ESPP, subject to the Closing and effective as of the Synlogic Effective Time, and will include provisions in the Registration Statement for the stockholders of Parent to approve the 2026 ESPP. Subject to the approval of the 2026 ESPP by the stockholders of Parent prior to the Synlogic Effective Time, Parent shall file with the SEC, promptly after the Synlogic Effective Time, a registration statement on Form S-8 (or any successor form), if available for use by Parent, relating to the shares of Parent Common Stock issuable with respect to the 2026 ESPP. </w:t>
      </w:r>
    </w:p>
    <w:p>
      <w:pPr>
        <w:pStyle w:val="TextBody"/>
        <w:bidi w:val="0"/>
        <w:spacing w:before="240" w:after="0"/>
        <w:jc w:val="left"/>
        <w:rPr>
          <w:rFonts w:ascii="Times New Roman" w:hAnsi="Times New Roman"/>
          <w:sz w:val="20"/>
        </w:rPr>
      </w:pPr>
      <w:r>
        <w:rPr>
          <w:rFonts w:ascii="Times New Roman" w:hAnsi="Times New Roman"/>
          <w:sz w:val="20"/>
        </w:rPr>
        <w:t xml:space="preserve">(c) For the avoidance of doubt, approval of the 2026 Plans by the stockholders of Parent shall not be a condition to Closing. </w:t>
      </w:r>
    </w:p>
    <w:p>
      <w:pPr>
        <w:pStyle w:val="TextBody"/>
        <w:bidi w:val="0"/>
        <w:spacing w:before="240" w:after="0"/>
        <w:jc w:val="left"/>
        <w:rPr>
          <w:rFonts w:ascii="Times New Roman" w:hAnsi="Times New Roman"/>
          <w:sz w:val="20"/>
        </w:rPr>
      </w:pPr>
      <w:r>
        <w:rPr>
          <w:rFonts w:ascii="Times New Roman" w:hAnsi="Times New Roman"/>
          <w:sz w:val="20"/>
        </w:rPr>
        <w:t xml:space="preserve">7.18 </w:t>
      </w:r>
      <w:r>
        <w:rPr>
          <w:rFonts w:ascii="Times New Roman" w:hAnsi="Times New Roman"/>
          <w:sz w:val="20"/>
          <w:u w:val="single"/>
        </w:rPr>
        <w:t>Synlogic 401(k) Plan</w:t>
      </w:r>
      <w:r>
        <w:rPr>
          <w:rFonts w:ascii="Times New Roman" w:hAnsi="Times New Roman"/>
          <w:sz w:val="20"/>
        </w:rPr>
        <w:t>. Unless otherwise requested by Caldera in writing at least ten (10) business days prior to the Closing Date, the Synlogic Board shall take (or cause to be taken) all actions to adopt such resolutions as may be necessary or appropriate to terminate, effective no later than the day prior to the Closing Date, any Synlogic Employee Plan that contains a cash or deferred arrangement intended to qualify under Section 401(k) of the Code (a “</w:t>
      </w:r>
      <w:r>
        <w:rPr>
          <w:rFonts w:ascii="Times New Roman" w:hAnsi="Times New Roman"/>
          <w:b/>
          <w:sz w:val="20"/>
        </w:rPr>
        <w:t>Synlogic 401(k) Plan</w:t>
      </w:r>
      <w:r>
        <w:rPr>
          <w:rFonts w:ascii="Times New Roman" w:hAnsi="Times New Roman"/>
          <w:sz w:val="20"/>
        </w:rPr>
        <w:t xml:space="preserve">”). If Synlogic is required to terminate any Synlogic 401(k) Plan, then Synlogic shall provide to Caldera prior to the Closing Date written evidence of the adoption by the Synlogic Board of resolutions authorizing the termination of such Synlogic 401(k) Plan (the form and substance of which shall be subject to the reasonable prior review and approval of Caldera).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TO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Conditions Precedent to Obligations of Each Party</w:t>
      </w:r>
      <w:r>
        <w:rPr>
          <w:rFonts w:ascii="Times New Roman" w:hAnsi="Times New Roman"/>
          <w:sz w:val="20"/>
        </w:rPr>
        <w:t xml:space="preserve">. The obligations of each Party to effect the Mergers and otherwise consummate the Contemplated Transactions are subject to the satisfaction or, to the extent permitted by applicable Law, the written waiver by each of the Parties,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No temporary restraining order, preliminary or permanent injunction or other Order preventing the consummation of the Contemplated Transactions shall have been issued by any court of competent jurisdiction or other Governmental Authority of competent jurisdiction and remain in effect and there shall not be any Law which has the effect of making the consummation of the Contemplated Transactions illegal. </w:t>
      </w:r>
    </w:p>
    <w:p>
      <w:pPr>
        <w:pStyle w:val="TextBody"/>
        <w:bidi w:val="0"/>
        <w:spacing w:before="240" w:after="0"/>
        <w:jc w:val="left"/>
        <w:rPr>
          <w:rFonts w:ascii="Times New Roman" w:hAnsi="Times New Roman"/>
          <w:sz w:val="20"/>
        </w:rPr>
      </w:pPr>
      <w:r>
        <w:rPr>
          <w:rFonts w:ascii="Times New Roman" w:hAnsi="Times New Roman"/>
          <w:sz w:val="20"/>
        </w:rPr>
        <w:t xml:space="preserve">(b) Synlogic shall have obtained the Required Synlogic Stockholder Approval, and Caldera shall have obtained the Required Caldera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(c) The approval of the listing of shares of Parent Common Stock on Nasdaq shall have been obtained and the shares of Parent Common Stock to be issued in the Mergers pursuant to this Agreement shall have been approved for listing (subject to official notice of issuance) on Nasdaq. </w:t>
      </w:r>
    </w:p>
    <w:p>
      <w:pPr>
        <w:pStyle w:val="TextBody"/>
        <w:bidi w:val="0"/>
        <w:spacing w:before="240" w:after="0"/>
        <w:jc w:val="left"/>
        <w:rPr>
          <w:rFonts w:ascii="Times New Roman" w:hAnsi="Times New Roman"/>
          <w:sz w:val="20"/>
        </w:rPr>
      </w:pPr>
      <w:r>
        <w:rPr>
          <w:rFonts w:ascii="Times New Roman" w:hAnsi="Times New Roman"/>
          <w:sz w:val="20"/>
        </w:rPr>
        <w:t xml:space="preserve">(d) The Securities Purchase Agreement shall be in full force and effect and not subject to any termination, rescission or material adverse modification, and all conditions to the funding thereunder shall have been satisfied or waived (other than those to be satisfied at Closing) and cash proceeds of not less than the Concurrent Financing Amount shall have been received by Caldera, or will be received by Caldera substantially simultaneously with the Closing, in connection with the consummation of the transactions contemplated by the Securities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Registration Statement shall have become effective in accordance with the provisions of the Securities Act, and shall not be subject to any stop order or proceeding seeking a stop order with respect to such Registration Statement that has not been withdrawn.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Conditions Precedent to Obligations of Caldera</w:t>
      </w:r>
      <w:r>
        <w:rPr>
          <w:rFonts w:ascii="Times New Roman" w:hAnsi="Times New Roman"/>
          <w:sz w:val="20"/>
        </w:rPr>
        <w:t xml:space="preserve">. The obligations of Caldera to effect the Mergers and otherwise consummate the Contemplated Transactions are subject to the satisfaction or, to the extent permitted by applicable law, the written waiver by Caldera,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Each of the Synlogic Fundamental Representations shall have been true, complete and correct in all respects as of the date of this Agreement and shall be true, complete and correct in all material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Synlogic Capitalization Representations shall have been true, complete and correct in all respects as of the date of this Agreement and shall be true, complete and correct on and as of immediately prior to the Synlogic Effective Time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Synlogic contained in this Agreement (other than the Synlogic Fundamental Representations and the Synlogic Capitalization Representations) shall have been true and correct in all respects as of the date of this Agreement and shall be true and correct on and as of the Closing Date with the same force and effect as if made on the Closing Date except (i) in each case, or in the aggregate, where the failure to be true and correct would not reasonably be expected to have a Synlogic Material Adverse Effect (without giving effect to any references therein to any Synlogic Material Adverse Effect or other materiality qualifications) or (ii) for those representations and warranties which address matters only as of a particular date (which representations shall have been true and correct, subject to the qualifications as set forth in the preceding clause (i), as of such particular date) (it being understood that, for purposes of determining the accuracy of such representations and warranties, any update of or modification to the Synlogic Disclosure Schedule made or purported to have been made after the date of this Agreement shall be disregarded). </w:t>
      </w:r>
    </w:p>
    <w:p>
      <w:pPr>
        <w:pStyle w:val="TextBody"/>
        <w:bidi w:val="0"/>
        <w:spacing w:before="240" w:after="0"/>
        <w:jc w:val="left"/>
        <w:rPr>
          <w:rFonts w:ascii="Times New Roman" w:hAnsi="Times New Roman"/>
          <w:sz w:val="20"/>
        </w:rPr>
      </w:pPr>
      <w:r>
        <w:rPr>
          <w:rFonts w:ascii="Times New Roman" w:hAnsi="Times New Roman"/>
          <w:sz w:val="20"/>
        </w:rPr>
        <w:t xml:space="preserve">(b) Synlogic, Parent, Caldera Merger Sub and Synlogic Merger Sub shall have performed or complied in all material respects with all covenants and agreements required to be performed or complied with by it under this Agreement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A Synlogic Material Adverse Effect shall not have occurred since the date of this Agreement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(d) The existing shares of Synlogic Common Stock shall have remained quoted on the OTC Pink as of and from the date of this Agreement through the Closing Date. </w:t>
      </w:r>
    </w:p>
    <w:p>
      <w:pPr>
        <w:pStyle w:val="TextBody"/>
        <w:bidi w:val="0"/>
        <w:spacing w:before="240" w:after="0"/>
        <w:jc w:val="left"/>
        <w:rPr>
          <w:rFonts w:ascii="Times New Roman" w:hAnsi="Times New Roman"/>
          <w:sz w:val="20"/>
        </w:rPr>
      </w:pPr>
      <w:r>
        <w:rPr>
          <w:rFonts w:ascii="Times New Roman" w:hAnsi="Times New Roman"/>
          <w:sz w:val="20"/>
        </w:rPr>
        <w:t>(e) Synlogic shall have delivered to Caldera a certificate (the “</w:t>
      </w:r>
      <w:r>
        <w:rPr>
          <w:rFonts w:ascii="Times New Roman" w:hAnsi="Times New Roman"/>
          <w:b/>
          <w:sz w:val="20"/>
        </w:rPr>
        <w:t>Synlogic Closing Certificate</w:t>
      </w:r>
      <w:r>
        <w:rPr>
          <w:rFonts w:ascii="Times New Roman" w:hAnsi="Times New Roman"/>
          <w:sz w:val="20"/>
        </w:rPr>
        <w:t xml:space="preserve">”), dated the Closing Date and signed by an executive officer of Synlogic, certifying to the effect that the conditions set forth in </w:t>
      </w:r>
      <w:r>
        <w:rPr>
          <w:rFonts w:ascii="Times New Roman" w:hAnsi="Times New Roman"/>
          <w:sz w:val="20"/>
          <w:u w:val="single"/>
        </w:rPr>
        <w:t>Sections 8.2(a)</w:t>
      </w:r>
      <w:r>
        <w:rPr>
          <w:rFonts w:ascii="Times New Roman" w:hAnsi="Times New Roman"/>
          <w:sz w:val="20"/>
        </w:rPr>
        <w:t xml:space="preserve">, </w:t>
      </w:r>
      <w:r>
        <w:rPr>
          <w:rFonts w:ascii="Times New Roman" w:hAnsi="Times New Roman"/>
          <w:sz w:val="20"/>
          <w:u w:val="single"/>
        </w:rPr>
        <w:t>8.2(b)</w:t>
      </w:r>
      <w:r>
        <w:rPr>
          <w:rFonts w:ascii="Times New Roman" w:hAnsi="Times New Roman"/>
          <w:sz w:val="20"/>
        </w:rPr>
        <w:t xml:space="preserve"> and </w:t>
      </w:r>
      <w:r>
        <w:rPr>
          <w:rFonts w:ascii="Times New Roman" w:hAnsi="Times New Roman"/>
          <w:sz w:val="20"/>
          <w:u w:val="single"/>
        </w:rPr>
        <w:t>8.2(c)</w:t>
      </w:r>
      <w:r>
        <w:rPr>
          <w:rFonts w:ascii="Times New Roman" w:hAnsi="Times New Roman"/>
          <w:sz w:val="20"/>
        </w:rPr>
        <w:t xml:space="preserve">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All conditions to the Synlogic Merger shall have been satisfied or waived (other than those to be satisfied at Closing) and the Synlogic Certificate of Merger shall have been filed by Parent, or will be filed by Parent substantially simultaneously with the Caldera Certificate of Merger.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Conditions Precedent to Obligations of Synlogic, Parent, Caldera Merger Sub and Synlogic Merger Sub</w:t>
      </w:r>
      <w:r>
        <w:rPr>
          <w:rFonts w:ascii="Times New Roman" w:hAnsi="Times New Roman"/>
          <w:sz w:val="20"/>
        </w:rPr>
        <w:t xml:space="preserve">. The obligations of Synlogic, Parent, Caldera Merger Sub and Synlogic Merger Sub to effect the Mergers and otherwise consummate the Contemplated Transactions are subject to the satisfaction or, to the extent permitted by applicable law, the written waiver by Synlogic, Caldera Merger Sub and Synlogic Merger Sub,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Each of the Caldera Fundamental Representations shall have been true, complete and correct in all respects as of the date of this Agreement and shall be true, complete and correct in all material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Caldera Capitalization Representations shall have been true, complete and correct in all respects as of the date of this Agreement and shall be true and correct on and as of immediately prior to the Caldera Effective Time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Caldera contained in this Agreement (other than the Caldera Fundamental Representations and the Caldera Capitalization Representations) shall have been true and correct in all respects as of the date of this Agreement and shall be true and correct on and as of the Closing Date with the same force and effect as if made on the Closing Date except (i) in each case, or in the aggregate, where the failure to be so true and correct would not reasonably be expected to have a Caldera Material Adverse Effect (without giving effect to any references therein to any Caldera Material Adverse Effect or other materiality qualifications) or (ii)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Caldera Disclosure Schedule made or purported to have been made after the date of this Agreement shall be disregarded). </w:t>
      </w:r>
    </w:p>
    <w:p>
      <w:pPr>
        <w:pStyle w:val="TextBody"/>
        <w:bidi w:val="0"/>
        <w:spacing w:before="240" w:after="0"/>
        <w:jc w:val="left"/>
        <w:rPr>
          <w:rFonts w:ascii="Times New Roman" w:hAnsi="Times New Roman"/>
          <w:sz w:val="20"/>
        </w:rPr>
      </w:pPr>
      <w:r>
        <w:rPr>
          <w:rFonts w:ascii="Times New Roman" w:hAnsi="Times New Roman"/>
          <w:sz w:val="20"/>
        </w:rPr>
        <w:t xml:space="preserve">(b) Caldera shall have performed and complied in all material respects with all covenants and agreements required to be performed or complied with by it under this Agreement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A Caldera Material Adverse Effect shall not have occurred since the date of this Agreement and be continuing. </w:t>
      </w:r>
    </w:p>
    <w:p>
      <w:pPr>
        <w:pStyle w:val="TextBody"/>
        <w:bidi w:val="0"/>
        <w:spacing w:before="240" w:after="0"/>
        <w:jc w:val="left"/>
        <w:rPr>
          <w:rFonts w:ascii="Times New Roman" w:hAnsi="Times New Roman"/>
          <w:sz w:val="20"/>
        </w:rPr>
      </w:pPr>
      <w:r>
        <w:rPr>
          <w:rFonts w:ascii="Times New Roman" w:hAnsi="Times New Roman"/>
          <w:sz w:val="20"/>
        </w:rPr>
        <w:t>(d) Caldera shall have delivered to Synlogic a certificate (the “</w:t>
      </w:r>
      <w:r>
        <w:rPr>
          <w:rFonts w:ascii="Times New Roman" w:hAnsi="Times New Roman"/>
          <w:b/>
          <w:sz w:val="20"/>
        </w:rPr>
        <w:t>Caldera</w:t>
      </w:r>
      <w:r>
        <w:rPr>
          <w:rFonts w:ascii="Times New Roman" w:hAnsi="Times New Roman"/>
          <w:sz w:val="20"/>
        </w:rPr>
        <w:t xml:space="preserve"> </w:t>
      </w:r>
      <w:r>
        <w:rPr>
          <w:rFonts w:ascii="Times New Roman" w:hAnsi="Times New Roman"/>
          <w:b/>
          <w:sz w:val="20"/>
        </w:rPr>
        <w:t>Closing Certificate</w:t>
      </w:r>
      <w:r>
        <w:rPr>
          <w:rFonts w:ascii="Times New Roman" w:hAnsi="Times New Roman"/>
          <w:sz w:val="20"/>
        </w:rPr>
        <w:t xml:space="preserve">”), dated the Closing Date and signed by an executive officer of Caldera, certifying to the effect that (i) the conditions set forth in </w:t>
      </w:r>
      <w:r>
        <w:rPr>
          <w:rFonts w:ascii="Times New Roman" w:hAnsi="Times New Roman"/>
          <w:sz w:val="20"/>
          <w:u w:val="single"/>
        </w:rPr>
        <w:t>Sections 8.3(a)</w:t>
      </w:r>
      <w:r>
        <w:rPr>
          <w:rFonts w:ascii="Times New Roman" w:hAnsi="Times New Roman"/>
          <w:sz w:val="20"/>
        </w:rPr>
        <w:t xml:space="preserve">, </w:t>
      </w:r>
      <w:r>
        <w:rPr>
          <w:rFonts w:ascii="Times New Roman" w:hAnsi="Times New Roman"/>
          <w:sz w:val="20"/>
          <w:u w:val="single"/>
        </w:rPr>
        <w:t>8.3(b)</w:t>
      </w:r>
      <w:r>
        <w:rPr>
          <w:rFonts w:ascii="Times New Roman" w:hAnsi="Times New Roman"/>
          <w:sz w:val="20"/>
        </w:rPr>
        <w:t xml:space="preserve"> and </w:t>
      </w:r>
      <w:r>
        <w:rPr>
          <w:rFonts w:ascii="Times New Roman" w:hAnsi="Times New Roman"/>
          <w:sz w:val="20"/>
          <w:u w:val="single"/>
        </w:rPr>
        <w:t>8.3(c)</w:t>
      </w:r>
      <w:r>
        <w:rPr>
          <w:rFonts w:ascii="Times New Roman" w:hAnsi="Times New Roman"/>
          <w:sz w:val="20"/>
        </w:rPr>
        <w:t xml:space="preserve"> have been satisfied and (ii) the information set forth in the Allocation Certificate delivered by Caldera in accordance with </w:t>
      </w:r>
      <w:r>
        <w:rPr>
          <w:rFonts w:ascii="Times New Roman" w:hAnsi="Times New Roman"/>
          <w:sz w:val="20"/>
          <w:u w:val="single"/>
        </w:rPr>
        <w:t>Section 7.13</w:t>
      </w:r>
      <w:r>
        <w:rPr>
          <w:rFonts w:ascii="Times New Roman" w:hAnsi="Times New Roman"/>
          <w:sz w:val="20"/>
        </w:rPr>
        <w:t xml:space="preserve"> is true and accurate in all respects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(e) The Lock-Up Agreements will continue to be in full force and effect as of immediately following the Caldera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All conditions to the Caldera Merger shall have been satisfied or waived (other than those to be satisfied at Closing) and the Caldera Certificate of Merger shall have been filed by Parent, or will be filed by Parent substantially simultaneously with the Synlogic Certificate of Merger.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Frustration of Closing Conditions</w:t>
      </w:r>
      <w:r>
        <w:rPr>
          <w:rFonts w:ascii="Times New Roman" w:hAnsi="Times New Roman"/>
          <w:sz w:val="20"/>
        </w:rPr>
        <w:t xml:space="preserve">. Synlogic may not rely on the failure of any conditions set forth in </w:t>
      </w:r>
      <w:r>
        <w:rPr>
          <w:rFonts w:ascii="Times New Roman" w:hAnsi="Times New Roman"/>
          <w:sz w:val="20"/>
          <w:u w:val="single"/>
        </w:rPr>
        <w:t>Sections 8.1</w:t>
      </w:r>
      <w:r>
        <w:rPr>
          <w:rFonts w:ascii="Times New Roman" w:hAnsi="Times New Roman"/>
          <w:sz w:val="20"/>
        </w:rPr>
        <w:t xml:space="preserve"> or </w:t>
      </w:r>
      <w:r>
        <w:rPr>
          <w:rFonts w:ascii="Times New Roman" w:hAnsi="Times New Roman"/>
          <w:sz w:val="20"/>
          <w:u w:val="single"/>
        </w:rPr>
        <w:t>8.3</w:t>
      </w:r>
      <w:r>
        <w:rPr>
          <w:rFonts w:ascii="Times New Roman" w:hAnsi="Times New Roman"/>
          <w:sz w:val="20"/>
        </w:rPr>
        <w:t xml:space="preserve"> to be satisfied if the primary cause of such failure was the failure of Synlogic to perform any of its obligations under this Agreement. Caldera may not rely on the failure of any conditions set forth in </w:t>
      </w:r>
      <w:r>
        <w:rPr>
          <w:rFonts w:ascii="Times New Roman" w:hAnsi="Times New Roman"/>
          <w:sz w:val="20"/>
          <w:u w:val="single"/>
        </w:rPr>
        <w:t>Sections 8.1</w:t>
      </w:r>
      <w:r>
        <w:rPr>
          <w:rFonts w:ascii="Times New Roman" w:hAnsi="Times New Roman"/>
          <w:sz w:val="20"/>
        </w:rPr>
        <w:t xml:space="preserve"> or </w:t>
      </w:r>
      <w:r>
        <w:rPr>
          <w:rFonts w:ascii="Times New Roman" w:hAnsi="Times New Roman"/>
          <w:sz w:val="20"/>
          <w:u w:val="single"/>
        </w:rPr>
        <w:t>8.2</w:t>
      </w:r>
      <w:r>
        <w:rPr>
          <w:rFonts w:ascii="Times New Roman" w:hAnsi="Times New Roman"/>
          <w:sz w:val="20"/>
        </w:rPr>
        <w:t xml:space="preserve"> to be satisfied if the primary cause of such failure was the failure of Caldera to perform any of its obligations under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CLOSING DELIVERIES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Closing Deliveries of Caldera</w:t>
      </w:r>
      <w:r>
        <w:rPr>
          <w:rFonts w:ascii="Times New Roman" w:hAnsi="Times New Roman"/>
          <w:sz w:val="20"/>
        </w:rPr>
        <w:t xml:space="preserve">. The obligations of Synlogic, Parent, Caldera Merger Sub and Synlogic Merger Sub to effect the Mergers and otherwise consummate the Contemplated Transactions are subject to Synlogic receiving the following documents, each of which shall be in full force and effect, or the written waiver by Synlogic of delivery: </w:t>
      </w:r>
    </w:p>
    <w:p>
      <w:pPr>
        <w:pStyle w:val="TextBody"/>
        <w:bidi w:val="0"/>
        <w:spacing w:before="120" w:after="0"/>
        <w:jc w:val="left"/>
        <w:rPr>
          <w:rFonts w:ascii="Times New Roman" w:hAnsi="Times New Roman"/>
          <w:sz w:val="20"/>
        </w:rPr>
      </w:pPr>
      <w:r>
        <w:rPr>
          <w:rFonts w:ascii="Times New Roman" w:hAnsi="Times New Roman"/>
          <w:sz w:val="20"/>
        </w:rPr>
        <w:t xml:space="preserve">(a) the Caldera Stockholder Written Consents; </w:t>
      </w:r>
    </w:p>
    <w:p>
      <w:pPr>
        <w:pStyle w:val="TextBody"/>
        <w:bidi w:val="0"/>
        <w:spacing w:before="240" w:after="0"/>
        <w:jc w:val="left"/>
        <w:rPr>
          <w:rFonts w:ascii="Times New Roman" w:hAnsi="Times New Roman"/>
          <w:sz w:val="20"/>
        </w:rPr>
      </w:pPr>
      <w:r>
        <w:rPr>
          <w:rFonts w:ascii="Times New Roman" w:hAnsi="Times New Roman"/>
          <w:sz w:val="20"/>
        </w:rPr>
        <w:t xml:space="preserve">(b) the Allocation Certificate; and </w:t>
      </w:r>
    </w:p>
    <w:p>
      <w:pPr>
        <w:pStyle w:val="TextBody"/>
        <w:bidi w:val="0"/>
        <w:spacing w:before="240" w:after="0"/>
        <w:jc w:val="left"/>
        <w:rPr>
          <w:rFonts w:ascii="Times New Roman" w:hAnsi="Times New Roman"/>
          <w:sz w:val="20"/>
        </w:rPr>
      </w:pPr>
      <w:r>
        <w:rPr>
          <w:rFonts w:ascii="Times New Roman" w:hAnsi="Times New Roman"/>
          <w:sz w:val="20"/>
        </w:rPr>
        <w:t xml:space="preserve">(c) the Caldera Closing Certificate.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Closing Deliveries of Synlogic</w:t>
      </w:r>
      <w:r>
        <w:rPr>
          <w:rFonts w:ascii="Times New Roman" w:hAnsi="Times New Roman"/>
          <w:sz w:val="20"/>
        </w:rPr>
        <w:t xml:space="preserve">. The obligations of Caldera to effect the Mergers and otherwise consummate the Contemplated Transactions are subject to Caldera receiving the following documents, each of which shall be in full force and effect, or the written waiver by Caldera of delivery: </w:t>
      </w:r>
    </w:p>
    <w:p>
      <w:pPr>
        <w:pStyle w:val="TextBody"/>
        <w:bidi w:val="0"/>
        <w:spacing w:before="120" w:after="0"/>
        <w:jc w:val="left"/>
        <w:rPr>
          <w:rFonts w:ascii="Times New Roman" w:hAnsi="Times New Roman"/>
          <w:sz w:val="20"/>
        </w:rPr>
      </w:pPr>
      <w:r>
        <w:rPr>
          <w:rFonts w:ascii="Times New Roman" w:hAnsi="Times New Roman"/>
          <w:sz w:val="20"/>
        </w:rPr>
        <w:t xml:space="preserve">(a) the Synlogic Net Cash Schedule; </w:t>
      </w:r>
    </w:p>
    <w:p>
      <w:pPr>
        <w:pStyle w:val="TextBody"/>
        <w:bidi w:val="0"/>
        <w:spacing w:before="240" w:after="0"/>
        <w:jc w:val="left"/>
        <w:rPr>
          <w:rFonts w:ascii="Times New Roman" w:hAnsi="Times New Roman"/>
          <w:sz w:val="20"/>
        </w:rPr>
      </w:pPr>
      <w:r>
        <w:rPr>
          <w:rFonts w:ascii="Times New Roman" w:hAnsi="Times New Roman"/>
          <w:sz w:val="20"/>
        </w:rPr>
        <w:t xml:space="preserve">(b) the Synlogic Closing Certificate; and </w:t>
      </w:r>
    </w:p>
    <w:p>
      <w:pPr>
        <w:pStyle w:val="TextBody"/>
        <w:bidi w:val="0"/>
        <w:spacing w:before="240" w:after="0"/>
        <w:jc w:val="left"/>
        <w:rPr>
          <w:rFonts w:ascii="Times New Roman" w:hAnsi="Times New Roman"/>
          <w:sz w:val="20"/>
        </w:rPr>
      </w:pPr>
      <w:r>
        <w:rPr>
          <w:rFonts w:ascii="Times New Roman" w:hAnsi="Times New Roman"/>
          <w:sz w:val="20"/>
        </w:rPr>
        <w:t xml:space="preserve">(c) written resignations in forms satisfactory to Caldera, dated as of the Closing Date and effective as of the Closing executed by the officers and directors of Synlogic who are not to continue as officers or directors of Synlogic pursuant to </w:t>
      </w:r>
      <w:r>
        <w:rPr>
          <w:rFonts w:ascii="Times New Roman" w:hAnsi="Times New Roman"/>
          <w:sz w:val="20"/>
          <w:u w:val="single"/>
        </w:rPr>
        <w:t>Section 7.10</w:t>
      </w:r>
      <w:r>
        <w:rPr>
          <w:rFonts w:ascii="Times New Roman" w:hAnsi="Times New Roman"/>
          <w:sz w:val="20"/>
        </w:rPr>
        <w:t xml:space="preserve"> 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Termination</w:t>
      </w:r>
      <w:r>
        <w:rPr>
          <w:rFonts w:ascii="Times New Roman" w:hAnsi="Times New Roman"/>
          <w:sz w:val="20"/>
        </w:rPr>
        <w:t xml:space="preserve">. This Agreement may be terminated, and the Mergers and the Contemplated Transactions may be abandoned at any time prior to the Closing Date, whether before or (subject to the terms hereof) after approval of the Synlogic Stockholder Matters by Synlogic’s stockholders, unless otherwise specified below: </w:t>
      </w:r>
    </w:p>
    <w:p>
      <w:pPr>
        <w:pStyle w:val="TextBody"/>
        <w:bidi w:val="0"/>
        <w:spacing w:before="120" w:after="0"/>
        <w:jc w:val="left"/>
        <w:rPr>
          <w:rFonts w:ascii="Times New Roman" w:hAnsi="Times New Roman"/>
          <w:sz w:val="20"/>
        </w:rPr>
      </w:pPr>
      <w:r>
        <w:rPr>
          <w:rFonts w:ascii="Times New Roman" w:hAnsi="Times New Roman"/>
          <w:sz w:val="20"/>
        </w:rPr>
        <w:t xml:space="preserve">(a) by mutual written consent of Synlogic and Caldera; </w:t>
      </w:r>
    </w:p>
    <w:p>
      <w:pPr>
        <w:pStyle w:val="TextBody"/>
        <w:bidi w:val="0"/>
        <w:spacing w:before="240" w:after="0"/>
        <w:jc w:val="left"/>
        <w:rPr>
          <w:rFonts w:ascii="Times New Roman" w:hAnsi="Times New Roman"/>
          <w:sz w:val="20"/>
        </w:rPr>
      </w:pPr>
      <w:r>
        <w:rPr>
          <w:rFonts w:ascii="Times New Roman" w:hAnsi="Times New Roman"/>
          <w:sz w:val="20"/>
        </w:rPr>
        <w:t xml:space="preserve">(b) by either Synlogic or Caldera if the Mergers shall not have been consummated by January 28, 2027 (subject to possible extension as provided in this </w:t>
      </w:r>
      <w:r>
        <w:rPr>
          <w:rFonts w:ascii="Times New Roman" w:hAnsi="Times New Roman"/>
          <w:sz w:val="20"/>
          <w:u w:val="single"/>
        </w:rPr>
        <w:t>Section 10.1(b)</w:t>
      </w:r>
      <w:r>
        <w:rPr>
          <w:rFonts w:ascii="Times New Roman" w:hAnsi="Times New Roman"/>
          <w:sz w:val="20"/>
        </w:rPr>
        <w:t>, the “</w:t>
      </w:r>
      <w:r>
        <w:rPr>
          <w:rFonts w:ascii="Times New Roman" w:hAnsi="Times New Roman"/>
          <w:b/>
          <w:sz w:val="20"/>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10.1(b)</w:t>
      </w:r>
      <w:r>
        <w:rPr>
          <w:rFonts w:ascii="Times New Roman" w:hAnsi="Times New Roman"/>
          <w:sz w:val="20"/>
        </w:rPr>
        <w:t xml:space="preserve"> shall not be available to Synlogic or Caldera if such Party’s action or failure to act has been a principal cause of the failure of the Mergers to occur on or before the Outside Date and such action or failure to act constitutes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breach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however, that, in the event that the SEC has not declared effective under the Securities Act the Registration Statement by the date which is twenty-five (25) days prior to the Outside Date, then, if requested by either Synlogic or Caldera, the Parties shall discuss in good faith an extension to the Outside Date for an additional thirty (30) days, including, if requested by Caldera, discussing in good faith a loan by Synlogic to Caldera to fund development activities, trials and working capital requirements in such period; </w:t>
      </w:r>
    </w:p>
    <w:p>
      <w:pPr>
        <w:pStyle w:val="TextBody"/>
        <w:bidi w:val="0"/>
        <w:spacing w:before="240" w:after="0"/>
        <w:jc w:val="left"/>
        <w:rPr>
          <w:rFonts w:ascii="Times New Roman" w:hAnsi="Times New Roman"/>
          <w:sz w:val="20"/>
        </w:rPr>
      </w:pPr>
      <w:r>
        <w:rPr>
          <w:rFonts w:ascii="Times New Roman" w:hAnsi="Times New Roman"/>
          <w:sz w:val="20"/>
        </w:rPr>
        <w:t xml:space="preserve">(c) by either Synlogic or Caldera if a court of competent jurisdiction or other Governmental Authority shall have issued a final and nonappealable Order, or shall have taken any other action, having the effect of permanently restraining, enjoining or otherwise prohibiting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by Synlogic if the Required Caldera Stockholder Approval shall not have been obtained and evidence thereof delivered to Synlogic within fifteen (15) days of the Registration Statement becoming effective in accordance with the provisions of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once the Required Caldera Stockholder Approval has been obtained, Synlogic may not terminate this Agreement pursuant to this </w:t>
      </w:r>
      <w:r>
        <w:rPr>
          <w:rFonts w:ascii="Times New Roman" w:hAnsi="Times New Roman"/>
          <w:sz w:val="20"/>
          <w:u w:val="single"/>
        </w:rPr>
        <w:t>Section 10.1(d)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by either Caldera or Synlogic if (i) the Synlogic Stockholder Meeting (including any adjournments and postponements thereof) shall have been held and completed and Synlogic’s stockholders shall have taken a final vote on the Synlogic Stockholder Matters and (ii) the Synlogic Stockholder Matters shall not have been approved at the Synlogic Stockholder Meeting (or at any adjournment or postponement thereof) by the Required Synlogic Stockholder Vote; provided, however, that the right to terminate this Agreement under this Section 10.1(e) shall not be available to Synlogic where the failure to obtain the Required Synlogic Stockholder Vote shall have been caused by the action or failure to act of Synlogic and such action or failure to act constitutes a material breach by Synlogic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by Caldera (at any time prior to the approval of the Synlogic Stockholder Matters by the Required Synlogic Stockholder Approval) if a Synlogic Triggering Event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(g) by Synlogic (at any time prior to the adoption of this Agreement and the approval of the Contemplated Transactions by the Required Caldera Stockholder Approval) if (i) a Caldera Triggering Event shall have occurred or (ii) the Caldera Board or any committee thereof shall have made a Caldera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(h) by Caldera, upon a material breach of any representation, warranty, covenant or agreement set forth in this Agreement by Synlogic, Parent, Caldera Merger Sub or Synlogic Merger Sub or if any representation or warranty of Synlogic shall have become inaccurate such that the conditions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would not be satisfied as of the time of such breach or as of the time such representation or warranty shall have become inaccurate; provided that Caldera is not then in material breach of any representation, warranty, covenant or agreement under this Agreement; provided, further, that if such inaccuracy in Synlogic’s representations and warranties or breach by Synlogic, Parent, Caldera Merger Sub or Synlogic Merger Sub is curable by Synlogic, Parent, Caldera Merger Sub or Synlogic Merger Sub, as applicable, then this Agreement shall not terminate pursuant to this </w:t>
      </w:r>
      <w:r>
        <w:rPr>
          <w:rFonts w:ascii="Times New Roman" w:hAnsi="Times New Roman"/>
          <w:sz w:val="20"/>
          <w:u w:val="single"/>
        </w:rPr>
        <w:t>Section 10.1(h)</w:t>
      </w:r>
      <w:r>
        <w:rPr>
          <w:rFonts w:ascii="Times New Roman" w:hAnsi="Times New Roman"/>
          <w:sz w:val="20"/>
        </w:rPr>
        <w:t xml:space="preserve"> as a result of such particular breach or inaccuracy until the expiration of a 30-day period commencing upon delivery of written notice from Caldera to Synlogic of such breach or inaccuracy and its intention to terminate pursuant to this </w:t>
      </w:r>
      <w:r>
        <w:rPr>
          <w:rFonts w:ascii="Times New Roman" w:hAnsi="Times New Roman"/>
          <w:sz w:val="20"/>
          <w:u w:val="single"/>
        </w:rPr>
        <w:t>Section 10.1(h)</w:t>
      </w:r>
      <w:r>
        <w:rPr>
          <w:rFonts w:ascii="Times New Roman" w:hAnsi="Times New Roman"/>
          <w:sz w:val="20"/>
        </w:rPr>
        <w:t xml:space="preserve"> (it being understood that this Agreement shall not terminate pursuant to this </w:t>
      </w:r>
      <w:r>
        <w:rPr>
          <w:rFonts w:ascii="Times New Roman" w:hAnsi="Times New Roman"/>
          <w:sz w:val="20"/>
          <w:u w:val="single"/>
        </w:rPr>
        <w:t>Section 10.1(h)</w:t>
      </w:r>
      <w:r>
        <w:rPr>
          <w:rFonts w:ascii="Times New Roman" w:hAnsi="Times New Roman"/>
          <w:sz w:val="20"/>
        </w:rPr>
        <w:t xml:space="preserve"> as a result of such particular breach or inaccuracy if such breach by Synlogic, Parent, Caldera Merger Sub or Synlogic Merger Sub is cured prior to such termination becoming effective); provided, further, a non-willful breach by Synlogic of its obligations to file or cause the filing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Registration Statement by the Filing Deadline under </w:t>
      </w:r>
      <w:r>
        <w:rPr>
          <w:rFonts w:ascii="Times New Roman" w:hAnsi="Times New Roman"/>
          <w:sz w:val="20"/>
          <w:u w:val="single"/>
        </w:rPr>
        <w:t>Section 7.1(a)</w:t>
      </w:r>
      <w:r>
        <w:rPr>
          <w:rFonts w:ascii="Times New Roman" w:hAnsi="Times New Roman"/>
          <w:sz w:val="20"/>
        </w:rPr>
        <w:t xml:space="preserve"> shall not permit a termination by Caldera pursuant to this </w:t>
      </w:r>
      <w:r>
        <w:rPr>
          <w:rFonts w:ascii="Times New Roman" w:hAnsi="Times New Roman"/>
          <w:sz w:val="20"/>
          <w:u w:val="single"/>
        </w:rPr>
        <w:t>Section 10.1(h)</w:t>
      </w:r>
      <w:r>
        <w:rPr>
          <w:rFonts w:ascii="Times New Roman" w:hAnsi="Times New Roman"/>
          <w:sz w:val="20"/>
        </w:rPr>
        <w:t xml:space="preserve">, if the failure to file the Registration Statement by the Filing Deadline resulted from (i) events or circumstances outside of the reasonable control of Synlogic or (ii) Caldera’s breach of its obligations under this Agreement or Caldera’s failure to timely furnish information concerning itself that was reasonably and timely requested in connection with, and necessary for, the preparation of the Registration Statement and Synlogic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(i) by Synlogic, upon a material breach of any representation, warranty, covenant or agreement set forth in this Agreement by Caldera, or if any representation or warranty of Caldera shall have become inaccurate, in either case, such that the conditions set forth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none of Synlogic, Parent, Caldera Merger Sub or Synlogic Merger Sub is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Caldera’s representations and warranties or breach by Caldera is curable by Caldera, then this Agreement shall not terminate pursuant to this </w:t>
      </w:r>
      <w:r>
        <w:rPr>
          <w:rFonts w:ascii="Times New Roman" w:hAnsi="Times New Roman"/>
          <w:sz w:val="20"/>
          <w:u w:val="single"/>
        </w:rPr>
        <w:t>Section 10.1(i)</w:t>
      </w:r>
      <w:r>
        <w:rPr>
          <w:rFonts w:ascii="Times New Roman" w:hAnsi="Times New Roman"/>
          <w:sz w:val="20"/>
        </w:rPr>
        <w:t xml:space="preserve"> as a result of such particular breach or inaccuracy until the expiration of a 30-day period commencing upon delivery of written notice from Synlogic to Caldera of such breach or inaccuracy and its intention to terminate pursuant to this </w:t>
      </w:r>
      <w:r>
        <w:rPr>
          <w:rFonts w:ascii="Times New Roman" w:hAnsi="Times New Roman"/>
          <w:sz w:val="20"/>
          <w:u w:val="single"/>
        </w:rPr>
        <w:t>Section 10.1(i)</w:t>
      </w:r>
      <w:r>
        <w:rPr>
          <w:rFonts w:ascii="Times New Roman" w:hAnsi="Times New Roman"/>
          <w:sz w:val="20"/>
        </w:rPr>
        <w:t xml:space="preserve"> (it being understood that this Agreement shall not terminate pursuant to this </w:t>
      </w:r>
      <w:r>
        <w:rPr>
          <w:rFonts w:ascii="Times New Roman" w:hAnsi="Times New Roman"/>
          <w:sz w:val="20"/>
          <w:u w:val="single"/>
        </w:rPr>
        <w:t>Section 10.1(i)</w:t>
      </w:r>
      <w:r>
        <w:rPr>
          <w:rFonts w:ascii="Times New Roman" w:hAnsi="Times New Roman"/>
          <w:sz w:val="20"/>
        </w:rPr>
        <w:t xml:space="preserve"> as a result of such particular breach or inaccuracy if such breach by Caldera is cured prior to such termination becoming effective); provided, further, a non-willful breach by Caldera of its obligations to cooperate with Parent and Synlogic to file or cause the filing of the Registration Statement by the Filing Deadline under </w:t>
      </w:r>
      <w:r>
        <w:rPr>
          <w:rFonts w:ascii="Times New Roman" w:hAnsi="Times New Roman"/>
          <w:sz w:val="20"/>
          <w:u w:val="single"/>
        </w:rPr>
        <w:t>Section 7.1(a)</w:t>
      </w:r>
      <w:r>
        <w:rPr>
          <w:rFonts w:ascii="Times New Roman" w:hAnsi="Times New Roman"/>
          <w:sz w:val="20"/>
        </w:rPr>
        <w:t xml:space="preserve"> shall not permit a termination by Synlogic pursuant to this </w:t>
      </w:r>
      <w:r>
        <w:rPr>
          <w:rFonts w:ascii="Times New Roman" w:hAnsi="Times New Roman"/>
          <w:sz w:val="20"/>
          <w:u w:val="single"/>
        </w:rPr>
        <w:t>Section 10.1(i)</w:t>
      </w:r>
      <w:r>
        <w:rPr>
          <w:rFonts w:ascii="Times New Roman" w:hAnsi="Times New Roman"/>
          <w:sz w:val="20"/>
        </w:rPr>
        <w:t xml:space="preserve">, if the failure to cooperate with Parent and Synlogic to file the Registration Statement by the Filing Deadline resulted from (i) events or circumstances outside of the reasonable control of Caldera or (ii) Synlogic’s breach of its obligations under this Agreement or Synlogic’s failure to timely furnish information concerning itself that was reasonably and timely requested in connection with, and necessary for, the preparation of the Registration Statement and Synlogic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(j) by Synlogic (at any time prior to obtaining the Required Synlogic Stockholder Approval) and following compliance with all of the requirements set forth in the proviso to this </w:t>
      </w:r>
      <w:r>
        <w:rPr>
          <w:rFonts w:ascii="Times New Roman" w:hAnsi="Times New Roman"/>
          <w:sz w:val="20"/>
          <w:u w:val="single"/>
        </w:rPr>
        <w:t>Section 10.1(j)</w:t>
      </w:r>
      <w:r>
        <w:rPr>
          <w:rFonts w:ascii="Times New Roman" w:hAnsi="Times New Roman"/>
          <w:sz w:val="20"/>
        </w:rPr>
        <w:t>, concurrently with Synlogic’s entering into a definitive agreement for a Superior Offer (a “</w:t>
      </w:r>
      <w:r>
        <w:rPr>
          <w:rFonts w:ascii="Times New Roman" w:hAnsi="Times New Roman"/>
          <w:b/>
          <w:sz w:val="20"/>
        </w:rPr>
        <w:t>Permitted Alternative Agreement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Synlogic shall not enter into any Permitted Alternative Agreement unless: (i) Caldera shall have received written notice from Synlogic of Synlogic’s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Synlogic shall have complied with its obligations under </w:t>
      </w:r>
      <w:r>
        <w:rPr>
          <w:rFonts w:ascii="Times New Roman" w:hAnsi="Times New Roman"/>
          <w:sz w:val="20"/>
          <w:u w:val="single"/>
        </w:rPr>
        <w:t>Section 6.5</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(including with respect to delivery of all required written notices), and (iii) the Synlogic Board shall have determined in good faith, after consultation with its outside legal counsel and reasonable consideration of relevant factors, that the failure to enter into such Permitted Alternative Agreement would reasonably be expected to be inconsistent with its fiduciary obligations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(k) by Caldera (at any time prior to obtaining the Required Caldera Stockholder Approval) and following compliance with all of the requirements set forth in the proviso to this </w:t>
      </w:r>
      <w:r>
        <w:rPr>
          <w:rFonts w:ascii="Times New Roman" w:hAnsi="Times New Roman"/>
          <w:sz w:val="20"/>
          <w:u w:val="single"/>
        </w:rPr>
        <w:t>Section 10.1(k)</w:t>
      </w:r>
      <w:r>
        <w:rPr>
          <w:rFonts w:ascii="Times New Roman" w:hAnsi="Times New Roman"/>
          <w:sz w:val="20"/>
        </w:rPr>
        <w:t xml:space="preserve">, concurrently with Caldera’s entering into a Permitted Alternative Agreement and after having paid to Synlogic the Caldera Termination Fee pursuant to </w:t>
      </w:r>
      <w:r>
        <w:rPr>
          <w:rFonts w:ascii="Times New Roman" w:hAnsi="Times New Roman"/>
          <w:sz w:val="20"/>
          <w:u w:val="single"/>
        </w:rPr>
        <w:t>Section 10.3(f)</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Caldera shall not enter into any Permitted Alternative Agreement unless: (i) Synlogic shall have received written notice from Caldera of Caldera’s intention to enter into such Permitted Alternative Agreement at least four (4) Business Days in advance, with such notice describing in reasonable detail the reasons for such intention as well as the material terms and conditions of such Permitted Alternative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the identity of the counterparty together with copies of the then current draft of such Permitted Alternative Agreement and any other related principal transaction documents, (ii) Caldera shall have complied with its obligations under </w:t>
      </w:r>
      <w:r>
        <w:rPr>
          <w:rFonts w:ascii="Times New Roman" w:hAnsi="Times New Roman"/>
          <w:sz w:val="20"/>
          <w:u w:val="single"/>
        </w:rPr>
        <w:t>Section 6.5</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(including with respect to delivery of all required written notices), and (iii) the Caldera Board shall have determined in good faith and reasonable consideration of relevant factors, after consultation with its outside legal counsel, that the failure to enter into such Permitted Alternative Agreement would reasonably be expected to be inconsistent with its fiduciary obligations under applicable Law; or </w:t>
      </w:r>
    </w:p>
    <w:p>
      <w:pPr>
        <w:pStyle w:val="TextBody"/>
        <w:bidi w:val="0"/>
        <w:spacing w:before="240" w:after="0"/>
        <w:jc w:val="left"/>
        <w:rPr>
          <w:rFonts w:ascii="Times New Roman" w:hAnsi="Times New Roman"/>
          <w:sz w:val="20"/>
        </w:rPr>
      </w:pPr>
      <w:r>
        <w:rPr>
          <w:rFonts w:ascii="Times New Roman" w:hAnsi="Times New Roman"/>
          <w:sz w:val="20"/>
        </w:rPr>
        <w:t xml:space="preserve">(l) by Caldera, if the approval of the listing of shares of Parent Common Stock on Nasdaq shall (i) have been denied by a final, non-appealable decision of Nasdaq or (ii) been denied by Nasdaq and the Caldera Board has determined, in good faith and after consultation with its outside counsel, that such approval is not reasonably likely to be obtained on appeal;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right to terminate this Agreement under this </w:t>
      </w:r>
      <w:r>
        <w:rPr>
          <w:rFonts w:ascii="Times New Roman" w:hAnsi="Times New Roman"/>
          <w:sz w:val="20"/>
          <w:u w:val="single"/>
        </w:rPr>
        <w:t>Section 10.1(l)</w:t>
      </w:r>
      <w:r>
        <w:rPr>
          <w:rFonts w:ascii="Times New Roman" w:hAnsi="Times New Roman"/>
          <w:sz w:val="20"/>
        </w:rPr>
        <w:t xml:space="preserve"> shall not be available to Caldera if Caldera’s action or failure to act has been a principal cause of the failure of such approval being obtained and such action or failure to act constitutes a material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Party desiring to terminate this Agreement pursuant to this </w:t>
      </w:r>
      <w:r>
        <w:rPr>
          <w:rFonts w:ascii="Times New Roman" w:hAnsi="Times New Roman"/>
          <w:sz w:val="20"/>
          <w:u w:val="single"/>
        </w:rPr>
        <w:t>Section 10.1</w:t>
      </w:r>
      <w:r>
        <w:rPr>
          <w:rFonts w:ascii="Times New Roman" w:hAnsi="Times New Roman"/>
          <w:sz w:val="20"/>
        </w:rPr>
        <w:t xml:space="preserve"> (other than pursuant to </w:t>
      </w:r>
      <w:r>
        <w:rPr>
          <w:rFonts w:ascii="Times New Roman" w:hAnsi="Times New Roman"/>
          <w:sz w:val="20"/>
          <w:u w:val="single"/>
        </w:rPr>
        <w:t>Section 10.1(a)</w:t>
      </w:r>
      <w:r>
        <w:rPr>
          <w:rFonts w:ascii="Times New Roman" w:hAnsi="Times New Roman"/>
          <w:sz w:val="20"/>
        </w:rPr>
        <w:t xml:space="preserve">) shall give a notice of such termination to the other Party specifying the provisions hereof pursuant to which such termination is made and the basis therefor described in reasonable detail.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10.1</w:t>
      </w:r>
      <w:r>
        <w:rPr>
          <w:rFonts w:ascii="Times New Roman" w:hAnsi="Times New Roman"/>
          <w:sz w:val="20"/>
        </w:rPr>
        <w:t xml:space="preserve">, this Agreement shall be of no further force or effect; provided, however, that (a) this </w:t>
      </w:r>
      <w:r>
        <w:rPr>
          <w:rFonts w:ascii="Times New Roman" w:hAnsi="Times New Roman"/>
          <w:sz w:val="20"/>
          <w:u w:val="single"/>
        </w:rPr>
        <w:t>Section 10.2</w:t>
      </w:r>
      <w:r>
        <w:rPr>
          <w:rFonts w:ascii="Times New Roman" w:hAnsi="Times New Roman"/>
          <w:sz w:val="20"/>
        </w:rPr>
        <w:t xml:space="preserve">,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Article XI</w:t>
      </w:r>
      <w:r>
        <w:rPr>
          <w:rFonts w:ascii="Times New Roman" w:hAnsi="Times New Roman"/>
          <w:sz w:val="20"/>
        </w:rPr>
        <w:t xml:space="preserve"> shall survive the termination of this Agreement and shall remain in full force and effect and (b) the termination of this Agreement and the provisions of </w:t>
      </w:r>
      <w:r>
        <w:rPr>
          <w:rFonts w:ascii="Times New Roman" w:hAnsi="Times New Roman"/>
          <w:sz w:val="20"/>
          <w:u w:val="single"/>
        </w:rPr>
        <w:t>Section 10.3</w:t>
      </w:r>
      <w:r>
        <w:rPr>
          <w:rFonts w:ascii="Times New Roman" w:hAnsi="Times New Roman"/>
          <w:sz w:val="20"/>
        </w:rPr>
        <w:t xml:space="preserve"> shall not relieve any Party of any liability for fraud or for any willful and material breach of any representation, warranty, covenant, obligation or other provision contained in this Agreement. For purposes of this </w:t>
      </w:r>
      <w:r>
        <w:rPr>
          <w:rFonts w:ascii="Times New Roman" w:hAnsi="Times New Roman"/>
          <w:sz w:val="20"/>
          <w:u w:val="single"/>
        </w:rPr>
        <w:t>Section 10.2</w:t>
      </w:r>
      <w:r>
        <w:rPr>
          <w:rFonts w:ascii="Times New Roman" w:hAnsi="Times New Roman"/>
          <w:sz w:val="20"/>
        </w:rPr>
        <w:t xml:space="preserve">, (i) “fraud” means a knowing and intentional misrepresentation with respect to a representation or warranty in this Agreement, that was made with the intention to deceive or mislead the other Party, upon which such other Party reasonably relied and “fraud” does not include any fraud claim based on constructive knowledge, negligent misrepresentation, recklessness or a similar theory; and (ii) “willful and material breach” means, with respect to any covenant, representation, warranty or other agreement set forth in this Agreement, a material breach that is a consequence of an act or failure to act undertaken or omitted to be taken by the breaching Party with the actual knowledge that the taking of such act or failure to take such act would, or would reasonably be expected to, cause, or constitute a breach of the relevant covenant, representation, warranty or other agreement.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Expenses; 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this </w:t>
      </w:r>
      <w:r>
        <w:rPr>
          <w:rFonts w:ascii="Times New Roman" w:hAnsi="Times New Roman"/>
          <w:sz w:val="20"/>
          <w:u w:val="single"/>
        </w:rPr>
        <w:t>Section 10.3</w:t>
      </w:r>
      <w:r>
        <w:rPr>
          <w:rFonts w:ascii="Times New Roman" w:hAnsi="Times New Roman"/>
          <w:sz w:val="20"/>
        </w:rPr>
        <w:t xml:space="preserve"> all fees and expenses incurred in connection with this Agreement and the Contemplated Transactions shall be paid by the Party incurring such expenses, whether or not the Contemplated Transactions are consummated; provided, however, that Synlogic and Caldera shall share equally all fees and expenses incurred in relation to the printing and filing with the SEC of any filings with the SEC, including without limitation the Registration Statement (including any financial statements and exhibits) and any amendments or supplements thereto, and paid to a financial printer or the SEC with respect to filing and registration fees. </w:t>
      </w:r>
    </w:p>
    <w:p>
      <w:pPr>
        <w:pStyle w:val="TextBody"/>
        <w:bidi w:val="0"/>
        <w:spacing w:before="240" w:after="0"/>
        <w:jc w:val="left"/>
        <w:rPr>
          <w:rFonts w:ascii="Times New Roman" w:hAnsi="Times New Roman"/>
          <w:sz w:val="20"/>
        </w:rPr>
      </w:pPr>
      <w:r>
        <w:rPr>
          <w:rFonts w:ascii="Times New Roman" w:hAnsi="Times New Roman"/>
          <w:sz w:val="20"/>
        </w:rPr>
        <w:t xml:space="preserve">(b) If this Agreement is terminated by Synlogic pursuant to </w:t>
      </w:r>
      <w:r>
        <w:rPr>
          <w:rFonts w:ascii="Times New Roman" w:hAnsi="Times New Roman"/>
          <w:sz w:val="20"/>
          <w:u w:val="single"/>
        </w:rPr>
        <w:t>Section 10.1(g)</w:t>
      </w:r>
      <w:r>
        <w:rPr>
          <w:rFonts w:ascii="Times New Roman" w:hAnsi="Times New Roman"/>
          <w:sz w:val="20"/>
        </w:rPr>
        <w:t xml:space="preserve"> or by Caldera pursuant to </w:t>
      </w:r>
      <w:r>
        <w:rPr>
          <w:rFonts w:ascii="Times New Roman" w:hAnsi="Times New Roman"/>
          <w:sz w:val="20"/>
          <w:u w:val="single"/>
        </w:rPr>
        <w:t>Section 10.1(k)</w:t>
      </w:r>
      <w:r>
        <w:rPr>
          <w:rFonts w:ascii="Times New Roman" w:hAnsi="Times New Roman"/>
          <w:sz w:val="20"/>
        </w:rPr>
        <w:t>, then Caldera shall pay to Synlogic within two (2) Business Days after termination, a nonrefundable fee in an amount equal to $5,000,000 (the “</w:t>
      </w:r>
      <w:r>
        <w:rPr>
          <w:rFonts w:ascii="Times New Roman" w:hAnsi="Times New Roman"/>
          <w:b/>
          <w:sz w:val="20"/>
        </w:rPr>
        <w:t>Caldera Termination Fee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this Agreement is terminated by Caldera pursuant to </w:t>
      </w:r>
      <w:r>
        <w:rPr>
          <w:rFonts w:ascii="Times New Roman" w:hAnsi="Times New Roman"/>
          <w:sz w:val="20"/>
          <w:u w:val="single"/>
        </w:rPr>
        <w:t>Section 10.1(f)</w:t>
      </w:r>
      <w:r>
        <w:rPr>
          <w:rFonts w:ascii="Times New Roman" w:hAnsi="Times New Roman"/>
          <w:sz w:val="20"/>
        </w:rPr>
        <w:t xml:space="preserve"> or by Synlogic pursuant to </w:t>
      </w:r>
      <w:r>
        <w:rPr>
          <w:rFonts w:ascii="Times New Roman" w:hAnsi="Times New Roman"/>
          <w:sz w:val="20"/>
          <w:u w:val="single"/>
        </w:rPr>
        <w:t>Section 10.1(j)</w:t>
      </w:r>
      <w:r>
        <w:rPr>
          <w:rFonts w:ascii="Times New Roman" w:hAnsi="Times New Roman"/>
          <w:sz w:val="20"/>
        </w:rPr>
        <w:t>, then Synlogic shall pay to Caldera within two (2) Business Days after termination, a nonrefundable fee in an amount equal to $1,000,000 (the “</w:t>
      </w:r>
      <w:r>
        <w:rPr>
          <w:rFonts w:ascii="Times New Roman" w:hAnsi="Times New Roman"/>
          <w:b/>
          <w:sz w:val="20"/>
        </w:rPr>
        <w:t>Synlogic Termination Fee</w:t>
      </w:r>
      <w:r>
        <w:rPr>
          <w:rFonts w:ascii="Times New Roman" w:hAnsi="Times New Roman"/>
          <w:sz w:val="20"/>
        </w:rPr>
        <w:t>” and, collectively with the Caldera Termination Fee, the “</w:t>
      </w:r>
      <w:r>
        <w:rPr>
          <w:rFonts w:ascii="Times New Roman" w:hAnsi="Times New Roman"/>
          <w:b/>
          <w:sz w:val="20"/>
        </w:rPr>
        <w:t>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If (i) this Agreement is terminated by Synlogic or Caldera pursuant to Section 10.1(b) or (e) or by Caldera pursuant to Section 10.1(h), (ii) at any time after the date of this Agreement and prior to such termination (or, in the case of termination pursuant to Section 10.1(e), the Synlogic Stockholder Meeting) an Acquisition Proposal with respect to Synlogic shall have been publicly announced, disclosed or otherwise communicated to the Synlogic Board (and shall not have been withdrawn) and (iii) within twelve (12) months after the date of such termination, Synlogic enters into a definitive agreement with respect to a Subsequent Transaction or consummates a Subsequent Transaction, then Synlogic shall pay to Caldera, within two (2) Business Days after termination (or, if applicable, upon such entry into a definitive agreement and/or consummation of a Subsequent Transaction), the Synlogic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(e) If (i) this Agreement is terminated by Synlogic or Caldera pursuant to Section 10.1(b) or by Synlogic pursuant to Section 10.1(d) or (i), (ii) at any time after the date of this Agreement, and prior to the termination of this Agreement, an Acquisition Proposal with respect to Caldera shall have been publicly announced, disclosed or otherwise communicated to the Caldera Board (and shall not have been withdrawn) and (iii) within twelve (12) months after the date of such termination, Caldera enters into a definitive agreement with respect to a Subsequent Transaction or consummates a Subsequent Transaction, then Caldera shall pay to Synlogic, within two (2) Business Days after termination (or, if applicable, upon such entry into a definitive agreement and/or consummation of a Subsequent Transaction), the Caldera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(f) If either Party fails to pay when due the Termination Fee owed by it under this </w:t>
      </w:r>
      <w:r>
        <w:rPr>
          <w:rFonts w:ascii="Times New Roman" w:hAnsi="Times New Roman"/>
          <w:sz w:val="20"/>
          <w:u w:val="single"/>
        </w:rPr>
        <w:t>Section 10.3</w:t>
      </w:r>
      <w:r>
        <w:rPr>
          <w:rFonts w:ascii="Times New Roman" w:hAnsi="Times New Roman"/>
          <w:sz w:val="20"/>
        </w:rPr>
        <w:t xml:space="preserve">, then (i) such Party shall further reimburse the other Party for any additional reasonable and documented out-of-pocket costs and expenses (including reasonable and documented fees and disbursements of counsel) incurred in connection with the collection of such overdue amount and the enforcement by such Party of its rights under this </w:t>
      </w:r>
      <w:r>
        <w:rPr>
          <w:rFonts w:ascii="Times New Roman" w:hAnsi="Times New Roman"/>
          <w:sz w:val="20"/>
          <w:u w:val="single"/>
        </w:rPr>
        <w:t>Section 10.3</w:t>
      </w:r>
      <w:r>
        <w:rPr>
          <w:rFonts w:ascii="Times New Roman" w:hAnsi="Times New Roman"/>
          <w:sz w:val="20"/>
        </w:rPr>
        <w:t xml:space="preserve"> and (ii) the defaulting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at large United States money center banks (as published in the Wall Street Journal or any successor thereto) in effect on the date such overdue amount was originally required to be paid. </w:t>
      </w:r>
    </w:p>
    <w:p>
      <w:pPr>
        <w:pStyle w:val="TextBody"/>
        <w:bidi w:val="0"/>
        <w:spacing w:before="240" w:after="0"/>
        <w:jc w:val="left"/>
        <w:rPr>
          <w:rFonts w:ascii="Times New Roman" w:hAnsi="Times New Roman"/>
          <w:sz w:val="20"/>
        </w:rPr>
      </w:pPr>
      <w:r>
        <w:rPr>
          <w:rFonts w:ascii="Times New Roman" w:hAnsi="Times New Roman"/>
          <w:sz w:val="20"/>
        </w:rPr>
        <w:t xml:space="preserve">(g) The Parties agree that, subject to </w:t>
      </w:r>
      <w:r>
        <w:rPr>
          <w:rFonts w:ascii="Times New Roman" w:hAnsi="Times New Roman"/>
          <w:sz w:val="20"/>
          <w:u w:val="single"/>
        </w:rPr>
        <w:t>Section 10.2</w:t>
      </w:r>
      <w:r>
        <w:rPr>
          <w:rFonts w:ascii="Times New Roman" w:hAnsi="Times New Roman"/>
          <w:sz w:val="20"/>
        </w:rPr>
        <w:t xml:space="preserve">, the payment of the Termination Fee set forth in this </w:t>
      </w:r>
      <w:r>
        <w:rPr>
          <w:rFonts w:ascii="Times New Roman" w:hAnsi="Times New Roman"/>
          <w:sz w:val="20"/>
          <w:u w:val="single"/>
        </w:rPr>
        <w:t>Section 10.3</w:t>
      </w:r>
      <w:r>
        <w:rPr>
          <w:rFonts w:ascii="Times New Roman" w:hAnsi="Times New Roman"/>
          <w:sz w:val="20"/>
        </w:rPr>
        <w:t xml:space="preserve"> shall be the sole and exclusive remedy of a Party following a termination of this Agreement by the other Party, it being understood that in no event shall the Party required to pay the individual fees or damages payable pursuant to this </w:t>
      </w:r>
      <w:r>
        <w:rPr>
          <w:rFonts w:ascii="Times New Roman" w:hAnsi="Times New Roman"/>
          <w:sz w:val="20"/>
          <w:u w:val="single"/>
        </w:rPr>
        <w:t>Section 10.3</w:t>
      </w:r>
      <w:r>
        <w:rPr>
          <w:rFonts w:ascii="Times New Roman" w:hAnsi="Times New Roman"/>
          <w:sz w:val="20"/>
        </w:rPr>
        <w:t xml:space="preserve"> be required to pay on more than one occasion. Subject to </w:t>
      </w:r>
      <w:r>
        <w:rPr>
          <w:rFonts w:ascii="Times New Roman" w:hAnsi="Times New Roman"/>
          <w:sz w:val="20"/>
          <w:u w:val="single"/>
        </w:rPr>
        <w:t>Section 10.2</w:t>
      </w:r>
      <w:r>
        <w:rPr>
          <w:rFonts w:ascii="Times New Roman" w:hAnsi="Times New Roman"/>
          <w:sz w:val="20"/>
        </w:rPr>
        <w:t xml:space="preserve">, following the termination of this Agreement under the circumstances described in this </w:t>
      </w:r>
      <w:r>
        <w:rPr>
          <w:rFonts w:ascii="Times New Roman" w:hAnsi="Times New Roman"/>
          <w:sz w:val="20"/>
          <w:u w:val="single"/>
        </w:rPr>
        <w:t>Section 10.3</w:t>
      </w:r>
      <w:r>
        <w:rPr>
          <w:rFonts w:ascii="Times New Roman" w:hAnsi="Times New Roman"/>
          <w:sz w:val="20"/>
        </w:rPr>
        <w:t xml:space="preserve"> and the payment of the fees set forth in this </w:t>
      </w:r>
      <w:r>
        <w:rPr>
          <w:rFonts w:ascii="Times New Roman" w:hAnsi="Times New Roman"/>
          <w:sz w:val="20"/>
          <w:u w:val="single"/>
        </w:rPr>
        <w:t>Section 10.3</w:t>
      </w:r>
      <w:r>
        <w:rPr>
          <w:rFonts w:ascii="Times New Roman" w:hAnsi="Times New Roman"/>
          <w:sz w:val="20"/>
        </w:rPr>
        <w:t xml:space="preserve">, (i) each Party shall have no further liability to the other Party in connection with or arising out of this Agreement or the termination thereof or the failure of the Contemplated Transactions to be consummated, (ii) no other Party or their respective Affiliates shall be entitled to bring or maintain any other claim, action or proceeding against the terminating Party or obtain any recovery, judgment or damages of any kind against the terminating Party (or any partner, member, stockholder, director, officer, employee, Subsidiary, affiliate, agent or other representative of the terminating Party) in connection with or arising out of this Agreement or the termination thereof or the failure of the Contemplated Transactions to be consummated and (iii) all other Parties and their respective Affiliates shall be precluded from any other remedy against the terminating Party and its Affiliates, at law or in equity or otherwise, in connection with or arising out of this Agreement or the termination thereof, any breach by such Party giving rise to such termination or the failure of the Contemplated Transactions to be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Each of the Parties acknowledges that (i) the agreements contained in this </w:t>
      </w:r>
      <w:r>
        <w:rPr>
          <w:rFonts w:ascii="Times New Roman" w:hAnsi="Times New Roman"/>
          <w:sz w:val="20"/>
          <w:u w:val="single"/>
        </w:rPr>
        <w:t>Section 10.3</w:t>
      </w:r>
      <w:r>
        <w:rPr>
          <w:rFonts w:ascii="Times New Roman" w:hAnsi="Times New Roman"/>
          <w:sz w:val="20"/>
        </w:rPr>
        <w:t xml:space="preserve"> are an integral part of the Contemplated Transactions, (ii) the Caldera Termination Fee represents a good faith, fair estimate of the damages that Synlogic and its Affiliates would suffer upon termination of the Agreement, (iii) the Synlogic Termination Fee represents a good faith, fair estimate of the damages that Caldera and its Affiliates would suffer upon termination of the Agreement, (iv) without these agreements, the Parties would not enter into this Agreement and (v) any amount payable pursuant to this </w:t>
      </w:r>
      <w:r>
        <w:rPr>
          <w:rFonts w:ascii="Times New Roman" w:hAnsi="Times New Roman"/>
          <w:sz w:val="20"/>
          <w:u w:val="single"/>
        </w:rPr>
        <w:t>Section 10.3</w:t>
      </w:r>
      <w:r>
        <w:rPr>
          <w:rFonts w:ascii="Times New Roman" w:hAnsi="Times New Roman"/>
          <w:sz w:val="20"/>
        </w:rPr>
        <w:t xml:space="preserve"> is not a penalty, but rather is liquidated damages which shall not require Synlogic or Caldera or any other Person to prove actual damages.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sz w:val="20"/>
          <w:u w:val="single"/>
        </w:rPr>
        <w:t>Non-Survival of Representations and Warranties</w:t>
      </w:r>
      <w:r>
        <w:rPr>
          <w:rFonts w:ascii="Times New Roman" w:hAnsi="Times New Roman"/>
          <w:sz w:val="20"/>
        </w:rPr>
        <w:t xml:space="preserve">. The representations and warranties of Parent, Caldera, Caldera Merger Sub, Synlogic and Synlogic Merger Sub contained in this Agreement or any certificate or instrument delivered pursuant to this Agreement shall terminate at the Synlogic Effective Time, and only the covenants that by their terms survive the Synlogic Effective Time and this </w:t>
      </w:r>
      <w:r>
        <w:rPr>
          <w:rFonts w:ascii="Times New Roman" w:hAnsi="Times New Roman"/>
          <w:sz w:val="20"/>
          <w:u w:val="single"/>
        </w:rPr>
        <w:t>Article XI</w:t>
      </w:r>
      <w:r>
        <w:rPr>
          <w:rFonts w:ascii="Times New Roman" w:hAnsi="Times New Roman"/>
          <w:sz w:val="20"/>
        </w:rPr>
        <w:t xml:space="preserve"> shall survive the Synlogic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sz w:val="20"/>
          <w:u w:val="single"/>
        </w:rPr>
        <w:t>Amendment</w:t>
      </w:r>
      <w:r>
        <w:rPr>
          <w:rFonts w:ascii="Times New Roman" w:hAnsi="Times New Roman"/>
          <w:sz w:val="20"/>
        </w:rPr>
        <w:t xml:space="preserve">. This Agreement may be amended with the approval of the respective Caldera Board, the Synlogic Board, and the boards of directors of Parent, Caldera Merger Sub, and Synlogic Merger Sub at any time (whether before or after obtaining the Required Caldera Stockholder Approval and the Required Synlogic Stockholder Approval);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any such approval of this Agreement by a Party’s stockholders or members (including the Required Caldera Stockholder Approval and the Required Synlogic Stockholder Approval), no amendment shall be made which by Law requires further approval of such stockholders or members without the further approval of such stockholders or members. Prior to the Closing, this Agreement may not be amended except by an instrument in writing signed on behalf of each of Caldera, Parent, Caldera Merger Sub, Synlogic and Synlogic Merger Sub. </w:t>
      </w:r>
    </w:p>
    <w:p>
      <w:pPr>
        <w:pStyle w:val="TextBody"/>
        <w:bidi w:val="0"/>
        <w:spacing w:before="240" w:after="0"/>
        <w:jc w:val="left"/>
        <w:rPr>
          <w:rFonts w:ascii="Times New Roman" w:hAnsi="Times New Roman"/>
          <w:sz w:val="20"/>
        </w:rPr>
      </w:pPr>
      <w:r>
        <w:rPr>
          <w:rFonts w:ascii="Times New Roman" w:hAnsi="Times New Roman"/>
          <w:sz w:val="20"/>
        </w:rPr>
        <w:t xml:space="preserve">11.3 </w:t>
      </w:r>
      <w:r>
        <w:rPr>
          <w:rFonts w:ascii="Times New Roman" w:hAnsi="Times New Roman"/>
          <w:sz w:val="20"/>
          <w:u w:val="single"/>
        </w:rPr>
        <w:t>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provision hereof applicable to a Party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240" w:after="0"/>
        <w:jc w:val="left"/>
        <w:rPr>
          <w:rFonts w:ascii="Times New Roman" w:hAnsi="Times New Roman"/>
          <w:sz w:val="20"/>
        </w:rPr>
      </w:pPr>
      <w:r>
        <w:rPr>
          <w:rFonts w:ascii="Times New Roman" w:hAnsi="Times New Roman"/>
          <w:sz w:val="20"/>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11.4 </w:t>
      </w:r>
      <w:r>
        <w:rPr>
          <w:rFonts w:ascii="Times New Roman" w:hAnsi="Times New Roman"/>
          <w:sz w:val="20"/>
          <w:u w:val="single"/>
        </w:rPr>
        <w:t>Entire Agreement; Counterparts; Exchanges by Electronic Transmission or Facsimile</w:t>
      </w:r>
      <w:r>
        <w:rPr>
          <w:rFonts w:ascii="Times New Roman" w:hAnsi="Times New Roman"/>
          <w:sz w:val="20"/>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11.5 </w:t>
      </w:r>
      <w:r>
        <w:rPr>
          <w:rFonts w:ascii="Times New Roman" w:hAnsi="Times New Roman"/>
          <w:sz w:val="20"/>
          <w:u w:val="single"/>
        </w:rPr>
        <w:t>Applicable Law; Jurisdiction</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hAnsi="Times New Roman"/>
          <w:sz w:val="20"/>
          <w:u w:val="single"/>
        </w:rPr>
        <w:t>Section 11.5</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hAnsi="Times New Roman"/>
          <w:sz w:val="20"/>
          <w:u w:val="single"/>
        </w:rPr>
        <w:t>Section 11.7</w:t>
      </w:r>
      <w:r>
        <w:rPr>
          <w:rFonts w:ascii="Times New Roman" w:hAnsi="Times New Roman"/>
          <w:sz w:val="20"/>
        </w:rPr>
        <w:t xml:space="preserve"> of this Agreement and (f)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11.6 </w:t>
      </w:r>
      <w:r>
        <w:rPr>
          <w:rFonts w:ascii="Times New Roman" w:hAnsi="Times New Roman"/>
          <w:sz w:val="20"/>
          <w:u w:val="single"/>
        </w:rPr>
        <w:t>Assignability</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by such Party without the prior written consent of the other Parties, and any attempted assignment or delegation of this Agreement or any of such rights or obligations by such Party without the other Party’s prior written consent shall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11.7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or facsimile (assuming no “Bounce-Back” message is received) prior to 6:00 p.m. New York City time, otherwise on the next succeeding Business Day, in each case to the intended recipient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to Synlogic, Parent, Caldera Merger Sub or Synlogic Merger Sub: </w:t>
      </w:r>
    </w:p>
    <w:p>
      <w:pPr>
        <w:pStyle w:val="TextBody"/>
        <w:bidi w:val="0"/>
        <w:spacing w:before="120" w:after="0"/>
        <w:jc w:val="left"/>
        <w:rPr>
          <w:rFonts w:ascii="Times New Roman" w:hAnsi="Times New Roman"/>
          <w:sz w:val="20"/>
        </w:rPr>
      </w:pPr>
      <w:r>
        <w:rPr>
          <w:rFonts w:ascii="Times New Roman" w:hAnsi="Times New Roman"/>
          <w:sz w:val="20"/>
        </w:rPr>
        <w:t xml:space="preserve">Synlogic, Inc. </w:t>
      </w:r>
    </w:p>
    <w:p>
      <w:pPr>
        <w:pStyle w:val="TextBody"/>
        <w:bidi w:val="0"/>
        <w:spacing w:before="0" w:after="0"/>
        <w:jc w:val="left"/>
        <w:rPr>
          <w:rFonts w:ascii="Times New Roman" w:hAnsi="Times New Roman"/>
          <w:sz w:val="20"/>
        </w:rPr>
      </w:pPr>
      <w:r>
        <w:rPr>
          <w:rFonts w:ascii="Times New Roman" w:hAnsi="Times New Roman"/>
          <w:sz w:val="20"/>
        </w:rPr>
        <w:t xml:space="preserve">PO Box 30 </w:t>
      </w:r>
    </w:p>
    <w:p>
      <w:pPr>
        <w:pStyle w:val="TextBody"/>
        <w:bidi w:val="0"/>
        <w:spacing w:before="0" w:after="0"/>
        <w:jc w:val="left"/>
        <w:rPr>
          <w:rFonts w:ascii="Times New Roman" w:hAnsi="Times New Roman"/>
          <w:sz w:val="20"/>
        </w:rPr>
      </w:pPr>
      <w:r>
        <w:rPr>
          <w:rFonts w:ascii="Times New Roman" w:hAnsi="Times New Roman"/>
          <w:sz w:val="20"/>
        </w:rPr>
        <w:t xml:space="preserve">Winchester, MA 01890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Mintz, Levin, Cohn, Ferris, Glovsky and Popeo, P.C. </w:t>
      </w:r>
    </w:p>
    <w:p>
      <w:pPr>
        <w:pStyle w:val="TextBody"/>
        <w:bidi w:val="0"/>
        <w:spacing w:before="0" w:after="0"/>
        <w:jc w:val="left"/>
        <w:rPr>
          <w:rFonts w:ascii="Times New Roman" w:hAnsi="Times New Roman"/>
          <w:sz w:val="20"/>
        </w:rPr>
      </w:pPr>
      <w:r>
        <w:rPr>
          <w:rFonts w:ascii="Times New Roman" w:hAnsi="Times New Roman"/>
          <w:sz w:val="20"/>
        </w:rPr>
        <w:t xml:space="preserve">919 Third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Attention: [***]; [***]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Caldera: </w:t>
      </w:r>
    </w:p>
    <w:p>
      <w:pPr>
        <w:pStyle w:val="TextBody"/>
        <w:bidi w:val="0"/>
        <w:spacing w:before="120" w:after="0"/>
        <w:jc w:val="left"/>
        <w:rPr>
          <w:rFonts w:ascii="Times New Roman" w:hAnsi="Times New Roman"/>
          <w:sz w:val="20"/>
        </w:rPr>
      </w:pPr>
      <w:r>
        <w:rPr>
          <w:rFonts w:ascii="Times New Roman" w:hAnsi="Times New Roman"/>
          <w:sz w:val="20"/>
        </w:rPr>
        <w:t xml:space="preserve">Caldera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300 Technology Square, 8th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Fenwick &amp; West LLP </w:t>
      </w:r>
    </w:p>
    <w:p>
      <w:pPr>
        <w:pStyle w:val="TextBody"/>
        <w:bidi w:val="0"/>
        <w:spacing w:before="0" w:after="0"/>
        <w:jc w:val="left"/>
        <w:rPr>
          <w:rFonts w:ascii="Times New Roman" w:hAnsi="Times New Roman"/>
          <w:sz w:val="20"/>
        </w:rPr>
      </w:pPr>
      <w:r>
        <w:rPr>
          <w:rFonts w:ascii="Times New Roman" w:hAnsi="Times New Roman"/>
          <w:sz w:val="20"/>
        </w:rPr>
        <w:t xml:space="preserve">One Front Street, 33rd Floor </w:t>
      </w:r>
    </w:p>
    <w:p>
      <w:pPr>
        <w:pStyle w:val="TextBody"/>
        <w:bidi w:val="0"/>
        <w:spacing w:before="0" w:after="0"/>
        <w:jc w:val="left"/>
        <w:rPr>
          <w:rFonts w:ascii="Times New Roman" w:hAnsi="Times New Roman"/>
          <w:sz w:val="20"/>
        </w:rPr>
      </w:pPr>
      <w:r>
        <w:rPr>
          <w:rFonts w:ascii="Times New Roman" w:hAnsi="Times New Roman"/>
          <w:sz w:val="20"/>
        </w:rPr>
        <w:t xml:space="preserve">San Francisco, California 94111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11.8 </w:t>
      </w:r>
      <w:r>
        <w:rPr>
          <w:rFonts w:ascii="Times New Roman" w:hAnsi="Times New Roman"/>
          <w:sz w:val="20"/>
          <w:u w:val="single"/>
        </w:rPr>
        <w:t>Cooperation</w:t>
      </w:r>
      <w:r>
        <w:rPr>
          <w:rFonts w:ascii="Times New Roman" w:hAnsi="Times New Roman"/>
          <w:sz w:val="20"/>
        </w:rPr>
        <w:t xml:space="preserve">.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11.9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11.10 </w:t>
      </w:r>
      <w:r>
        <w:rPr>
          <w:rFonts w:ascii="Times New Roman" w:hAnsi="Times New Roman"/>
          <w:sz w:val="20"/>
          <w:u w:val="single"/>
        </w:rPr>
        <w:t>Other Remedies; 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11.11 </w:t>
      </w:r>
      <w:r>
        <w:rPr>
          <w:rFonts w:ascii="Times New Roman" w:hAnsi="Times New Roman"/>
          <w:sz w:val="20"/>
          <w:u w:val="single"/>
        </w:rPr>
        <w:t>No Third-Party Beneficiaries</w:t>
      </w:r>
      <w:r>
        <w:rPr>
          <w:rFonts w:ascii="Times New Roman" w:hAnsi="Times New Roman"/>
          <w:sz w:val="20"/>
        </w:rPr>
        <w:t xml:space="preserve">. Nothing in this Agreement, express or implied, is intended to or shall confer upon any Person (other than the Parties and the D&amp;O Indemnified Parties to the extent of their respective rights pursuant to </w:t>
      </w:r>
      <w:r>
        <w:rPr>
          <w:rFonts w:ascii="Times New Roman" w:hAnsi="Times New Roman"/>
          <w:sz w:val="20"/>
          <w:u w:val="single"/>
        </w:rPr>
        <w:t>Section 7.6</w:t>
      </w:r>
      <w:r>
        <w:rPr>
          <w:rFonts w:ascii="Times New Roman" w:hAnsi="Times New Roman"/>
          <w:sz w:val="20"/>
        </w:rPr>
        <w:t xml:space="preserve">) any right, benefit or remedy of any nature whatsoever under or by reason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Agreement to be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0"/>
        <w:gridCol w:w="60"/>
        <w:gridCol w:w="3382"/>
      </w:tblGrid>
      <w:tr>
        <w:trPr/>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ALDERA</w:t>
            </w:r>
            <w:r>
              <w:rPr>
                <w:b/>
              </w:rPr>
              <w:t xml:space="preserve"> T</w:t>
            </w:r>
            <w:r>
              <w:rPr>
                <w:b/>
                <w:sz w:val="20"/>
              </w:rPr>
              <w:t>HERAPEUTICS</w:t>
            </w:r>
            <w:r>
              <w:rPr>
                <w:b/>
              </w:rPr>
              <w:t>, I</w:t>
            </w:r>
            <w:r>
              <w:rPr>
                <w:b/>
                <w:sz w:val="20"/>
              </w:rPr>
              <w:t>NC</w:t>
            </w:r>
            <w:r>
              <w:rPr>
                <w:b/>
              </w:rPr>
              <w:t>.</w:t>
            </w:r>
          </w:p>
        </w:tc>
      </w:tr>
      <w:tr>
        <w:trPr>
          <w:trHeight w:val="240" w:hRule="atLeast"/>
        </w:trPr>
        <w:tc>
          <w:tcPr>
            <w:tcW w:w="640" w:type="dxa"/>
            <w:tcBorders/>
            <w:vAlign w:val="center"/>
          </w:tcPr>
          <w:p>
            <w:pPr>
              <w:pStyle w:val="TableContents"/>
              <w:bidi w:val="0"/>
              <w:spacing w:before="0" w:after="283"/>
              <w:jc w:val="left"/>
              <w:rPr>
                <w:sz w:val="4"/>
                <w:szCs w:val="4"/>
              </w:rPr>
            </w:pPr>
            <w:r>
              <w:rPr>
                <w:sz w:val="4"/>
                <w:szCs w:val="4"/>
              </w:rPr>
            </w:r>
          </w:p>
        </w:tc>
        <w:tc>
          <w:tcPr>
            <w:tcW w:w="3442" w:type="dxa"/>
            <w:gridSpan w:val="2"/>
            <w:tcBorders/>
            <w:vAlign w:val="center"/>
          </w:tcPr>
          <w:p>
            <w:pPr>
              <w:pStyle w:val="TableContents"/>
              <w:bidi w:val="0"/>
              <w:spacing w:before="0" w:after="283"/>
              <w:jc w:val="left"/>
              <w:rPr>
                <w:sz w:val="4"/>
                <w:szCs w:val="4"/>
              </w:rPr>
            </w:pPr>
            <w:r>
              <w:rPr>
                <w:sz w:val="4"/>
                <w:szCs w:val="4"/>
              </w:rPr>
            </w:r>
          </w:p>
        </w:tc>
      </w:tr>
      <w:tr>
        <w:trPr/>
        <w:tc>
          <w:tcPr>
            <w:tcW w:w="64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2" w:type="dxa"/>
            <w:tcBorders>
              <w:bottom w:val="single" w:sz="2" w:space="0" w:color="000000"/>
            </w:tcBorders>
            <w:tcMar>
              <w:bottom w:w="28" w:type="dxa"/>
            </w:tcMar>
          </w:tcPr>
          <w:p>
            <w:pPr>
              <w:pStyle w:val="TableContents"/>
              <w:bidi w:val="0"/>
              <w:spacing w:before="0" w:after="283"/>
              <w:jc w:val="left"/>
              <w:rPr/>
            </w:pPr>
            <w:r>
              <w:rPr/>
              <w:t>/s/ Praveen Tipirneni</w:t>
            </w:r>
          </w:p>
        </w:tc>
      </w:tr>
      <w:tr>
        <w:trPr/>
        <w:tc>
          <w:tcPr>
            <w:tcW w:w="64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Praveen Tipirneni</w:t>
            </w:r>
          </w:p>
        </w:tc>
      </w:tr>
      <w:tr>
        <w:trPr/>
        <w:tc>
          <w:tcPr>
            <w:tcW w:w="64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w:t>
            </w:r>
            <w:r>
              <w:rPr>
                <w:b/>
                <w:sz w:val="20"/>
              </w:rPr>
              <w:t>YNLOGIC</w:t>
            </w:r>
            <w:r>
              <w:rPr>
                <w:b/>
              </w:rPr>
              <w:t>, I</w:t>
            </w:r>
            <w:r>
              <w:rPr>
                <w:b/>
                <w:sz w:val="20"/>
              </w:rPr>
              <w:t>NC</w:t>
            </w:r>
            <w:r>
              <w:rPr>
                <w:b/>
              </w:rPr>
              <w:t>.</w:t>
            </w:r>
          </w:p>
        </w:tc>
      </w:tr>
      <w:tr>
        <w:trPr>
          <w:trHeight w:val="240" w:hRule="atLeast"/>
        </w:trPr>
        <w:tc>
          <w:tcPr>
            <w:tcW w:w="640" w:type="dxa"/>
            <w:tcBorders/>
            <w:vAlign w:val="center"/>
          </w:tcPr>
          <w:p>
            <w:pPr>
              <w:pStyle w:val="TableContents"/>
              <w:bidi w:val="0"/>
              <w:spacing w:before="0" w:after="283"/>
              <w:jc w:val="left"/>
              <w:rPr>
                <w:sz w:val="4"/>
                <w:szCs w:val="4"/>
              </w:rPr>
            </w:pPr>
            <w:r>
              <w:rPr>
                <w:sz w:val="4"/>
                <w:szCs w:val="4"/>
              </w:rPr>
            </w:r>
          </w:p>
        </w:tc>
        <w:tc>
          <w:tcPr>
            <w:tcW w:w="3442" w:type="dxa"/>
            <w:gridSpan w:val="2"/>
            <w:tcBorders/>
            <w:vAlign w:val="center"/>
          </w:tcPr>
          <w:p>
            <w:pPr>
              <w:pStyle w:val="TableContents"/>
              <w:bidi w:val="0"/>
              <w:spacing w:before="0" w:after="283"/>
              <w:jc w:val="left"/>
              <w:rPr>
                <w:sz w:val="4"/>
                <w:szCs w:val="4"/>
              </w:rPr>
            </w:pPr>
            <w:r>
              <w:rPr>
                <w:sz w:val="4"/>
                <w:szCs w:val="4"/>
              </w:rPr>
            </w:r>
          </w:p>
        </w:tc>
      </w:tr>
      <w:tr>
        <w:trPr/>
        <w:tc>
          <w:tcPr>
            <w:tcW w:w="64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2" w:type="dxa"/>
            <w:tcBorders>
              <w:bottom w:val="single" w:sz="2" w:space="0" w:color="000000"/>
            </w:tcBorders>
            <w:tcMar>
              <w:bottom w:w="28" w:type="dxa"/>
            </w:tcMar>
          </w:tcPr>
          <w:p>
            <w:pPr>
              <w:pStyle w:val="TableContents"/>
              <w:bidi w:val="0"/>
              <w:spacing w:before="0" w:after="283"/>
              <w:jc w:val="left"/>
              <w:rPr/>
            </w:pPr>
            <w:r>
              <w:rPr/>
              <w:t>/s/ Mary Beth Dooley</w:t>
            </w:r>
          </w:p>
        </w:tc>
      </w:tr>
      <w:tr>
        <w:trPr/>
        <w:tc>
          <w:tcPr>
            <w:tcW w:w="64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Mary Beth Dooley</w:t>
            </w:r>
          </w:p>
        </w:tc>
      </w:tr>
      <w:tr>
        <w:trPr/>
        <w:tc>
          <w:tcPr>
            <w:tcW w:w="64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Chief Executive Officer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w:t>
            </w:r>
            <w:r>
              <w:rPr>
                <w:b/>
                <w:sz w:val="20"/>
              </w:rPr>
              <w:t>ONIC</w:t>
            </w:r>
            <w:r>
              <w:rPr>
                <w:b/>
              </w:rPr>
              <w:t xml:space="preserve"> H</w:t>
            </w:r>
            <w:r>
              <w:rPr>
                <w:b/>
                <w:sz w:val="20"/>
              </w:rPr>
              <w:t>OLDCO</w:t>
            </w:r>
            <w:r>
              <w:rPr>
                <w:b/>
              </w:rPr>
              <w:t>, I</w:t>
            </w:r>
            <w:r>
              <w:rPr>
                <w:b/>
                <w:sz w:val="20"/>
              </w:rPr>
              <w:t>NC</w:t>
            </w:r>
            <w:r>
              <w:rPr>
                <w:b/>
              </w:rPr>
              <w:t>.</w:t>
            </w:r>
          </w:p>
        </w:tc>
      </w:tr>
      <w:tr>
        <w:trPr>
          <w:trHeight w:val="240" w:hRule="atLeast"/>
        </w:trPr>
        <w:tc>
          <w:tcPr>
            <w:tcW w:w="640" w:type="dxa"/>
            <w:tcBorders/>
            <w:vAlign w:val="center"/>
          </w:tcPr>
          <w:p>
            <w:pPr>
              <w:pStyle w:val="TableContents"/>
              <w:bidi w:val="0"/>
              <w:spacing w:before="0" w:after="283"/>
              <w:jc w:val="left"/>
              <w:rPr>
                <w:sz w:val="4"/>
                <w:szCs w:val="4"/>
              </w:rPr>
            </w:pPr>
            <w:r>
              <w:rPr>
                <w:sz w:val="4"/>
                <w:szCs w:val="4"/>
              </w:rPr>
            </w:r>
          </w:p>
        </w:tc>
        <w:tc>
          <w:tcPr>
            <w:tcW w:w="3442" w:type="dxa"/>
            <w:gridSpan w:val="2"/>
            <w:tcBorders/>
            <w:vAlign w:val="center"/>
          </w:tcPr>
          <w:p>
            <w:pPr>
              <w:pStyle w:val="TableContents"/>
              <w:bidi w:val="0"/>
              <w:spacing w:before="0" w:after="283"/>
              <w:jc w:val="left"/>
              <w:rPr>
                <w:sz w:val="4"/>
                <w:szCs w:val="4"/>
              </w:rPr>
            </w:pPr>
            <w:r>
              <w:rPr>
                <w:sz w:val="4"/>
                <w:szCs w:val="4"/>
              </w:rPr>
            </w:r>
          </w:p>
        </w:tc>
      </w:tr>
      <w:tr>
        <w:trPr/>
        <w:tc>
          <w:tcPr>
            <w:tcW w:w="64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2" w:type="dxa"/>
            <w:tcBorders>
              <w:bottom w:val="single" w:sz="2" w:space="0" w:color="000000"/>
            </w:tcBorders>
            <w:tcMar>
              <w:bottom w:w="28" w:type="dxa"/>
            </w:tcMar>
          </w:tcPr>
          <w:p>
            <w:pPr>
              <w:pStyle w:val="TableContents"/>
              <w:bidi w:val="0"/>
              <w:spacing w:before="0" w:after="283"/>
              <w:jc w:val="left"/>
              <w:rPr/>
            </w:pPr>
            <w:r>
              <w:rPr/>
              <w:t>/s/ Mary Beth Dooley</w:t>
            </w:r>
          </w:p>
        </w:tc>
      </w:tr>
      <w:tr>
        <w:trPr/>
        <w:tc>
          <w:tcPr>
            <w:tcW w:w="64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Mary Beth Dooley</w:t>
            </w:r>
          </w:p>
        </w:tc>
      </w:tr>
      <w:tr>
        <w:trPr/>
        <w:tc>
          <w:tcPr>
            <w:tcW w:w="64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Y</w:t>
            </w:r>
            <w:r>
              <w:rPr>
                <w:b/>
                <w:sz w:val="20"/>
              </w:rPr>
              <w:t>ELLOWSTONE</w:t>
            </w:r>
            <w:r>
              <w:rPr>
                <w:b/>
              </w:rPr>
              <w:t xml:space="preserve"> M</w:t>
            </w:r>
            <w:r>
              <w:rPr>
                <w:b/>
                <w:sz w:val="20"/>
              </w:rPr>
              <w:t>ERGER</w:t>
            </w:r>
            <w:r>
              <w:rPr>
                <w:b/>
              </w:rPr>
              <w:t xml:space="preserve"> S</w:t>
            </w:r>
            <w:r>
              <w:rPr>
                <w:b/>
                <w:sz w:val="20"/>
              </w:rPr>
              <w:t>UB</w:t>
            </w:r>
            <w:r>
              <w:rPr>
                <w:b/>
              </w:rPr>
              <w:t>, I</w:t>
            </w:r>
            <w:r>
              <w:rPr>
                <w:b/>
                <w:sz w:val="20"/>
              </w:rPr>
              <w:t>NC</w:t>
            </w:r>
            <w:r>
              <w:rPr>
                <w:b/>
              </w:rPr>
              <w:t>.</w:t>
            </w:r>
          </w:p>
        </w:tc>
      </w:tr>
      <w:tr>
        <w:trPr>
          <w:trHeight w:val="240" w:hRule="atLeast"/>
        </w:trPr>
        <w:tc>
          <w:tcPr>
            <w:tcW w:w="640" w:type="dxa"/>
            <w:tcBorders/>
            <w:vAlign w:val="center"/>
          </w:tcPr>
          <w:p>
            <w:pPr>
              <w:pStyle w:val="TableContents"/>
              <w:bidi w:val="0"/>
              <w:spacing w:before="0" w:after="283"/>
              <w:jc w:val="left"/>
              <w:rPr>
                <w:sz w:val="4"/>
                <w:szCs w:val="4"/>
              </w:rPr>
            </w:pPr>
            <w:r>
              <w:rPr>
                <w:sz w:val="4"/>
                <w:szCs w:val="4"/>
              </w:rPr>
            </w:r>
          </w:p>
        </w:tc>
        <w:tc>
          <w:tcPr>
            <w:tcW w:w="3442" w:type="dxa"/>
            <w:gridSpan w:val="2"/>
            <w:tcBorders/>
            <w:vAlign w:val="center"/>
          </w:tcPr>
          <w:p>
            <w:pPr>
              <w:pStyle w:val="TableContents"/>
              <w:bidi w:val="0"/>
              <w:spacing w:before="0" w:after="283"/>
              <w:jc w:val="left"/>
              <w:rPr>
                <w:sz w:val="4"/>
                <w:szCs w:val="4"/>
              </w:rPr>
            </w:pPr>
            <w:r>
              <w:rPr>
                <w:sz w:val="4"/>
                <w:szCs w:val="4"/>
              </w:rPr>
            </w:r>
          </w:p>
        </w:tc>
      </w:tr>
      <w:tr>
        <w:trPr/>
        <w:tc>
          <w:tcPr>
            <w:tcW w:w="64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2" w:type="dxa"/>
            <w:tcBorders>
              <w:bottom w:val="single" w:sz="2" w:space="0" w:color="000000"/>
            </w:tcBorders>
            <w:tcMar>
              <w:bottom w:w="28" w:type="dxa"/>
            </w:tcMar>
          </w:tcPr>
          <w:p>
            <w:pPr>
              <w:pStyle w:val="TableContents"/>
              <w:bidi w:val="0"/>
              <w:spacing w:before="0" w:after="283"/>
              <w:jc w:val="left"/>
              <w:rPr/>
            </w:pPr>
            <w:r>
              <w:rPr/>
              <w:t>/s/ Mary Beth Dooley</w:t>
            </w:r>
          </w:p>
        </w:tc>
      </w:tr>
      <w:tr>
        <w:trPr/>
        <w:tc>
          <w:tcPr>
            <w:tcW w:w="64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Mary Beth Dooley</w:t>
            </w:r>
          </w:p>
        </w:tc>
      </w:tr>
      <w:tr>
        <w:trPr/>
        <w:tc>
          <w:tcPr>
            <w:tcW w:w="64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w:t>
            </w:r>
            <w:r>
              <w:rPr>
                <w:b/>
                <w:sz w:val="20"/>
              </w:rPr>
              <w:t>ONIC</w:t>
            </w:r>
            <w:r>
              <w:rPr>
                <w:b/>
              </w:rPr>
              <w:t xml:space="preserve"> M</w:t>
            </w:r>
            <w:r>
              <w:rPr>
                <w:b/>
                <w:sz w:val="20"/>
              </w:rPr>
              <w:t>ERGER</w:t>
            </w:r>
            <w:r>
              <w:rPr>
                <w:b/>
              </w:rPr>
              <w:t xml:space="preserve"> S</w:t>
            </w:r>
            <w:r>
              <w:rPr>
                <w:b/>
                <w:sz w:val="20"/>
              </w:rPr>
              <w:t>UB</w:t>
            </w:r>
            <w:r>
              <w:rPr>
                <w:b/>
              </w:rPr>
              <w:t>, I</w:t>
            </w:r>
            <w:r>
              <w:rPr>
                <w:b/>
                <w:sz w:val="20"/>
              </w:rPr>
              <w:t>NC</w:t>
            </w:r>
            <w:r>
              <w:rPr>
                <w:b/>
              </w:rPr>
              <w:t>.</w:t>
            </w:r>
          </w:p>
        </w:tc>
      </w:tr>
      <w:tr>
        <w:trPr>
          <w:trHeight w:val="240" w:hRule="atLeast"/>
        </w:trPr>
        <w:tc>
          <w:tcPr>
            <w:tcW w:w="640" w:type="dxa"/>
            <w:tcBorders/>
            <w:vAlign w:val="center"/>
          </w:tcPr>
          <w:p>
            <w:pPr>
              <w:pStyle w:val="TableContents"/>
              <w:bidi w:val="0"/>
              <w:spacing w:before="0" w:after="283"/>
              <w:jc w:val="left"/>
              <w:rPr>
                <w:sz w:val="4"/>
                <w:szCs w:val="4"/>
              </w:rPr>
            </w:pPr>
            <w:r>
              <w:rPr>
                <w:sz w:val="4"/>
                <w:szCs w:val="4"/>
              </w:rPr>
            </w:r>
          </w:p>
        </w:tc>
        <w:tc>
          <w:tcPr>
            <w:tcW w:w="3442" w:type="dxa"/>
            <w:gridSpan w:val="2"/>
            <w:tcBorders/>
            <w:vAlign w:val="center"/>
          </w:tcPr>
          <w:p>
            <w:pPr>
              <w:pStyle w:val="TableContents"/>
              <w:bidi w:val="0"/>
              <w:spacing w:before="0" w:after="283"/>
              <w:jc w:val="left"/>
              <w:rPr>
                <w:sz w:val="4"/>
                <w:szCs w:val="4"/>
              </w:rPr>
            </w:pPr>
            <w:r>
              <w:rPr>
                <w:sz w:val="4"/>
                <w:szCs w:val="4"/>
              </w:rPr>
            </w:r>
          </w:p>
        </w:tc>
      </w:tr>
      <w:tr>
        <w:trPr/>
        <w:tc>
          <w:tcPr>
            <w:tcW w:w="64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2" w:type="dxa"/>
            <w:tcBorders>
              <w:bottom w:val="single" w:sz="2" w:space="0" w:color="000000"/>
            </w:tcBorders>
            <w:tcMar>
              <w:bottom w:w="28" w:type="dxa"/>
            </w:tcMar>
          </w:tcPr>
          <w:p>
            <w:pPr>
              <w:pStyle w:val="TableContents"/>
              <w:bidi w:val="0"/>
              <w:spacing w:before="0" w:after="283"/>
              <w:jc w:val="left"/>
              <w:rPr/>
            </w:pPr>
            <w:r>
              <w:rPr/>
              <w:t>/s/ Mary Beth Dooley</w:t>
            </w:r>
          </w:p>
        </w:tc>
      </w:tr>
      <w:tr>
        <w:trPr/>
        <w:tc>
          <w:tcPr>
            <w:tcW w:w="64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Mary Beth Dooley</w:t>
            </w:r>
          </w:p>
        </w:tc>
      </w:tr>
      <w:tr>
        <w:trPr/>
        <w:tc>
          <w:tcPr>
            <w:tcW w:w="64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Agreement and Plan of Merger]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sz w:val="20"/>
        </w:rPr>
      </w:pPr>
      <w:r>
        <w:rPr>
          <w:rFonts w:ascii="Times New Roman" w:hAnsi="Times New Roman"/>
          <w:sz w:val="20"/>
        </w:rPr>
        <w:t xml:space="preserve">Form of Synlogic Stockholder Support Agreement </w:t>
      </w:r>
    </w:p>
    <w:p>
      <w:pPr>
        <w:pStyle w:val="TextBody"/>
        <w:bidi w:val="0"/>
        <w:spacing w:before="240" w:after="0"/>
        <w:jc w:val="center"/>
        <w:rPr>
          <w:rFonts w:ascii="Times New Roman" w:hAnsi="Times New Roman"/>
          <w:sz w:val="20"/>
        </w:rPr>
      </w:pPr>
      <w:r>
        <w:rPr>
          <w:rFonts w:ascii="Times New Roman" w:hAnsi="Times New Roman"/>
          <w:sz w:val="20"/>
        </w:rPr>
        <w:t xml:space="preserve">[INTENTIONALLY OMITTED]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120" w:after="0"/>
        <w:jc w:val="center"/>
        <w:rPr>
          <w:rFonts w:ascii="Times New Roman" w:hAnsi="Times New Roman"/>
          <w:sz w:val="20"/>
        </w:rPr>
      </w:pPr>
      <w:r>
        <w:rPr>
          <w:rFonts w:ascii="Times New Roman" w:hAnsi="Times New Roman"/>
          <w:sz w:val="20"/>
        </w:rPr>
        <w:t xml:space="preserve">Form of Caldera Stockholder Support Agreement </w:t>
      </w:r>
    </w:p>
    <w:p>
      <w:pPr>
        <w:pStyle w:val="TextBody"/>
        <w:bidi w:val="0"/>
        <w:spacing w:before="240" w:after="0"/>
        <w:jc w:val="center"/>
        <w:rPr>
          <w:rFonts w:ascii="Times New Roman" w:hAnsi="Times New Roman"/>
          <w:sz w:val="20"/>
        </w:rPr>
      </w:pPr>
      <w:r>
        <w:rPr>
          <w:rFonts w:ascii="Times New Roman" w:hAnsi="Times New Roman"/>
          <w:sz w:val="20"/>
        </w:rPr>
        <w:t xml:space="preserve">[INTENTIONALLY OMITTED]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120" w:after="0"/>
        <w:jc w:val="center"/>
        <w:rPr>
          <w:rFonts w:ascii="Times New Roman" w:hAnsi="Times New Roman"/>
          <w:sz w:val="20"/>
        </w:rPr>
      </w:pPr>
      <w:r>
        <w:rPr>
          <w:rFonts w:ascii="Times New Roman" w:hAnsi="Times New Roman"/>
          <w:sz w:val="20"/>
        </w:rPr>
        <w:t xml:space="preserve">Form of Lock-Up Agreement </w:t>
      </w:r>
    </w:p>
    <w:p>
      <w:pPr>
        <w:pStyle w:val="TextBody"/>
        <w:bidi w:val="0"/>
        <w:spacing w:before="240" w:after="0"/>
        <w:jc w:val="center"/>
        <w:rPr>
          <w:rFonts w:ascii="Times New Roman" w:hAnsi="Times New Roman"/>
          <w:sz w:val="20"/>
        </w:rPr>
      </w:pPr>
      <w:r>
        <w:rPr>
          <w:rFonts w:ascii="Times New Roman" w:hAnsi="Times New Roman"/>
          <w:sz w:val="20"/>
        </w:rPr>
        <w:t xml:space="preserve">[INTENTIONALLY OMITTED]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D </w:t>
      </w:r>
    </w:p>
    <w:p>
      <w:pPr>
        <w:pStyle w:val="TextBody"/>
        <w:bidi w:val="0"/>
        <w:spacing w:before="120" w:after="0"/>
        <w:jc w:val="center"/>
        <w:rPr>
          <w:rFonts w:ascii="Times New Roman" w:hAnsi="Times New Roman"/>
          <w:sz w:val="20"/>
        </w:rPr>
      </w:pPr>
      <w:r>
        <w:rPr>
          <w:rFonts w:ascii="Times New Roman" w:hAnsi="Times New Roman"/>
          <w:sz w:val="20"/>
        </w:rPr>
        <w:t xml:space="preserve">Form of Caldera Stockholder Written Consent </w:t>
      </w:r>
    </w:p>
    <w:p>
      <w:pPr>
        <w:pStyle w:val="TextBody"/>
        <w:bidi w:val="0"/>
        <w:spacing w:before="240" w:after="0"/>
        <w:jc w:val="center"/>
        <w:rPr>
          <w:rFonts w:ascii="Times New Roman" w:hAnsi="Times New Roman"/>
          <w:sz w:val="20"/>
        </w:rPr>
      </w:pPr>
      <w:r>
        <w:rPr>
          <w:rFonts w:ascii="Times New Roman" w:hAnsi="Times New Roman"/>
          <w:sz w:val="20"/>
        </w:rPr>
        <w:t xml:space="preserve">[INTENTIONALLY OMITTED]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E </w:t>
      </w:r>
    </w:p>
    <w:p>
      <w:pPr>
        <w:pStyle w:val="TextBody"/>
        <w:bidi w:val="0"/>
        <w:spacing w:before="120" w:after="0"/>
        <w:jc w:val="center"/>
        <w:rPr>
          <w:rFonts w:ascii="Times New Roman" w:hAnsi="Times New Roman"/>
          <w:sz w:val="20"/>
        </w:rPr>
      </w:pPr>
      <w:r>
        <w:rPr>
          <w:rFonts w:ascii="Times New Roman" w:hAnsi="Times New Roman"/>
          <w:sz w:val="20"/>
        </w:rPr>
        <w:t xml:space="preserve">Form of Securities Purchase Agreement </w:t>
      </w:r>
    </w:p>
    <w:p>
      <w:pPr>
        <w:pStyle w:val="TextBody"/>
        <w:bidi w:val="0"/>
        <w:spacing w:before="240" w:after="0"/>
        <w:jc w:val="center"/>
        <w:rPr>
          <w:rFonts w:ascii="Times New Roman" w:hAnsi="Times New Roman"/>
          <w:sz w:val="20"/>
        </w:rPr>
      </w:pPr>
      <w:r>
        <w:rPr>
          <w:rFonts w:ascii="Times New Roman" w:hAnsi="Times New Roman"/>
          <w:sz w:val="20"/>
        </w:rPr>
        <w:t xml:space="preserve">[INTENTIONALLY OMITTED] </w:t>
      </w:r>
    </w:p>
    <w:p>
      <w:pPr>
        <w:pStyle w:val="TextBody"/>
        <w:bidi w:val="0"/>
        <w:spacing w:before="0" w:after="0"/>
        <w:jc w:val="right"/>
        <w:rPr>
          <w:rFonts w:ascii="Times New Roman" w:hAnsi="Times New Roman"/>
          <w:b/>
          <w:i/>
          <w:sz w:val="20"/>
        </w:rPr>
      </w:pPr>
      <w:bookmarkStart w:id="4" w:name="d91010dex101.htm"/>
      <w:bookmarkStart w:id="5" w:name="ksd91010dex101"/>
      <w:bookmarkEnd w:id="4"/>
      <w:bookmarkEnd w:id="5"/>
      <w:r>
        <w:rPr>
          <w:rFonts w:ascii="Times New Roman" w:hAnsi="Times New Roman"/>
          <w:b/>
          <w:i/>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STOCKHOLDER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b/>
          <w:sz w:val="20"/>
        </w:rPr>
        <w:t>Support Agreement</w:t>
      </w:r>
      <w:r>
        <w:rPr>
          <w:rFonts w:ascii="Times New Roman" w:hAnsi="Times New Roman"/>
          <w:sz w:val="20"/>
        </w:rPr>
        <w:t>”) is being delivered on July 28, 2026 by the person or persons named on the signature pages hereto (collectively, the “</w:t>
      </w:r>
      <w:r>
        <w:rPr>
          <w:rFonts w:ascii="Times New Roman" w:hAnsi="Times New Roman"/>
          <w:b/>
          <w:sz w:val="20"/>
        </w:rPr>
        <w:t>Holder</w:t>
      </w:r>
      <w:r>
        <w:rPr>
          <w:rFonts w:ascii="Times New Roman" w:hAnsi="Times New Roman"/>
          <w:sz w:val="20"/>
        </w:rPr>
        <w:t>”), as the holder of Synlogic Shares (as defined below) of Synlogic, Inc., a Delaware corporation (“</w:t>
      </w:r>
      <w:r>
        <w:rPr>
          <w:rFonts w:ascii="Times New Roman" w:hAnsi="Times New Roman"/>
          <w:b/>
          <w:sz w:val="20"/>
        </w:rPr>
        <w:t>Synlogic</w:t>
      </w:r>
      <w:r>
        <w:rPr>
          <w:rFonts w:ascii="Times New Roman" w:hAnsi="Times New Roman"/>
          <w:sz w:val="20"/>
        </w:rPr>
        <w:t>”), to Caldera Therapeutics, Inc., a Delaware corporation (“</w:t>
      </w:r>
      <w:r>
        <w:rPr>
          <w:rFonts w:ascii="Times New Roman" w:hAnsi="Times New Roman"/>
          <w:b/>
          <w:sz w:val="20"/>
        </w:rPr>
        <w:t>Caldera</w:t>
      </w:r>
      <w:r>
        <w:rPr>
          <w:rFonts w:ascii="Times New Roman" w:hAnsi="Times New Roman"/>
          <w:sz w:val="20"/>
        </w:rPr>
        <w:t xml:space="preserve">”) and to Synlogic. </w:t>
      </w:r>
    </w:p>
    <w:p>
      <w:pPr>
        <w:pStyle w:val="TextBody"/>
        <w:bidi w:val="0"/>
        <w:spacing w:before="240" w:after="0"/>
        <w:jc w:val="left"/>
        <w:rPr>
          <w:rFonts w:ascii="Times New Roman" w:hAnsi="Times New Roman"/>
          <w:sz w:val="20"/>
        </w:rPr>
      </w:pPr>
      <w:r>
        <w:rPr>
          <w:rFonts w:ascii="Times New Roman" w:hAnsi="Times New Roman"/>
          <w:sz w:val="20"/>
        </w:rPr>
        <w:t>Reference is made to that certain Agreement and Plan of Merger (the “</w:t>
      </w:r>
      <w:r>
        <w:rPr>
          <w:rFonts w:ascii="Times New Roman" w:hAnsi="Times New Roman"/>
          <w:b/>
          <w:sz w:val="20"/>
        </w:rPr>
        <w:t>Merger Agreement</w:t>
      </w:r>
      <w:r>
        <w:rPr>
          <w:rFonts w:ascii="Times New Roman" w:hAnsi="Times New Roman"/>
          <w:sz w:val="20"/>
        </w:rPr>
        <w:t>”), as amended from time to time, dated as of July 28, 2026, by and among Synlogic, Caldera, Sonic Holdco, Inc., a Delaware corporation (“</w:t>
      </w:r>
      <w:r>
        <w:rPr>
          <w:rFonts w:ascii="Times New Roman" w:hAnsi="Times New Roman"/>
          <w:b/>
          <w:sz w:val="20"/>
        </w:rPr>
        <w:t>Parent</w:t>
      </w:r>
      <w:r>
        <w:rPr>
          <w:rFonts w:ascii="Times New Roman" w:hAnsi="Times New Roman"/>
          <w:sz w:val="20"/>
        </w:rPr>
        <w:t>”), Sonic Merger Sub, Inc., a Delaware corporation (“</w:t>
      </w:r>
      <w:r>
        <w:rPr>
          <w:rFonts w:ascii="Times New Roman" w:hAnsi="Times New Roman"/>
          <w:b/>
          <w:sz w:val="20"/>
        </w:rPr>
        <w:t>Synlogic Merger Sub</w:t>
      </w:r>
      <w:r>
        <w:rPr>
          <w:rFonts w:ascii="Times New Roman" w:hAnsi="Times New Roman"/>
          <w:sz w:val="20"/>
        </w:rPr>
        <w:t>”), and Yellowstone Merger Sub, Inc., a Delaware corporation (“</w:t>
      </w:r>
      <w:r>
        <w:rPr>
          <w:rFonts w:ascii="Times New Roman" w:hAnsi="Times New Roman"/>
          <w:b/>
          <w:sz w:val="20"/>
        </w:rPr>
        <w:t>Caldera Merger Sub</w:t>
      </w:r>
      <w:r>
        <w:rPr>
          <w:rFonts w:ascii="Times New Roman" w:hAnsi="Times New Roman"/>
          <w:sz w:val="20"/>
        </w:rPr>
        <w:t xml:space="preserve">”). All capitalized terms that are used but not defined herein shall have the respective meanings ascribed to them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the Holder is the record (as defined in Rule 12g5-1 promulgated under the Exchange Act) or beneficial owner (as defined in Rule 13d-3 promulgated under the Exchange Act) of the number of shares of Synlogic Common Stock, Synlogic Options and Synlogic Warrants and other securities convertible into, or exercisable or exchangeable for, shares of Synlogic Common Stock, as set forth on </w:t>
      </w:r>
      <w:r>
        <w:rPr>
          <w:rFonts w:ascii="Times New Roman" w:hAnsi="Times New Roman"/>
          <w:sz w:val="20"/>
          <w:u w:val="single"/>
        </w:rPr>
        <w:t>Exhibit A</w:t>
      </w:r>
      <w:r>
        <w:rPr>
          <w:rFonts w:ascii="Times New Roman" w:hAnsi="Times New Roman"/>
          <w:sz w:val="20"/>
        </w:rPr>
        <w:t xml:space="preserve"> hereto (collectively, the “</w:t>
      </w:r>
      <w:r>
        <w:rPr>
          <w:rFonts w:ascii="Times New Roman" w:hAnsi="Times New Roman"/>
          <w:b/>
          <w:sz w:val="20"/>
        </w:rPr>
        <w:t>Synlogic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 condition and inducement to Caldera’s and Synlogic’s willingness to enter into the Merger Agreement, the Holder has agreed to enter into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Agreement to Vote</w:t>
      </w:r>
      <w:r>
        <w:rPr>
          <w:rFonts w:ascii="Times New Roman" w:hAnsi="Times New Roman"/>
          <w:sz w:val="20"/>
        </w:rPr>
        <w:t xml:space="preserve">. From the date hereof until the Termination Date (as defined below), the Holder agrees to vote (or cause to be voted), or deliver (or cause to be delivered) a written consent with respect to, and shall not enter into any agreement or otherwise give instructions to any person to vote in any manner inconsistent with this Support Agreement, at every meeting of the Synlogic stockholders (or any class or series of stockholders, as applicable) convened in connection with the matters related to the Merger Agreement, and at every adjournment or postponement thereof, and in connection with any action proposed to be taken by written consent of the stockholders of Synlogic, all Synlogic Shares it beneficially owns and is entitled to vote at such meeting: </w:t>
      </w:r>
    </w:p>
    <w:p>
      <w:pPr>
        <w:pStyle w:val="TextBody"/>
        <w:bidi w:val="0"/>
        <w:spacing w:before="120" w:after="0"/>
        <w:jc w:val="left"/>
        <w:rPr>
          <w:rFonts w:ascii="Times New Roman" w:hAnsi="Times New Roman"/>
          <w:sz w:val="20"/>
        </w:rPr>
      </w:pPr>
      <w:r>
        <w:rPr>
          <w:rFonts w:ascii="Times New Roman" w:hAnsi="Times New Roman"/>
          <w:sz w:val="20"/>
        </w:rPr>
        <w:t xml:space="preserve">(a) in favor of (i) the adoption and approval of the Merger Agreement and the terms thereof, including the Contemplated Transactions and the other actions contemplated by the Merger Agreement, (ii) the Synlogic Merger, (iii) all of the Synlogic Stockholder Matters, and (iv) each of the items recommended by the Synlogic Board set forth in the Synlogic Proxy Statement in connection with the Synlogic Stockholder Meeting; and </w:t>
      </w:r>
    </w:p>
    <w:p>
      <w:pPr>
        <w:pStyle w:val="TextBody"/>
        <w:bidi w:val="0"/>
        <w:spacing w:before="240" w:after="0"/>
        <w:jc w:val="left"/>
        <w:rPr>
          <w:rFonts w:ascii="Times New Roman" w:hAnsi="Times New Roman"/>
          <w:sz w:val="20"/>
        </w:rPr>
      </w:pPr>
      <w:r>
        <w:rPr>
          <w:rFonts w:ascii="Times New Roman" w:hAnsi="Times New Roman"/>
          <w:sz w:val="20"/>
        </w:rPr>
        <w:t>(b) against (i) any Acquisition Proposal, Acquisition Transaction or any other action that would reasonably be expected to interfere with, delay, impede, postpone, discourage or adversely affect the consummation of the Contemplated Transactions, and (ii) against any action or agreement that would reasonably be expected to result in a breach of any representation, warranty, covenant or obligation of Synlogic in the Merger Agreement (clauses (a) and (b) collectively, the “</w:t>
      </w:r>
      <w:r>
        <w:rPr>
          <w:rFonts w:ascii="Times New Roman" w:hAnsi="Times New Roman"/>
          <w:b/>
          <w:sz w:val="20"/>
        </w:rPr>
        <w:t>Supported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Support Agreement shall require the Holder to vote in any manner, or deliver a written consent, with respect to any amendment to the Merger Agreement or the taking of any action that would reasonably be expected to result in the amendment, modification or waiver of a provision of the Merger Agreement in a manner that (1) decreases the Synlogic Exchange Ratio or changes the form or reduces the amount of the consideration payable to shareholders of Synlogic in the Contemplated Transactions; (2) increases the Caldera Exchange Ratio or changes the form or increases the amount of the consideration payable to shareholders of Caldera in the Contemplated Transactions, (3) is material and adverse to the Holder, or (4) imposes any restrictions or any additional conditions on the consummation of the Contemplated Transactions.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other than with respect to the Supported Matters, the Holder does not have any obligation to vote, or deliver a written consent with respect to, the Synlogic Shares in any particular manner and, with respect to such other matters (other than the Supported Matters), the Holder shall be entitled to vote, or deliver a written consent with respect to, as applicable, the Synlogic Shares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From the date hereof until the Termination Date, in the event of (i) a stock split, stock dividend or distribution, or any change in the capital stock of Synlogic by reason of any split-up, reverse stock split, recapitalization, combination, reclassification, reincorporation, exchange of shares or the like or (ii) the acquisition of sole or shared voting power by the Holder of additional shares of capital stock or other equity securities of Synlogic, whether by the exercise of Synlogic Options, Synlogic Warrants or otherwise, including, without limitation, by gift or succession, then the term “Synlogic Shares” shall be deemed to refer to and include such shares as well as all such stock dividends and distributions and any securities into which or for which any or all of such shares may be changed or exchanged or which are received in such transaction, and such Synlogic Shares shall be subject to the terms and conditions of this Support Agreement to the same extent as if they constituted Synlogic Shares as of the date of the execution of this Support Agreement, without the need for any further action by the parties (including, for the avoidance of doubt, with respect to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Attendance at Synlogic Stockholder Meeting</w:t>
      </w:r>
      <w:r>
        <w:rPr>
          <w:rFonts w:ascii="Times New Roman" w:hAnsi="Times New Roman"/>
          <w:sz w:val="20"/>
        </w:rPr>
        <w:t xml:space="preserve">. The Holder agrees to be present (in person or by proxy) at the Synlogic Stockholder Meeting and at any adjournment or postponement thereof for purposes of determining the presence of a quorum and to vote (or cause to be voted) all Synlogic Shares beneficially owned by the Holder entitled to vote at such meeting in accordance with Section 1.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No Transfer</w:t>
      </w:r>
      <w:r>
        <w:rPr>
          <w:rFonts w:ascii="Times New Roman" w:hAnsi="Times New Roman"/>
          <w:sz w:val="20"/>
        </w:rPr>
        <w:t>. From the date hereof until the Termination Date, the Holder agrees not to, directly or indirectly, sell, transfer, pledge, encumber (other than liens arising under or imposed by applicable law or pursuant to this Support Agreement, the Merger Agreement or the transactions contemplated hereby or thereby), assign, gift or otherwise dispose of (collectively, a “</w:t>
      </w:r>
      <w:r>
        <w:rPr>
          <w:rFonts w:ascii="Times New Roman" w:hAnsi="Times New Roman"/>
          <w:b/>
          <w:sz w:val="20"/>
        </w:rPr>
        <w:t>Transfer</w:t>
      </w:r>
      <w:r>
        <w:rPr>
          <w:rFonts w:ascii="Times New Roman" w:hAnsi="Times New Roman"/>
          <w:sz w:val="20"/>
        </w:rPr>
        <w:t xml:space="preserve">”) or enter into any contract, option or other arrangement or understanding with respect to any Transfer of, any of the Synlogic Shares. Any Transfer or purported Transfer of Synlogic Shares in breach or violation of this Support Agreement shall be void and of no force or effect. Notwithstanding the foregoing, the restrictions set forth in this </w:t>
      </w:r>
      <w:r>
        <w:rPr>
          <w:rFonts w:ascii="Times New Roman" w:hAnsi="Times New Roman"/>
          <w:sz w:val="20"/>
          <w:u w:val="single"/>
        </w:rPr>
        <w:t>Section 3</w:t>
      </w:r>
      <w:r>
        <w:rPr>
          <w:rFonts w:ascii="Times New Roman" w:hAnsi="Times New Roman"/>
          <w:sz w:val="20"/>
        </w:rPr>
        <w:t xml:space="preserve"> shall not apply to: (a) Transfers by gift to members of the Holder’s immediate family or to a trust, the beneficiary of which is a member of the Holder’s immediate family, an affiliate of such Person or to a charitable organization; (b) Transfers by virtue of laws of descent and distribution upon death of the individual; (c) Transfers by operation of law or pursuant to a court order, such as a qualified domestic relations order, divorce decree or separation agreement; (d) Transfers to a partnership, limited liability company or other entity of which the Holder and/or the immediate family of the Holder are the legal and beneficial owner of all of the outstanding equity securities or similar interests; (e) Transfers to a trustor or beneficiary of the trust, to the designated nominee of a beneficiary of such trust or to the estate of a beneficiary of such trust; (f) Transfers by virtue of the laws of the state of the entity’s organization and the entity’s organizational documents upon dissolution of the entity; (g) the settlement, exercise, termination or vesting of any Synlogic Options or Synlogic Warrants, including in order to (i) pay the exercise price thereof or (ii) satisfy taxes applicable thereto; and (h) Transfers to any Affiliate, equityholder, partner or member of such Holder; </w:t>
      </w:r>
      <w:r>
        <w:rPr>
          <w:rFonts w:ascii="Times New Roman" w:hAnsi="Times New Roman"/>
          <w:i/>
          <w:sz w:val="20"/>
        </w:rPr>
        <w:t>provided, however</w:t>
      </w:r>
      <w:r>
        <w:rPr>
          <w:rFonts w:ascii="Times New Roman" w:hAnsi="Times New Roman"/>
          <w:sz w:val="20"/>
        </w:rPr>
        <w:t xml:space="preserve">, that, to the fullest extent permitted by applicable Law, for any permitted Transfers pursuant to clauses (a) to (h) (other than clause (g)), the Synlogic Shares so Transferred shall continue to be subject to the provisions of this Support Agreement and, as a condition precedent to any such Transfer, these permitted transferees must enter into a written agreement, in substantially the form of this Support Agreement, agreeing to be bound by the restrictions in this </w:t>
      </w:r>
      <w:r>
        <w:rPr>
          <w:rFonts w:ascii="Times New Roman" w:hAnsi="Times New Roman"/>
          <w:sz w:val="20"/>
          <w:u w:val="single"/>
        </w:rPr>
        <w:t>Section 3</w:t>
      </w:r>
      <w:r>
        <w:rPr>
          <w:rFonts w:ascii="Times New Roman" w:hAnsi="Times New Roman"/>
          <w:sz w:val="20"/>
        </w:rPr>
        <w:t xml:space="preserve"> and shall have the same rights and benefits under this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the Holder</w:t>
      </w:r>
      <w:r>
        <w:rPr>
          <w:rFonts w:ascii="Times New Roman" w:hAnsi="Times New Roman"/>
          <w:sz w:val="20"/>
        </w:rPr>
        <w:t xml:space="preserve">. The Holder hereby represents and warrants to Caldera and Synlogic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Holder has full power and authority (or legal capacity, if the Holder is a natural person) to execute and deliver this Support Agreement and to perform the Holder’s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(b) this Support Agreement has been duly executed and delivered by the Holder, and, assuming this Support Agreement constitutes a valid and binding obligation of Caldera and Synlogic, constitutes a valid and binding obligation of the Holder enforceable against the Holder in accordance with its terms, subject to (i) laws of general application relating to bankruptcy, insolvency and the relief of debtors, and (ii) rules of law governing specific performance, injunctive relief and other equitable remedies, and the Holder understands that each of Caldera and Synlogic is entering into the Merger Agreement in reliance upon the Holder’s execution and delivery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Holder is the record or beneficial owner of the Synlogic Shares and does not beneficially own any securities of Synlogic other than the shares of Synlogic Common Stock and rights to purchase or otherwise acquire shares of Synlogic Common Stock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and delivery of this Support Agreement by the Holder will not (i) result in a violation or breach of any agreement to which the Holder is a party, (ii) violate any Law or order applicable to the Holder or (iii) if Holder is an entity, violate any constituent or organizational document, except in each case as would not prevent or materially delay the Holder from performing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of this Support Agreement, there is no proceeding pending or, to the knowledge of the Holder, threatened against the Holder or any of the Holder’s properties or assets (whether tangible or intangible) that would reasonably be expected to prevent or materially impair the ability of the Holder to perform the Holder’s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(f) (i) the Holder does not have any agreement, arrangement, or understanding, whether written or oral, formal or informal, with any other holder of Synlogic Common Stock to act together for the purpose of acquiring, holding, voting, or disposing of shares of Synlogic Common Stock, nor does the Holder otherwise act in concert with any other holder of Synlogic Common Stock in connection with the exercise of any rights or powers arising from the ownership of Synlogic Common Stock and (ii) without limiting the generality of the foregoing, the Holder is not a member of a “group” (as such term is used in Section 13(d)(3) of the Exchange Act) with any other holder of any equity securities of Synlogic for the purpose of acquiring, holding, voting, or disposing of equity securities of Synlogic; and </w:t>
      </w:r>
    </w:p>
    <w:p>
      <w:pPr>
        <w:pStyle w:val="TextBody"/>
        <w:bidi w:val="0"/>
        <w:spacing w:before="240" w:after="0"/>
        <w:jc w:val="left"/>
        <w:rPr>
          <w:rFonts w:ascii="Times New Roman" w:hAnsi="Times New Roman"/>
          <w:sz w:val="20"/>
        </w:rPr>
      </w:pPr>
      <w:r>
        <w:rPr>
          <w:rFonts w:ascii="Times New Roman" w:hAnsi="Times New Roman"/>
          <w:sz w:val="20"/>
        </w:rPr>
        <w:t xml:space="preserve">(g) the Holder has had the opportunity to review the Merger Agreement, including the provisions relating to the payment and allocation of the consideration to be paid to the stockholders of Synlogic, and this Agreement with counsel of the Holder’s own choosing. The Holder has had an opportunity to review with its own tax advisors the tax consequences of the Mergers and the Contemplated Transactions. The Holder understands that it must rely solely on its advisors and not on any statements or representations made by Caldera or Synlogic, or any of their respective agents or representatives. The Holder understands that the Holder (and not Caldera, Synlogic or Parent) shall be responsible for the Holder’s tax liability that may arise as a result of the Synlogic Merger or the transactions contemplated by the Merger Agreement. The Holder understands and acknowledges that Caldera, Synlogic, Parent, Caldera Merger Sub and Synlogic Merger Sub are entering into the Merger Agreement in reliance upon the Holder’s execution, delivery and performance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 Impact on Directors’ or Officers’ Duties</w:t>
      </w:r>
      <w:r>
        <w:rPr>
          <w:rFonts w:ascii="Times New Roman" w:hAnsi="Times New Roman"/>
          <w:sz w:val="20"/>
        </w:rPr>
        <w:t xml:space="preserve">. Notwithstanding any provision of this Support Agreement to the contrary, the parties acknowledge that (a) the Holder is entering into this Support Agreement solely in the Holder’s capacity as a record or beneficial owner of Synlogic Common Stock and not in such Holder’s capacity as a director, officer or employee of Synlogic or in the Holder’s capacity as a trustee or fiduciary of any Synlogic Equity Plans and (b) nothing in this Support Agreement is intended to limit or restrict the Holder, or a designee of the Holder, who is a director or officer of Synlogic from taking any action or inaction or voting in favor in the Holder’s sole discretion on any matter in his or her capacity as a director of Synlogic or in the Holder’s capacity as a trustee or fiduciary of any Synlogic Equity Plans (if applicable), or fulfilling the obligations of such office, and none of such actions in such capacity shall be deemed to constitute a breach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(assuming no “Bounce-Back” message is received) prior to 6:00 p.m. New York City time, otherwise on the next succeeding Business Day, in each case to the intended recipient as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Caldera,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Caldera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300 Technology Square, 8th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0" w:after="0"/>
        <w:jc w:val="left"/>
        <w:rPr>
          <w:rFonts w:ascii="Times New Roman" w:hAnsi="Times New Roman"/>
          <w:sz w:val="20"/>
        </w:rPr>
      </w:pPr>
      <w:r>
        <w:rPr>
          <w:rFonts w:ascii="Times New Roman" w:hAnsi="Times New Roman"/>
          <w:sz w:val="20"/>
        </w:rPr>
        <w:t xml:space="preserve">Fenwick&amp; West LLP </w:t>
      </w:r>
    </w:p>
    <w:p>
      <w:pPr>
        <w:pStyle w:val="TextBody"/>
        <w:bidi w:val="0"/>
        <w:spacing w:before="0" w:after="0"/>
        <w:jc w:val="left"/>
        <w:rPr>
          <w:rFonts w:ascii="Times New Roman" w:hAnsi="Times New Roman"/>
          <w:sz w:val="20"/>
        </w:rPr>
      </w:pPr>
      <w:r>
        <w:rPr>
          <w:rFonts w:ascii="Times New Roman" w:hAnsi="Times New Roman"/>
          <w:sz w:val="20"/>
        </w:rPr>
        <w:t xml:space="preserve">One Front Street, 33rd Floor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94111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Synlogic,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Synlogic, Inc. </w:t>
      </w:r>
    </w:p>
    <w:p>
      <w:pPr>
        <w:pStyle w:val="TextBody"/>
        <w:bidi w:val="0"/>
        <w:spacing w:before="0" w:after="0"/>
        <w:jc w:val="left"/>
        <w:rPr>
          <w:rFonts w:ascii="Times New Roman" w:hAnsi="Times New Roman"/>
          <w:sz w:val="20"/>
        </w:rPr>
      </w:pPr>
      <w:r>
        <w:rPr>
          <w:rFonts w:ascii="Times New Roman" w:hAnsi="Times New Roman"/>
          <w:sz w:val="20"/>
        </w:rPr>
        <w:t xml:space="preserve">PO Box 30 </w:t>
      </w:r>
    </w:p>
    <w:p>
      <w:pPr>
        <w:pStyle w:val="TextBody"/>
        <w:bidi w:val="0"/>
        <w:spacing w:before="0" w:after="0"/>
        <w:jc w:val="left"/>
        <w:rPr>
          <w:rFonts w:ascii="Times New Roman" w:hAnsi="Times New Roman"/>
          <w:sz w:val="20"/>
        </w:rPr>
      </w:pPr>
      <w:r>
        <w:rPr>
          <w:rFonts w:ascii="Times New Roman" w:hAnsi="Times New Roman"/>
          <w:sz w:val="20"/>
        </w:rPr>
        <w:t xml:space="preserve">Winchester, MA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Mintz, Levin, Cohn, Ferris, Glovsky and Popeo, P.C. </w:t>
      </w:r>
    </w:p>
    <w:p>
      <w:pPr>
        <w:pStyle w:val="TextBody"/>
        <w:bidi w:val="0"/>
        <w:spacing w:before="0" w:after="0"/>
        <w:jc w:val="left"/>
        <w:rPr>
          <w:rFonts w:ascii="Times New Roman" w:hAnsi="Times New Roman"/>
          <w:sz w:val="20"/>
        </w:rPr>
      </w:pPr>
      <w:r>
        <w:rPr>
          <w:rFonts w:ascii="Times New Roman" w:hAnsi="Times New Roman"/>
          <w:sz w:val="20"/>
        </w:rPr>
        <w:t xml:space="preserve">919 Third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Attention: [***]; [***]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Holder, at the e-mail address on the signature page 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This Support Agreement shall automatically terminate upon the earliest to occur of (a) such date and time as the Merger Agreement shall have been validly terminated, (b) such date and time as there is any amendment of any term or provision of the Merger Agreement that (i) decreases the Synlogic Exchange Ratio or changes the form or reduces the amount of the consideration payable to shareholders of Synlogic in the Contemplated Transactions or (ii) increases the Caldera Exchange Ratio or changes the form or increases the amount of the consideration payable to shareholders of Caldera in the Contemplated Transactions, (c) the Outside Date, as such Outside Date may be extended for up to thirty (30) days as the Parties may agree pursuant to Section 10.1(b) of the Merger Agreement, (d) the Synlogic Effective Time and (e) such date and time as a written agreement executed by the parties hereto to terminate this Support Agreement is effective (such date, the “</w:t>
      </w:r>
      <w:r>
        <w:rPr>
          <w:rFonts w:ascii="Times New Roman" w:hAnsi="Times New Roman"/>
          <w:b/>
          <w:sz w:val="20"/>
        </w:rPr>
        <w:t>Termination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Stop Transfer Instructions</w:t>
      </w:r>
      <w:r>
        <w:rPr>
          <w:rFonts w:ascii="Times New Roman" w:hAnsi="Times New Roman"/>
          <w:sz w:val="20"/>
        </w:rPr>
        <w:t xml:space="preserve">. At all times commencing with the execution and delivery of this Support Agreement and continuing until the Termination Date, in furtherance of this Support Agreement, the Holder hereby authorizes Synlogic or its counsel to notify Synlogic’s transfer agent that there is a stop transfer order with respect to all of the Synlogic Shares (and that this Support Agreement places limits on the voting and transfer of such Synlogic Shares).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Irrevocable Proxy</w:t>
      </w:r>
      <w:r>
        <w:rPr>
          <w:rFonts w:ascii="Times New Roman" w:hAnsi="Times New Roman"/>
          <w:sz w:val="20"/>
        </w:rPr>
        <w:t xml:space="preserve">. By execution of this Agreement, the Holder does hereby appoint Synlogic and any of its designees with full power of substitution and resubstitution, as the Holder’s true and lawful attorney and irrevocable proxy, to the fullest extent of the Holder’s rights with respect to the Synlogic Shares, to vote and exercise all voting and related rights, including the right to sign the Holder’s name (solely in its capacity as a stockholder) to any stockholder consent, if the Holder fails to vote his, her or its Synlogic Shares, or otherwise fails to perform or comply with such Stockholder’s obligations under this Agreement, solely with respect to the matters set forth in </w:t>
      </w:r>
      <w:r>
        <w:rPr>
          <w:rFonts w:ascii="Times New Roman" w:hAnsi="Times New Roman"/>
          <w:sz w:val="20"/>
          <w:u w:val="single"/>
        </w:rPr>
        <w:t>Section 1(a)</w:t>
      </w:r>
      <w:r>
        <w:rPr>
          <w:rFonts w:ascii="Times New Roman" w:hAnsi="Times New Roman"/>
          <w:sz w:val="20"/>
        </w:rPr>
        <w:t xml:space="preserve"> hereof by 5:00 p.m. (Eastern Time) on the day immediately preceding the meeting date (or date upon which written consents are requested to be submitted), provided the Holder has received information regarding the meeting or request for written consent at least five (5) Business Days before such shareholder meeting or any consent solicitation or other vote taken of Synlogic’s stockholders. The Holder intends this proxy to be irrevocable and coupled with an interest hereunder until the Termination Date, hereby revokes (or agrees to cause to be revoked) any proxy previously granted by the Holder with respect to the Synlogic Shares and represents that none of such previously-granted proxies are irrevocable. The Holder hereby affirms that the proxy set forth in this </w:t>
      </w:r>
      <w:r>
        <w:rPr>
          <w:rFonts w:ascii="Times New Roman" w:hAnsi="Times New Roman"/>
          <w:sz w:val="20"/>
          <w:u w:val="single"/>
        </w:rPr>
        <w:t>Section 9</w:t>
      </w:r>
      <w:r>
        <w:rPr>
          <w:rFonts w:ascii="Times New Roman" w:hAnsi="Times New Roman"/>
          <w:sz w:val="20"/>
        </w:rPr>
        <w:t xml:space="preserve"> is given in connection with, and granted in consideration of, and as an inducement to Caldera, Synlogic, Parent, Caldera Merger Sub and Synlogic Merger Sub to enter into the Merger Agreement and that such proxy is given to secure the obligations of the Holder under </w:t>
      </w:r>
      <w:r>
        <w:rPr>
          <w:rFonts w:ascii="Times New Roman" w:hAnsi="Times New Roman"/>
          <w:sz w:val="20"/>
          <w:u w:val="single"/>
        </w:rPr>
        <w:t>Section 1</w:t>
      </w:r>
      <w:r>
        <w:rPr>
          <w:rFonts w:ascii="Times New Roman" w:hAnsi="Times New Roman"/>
          <w:sz w:val="20"/>
        </w:rPr>
        <w:t xml:space="preserve">. The irrevocable proxy and power of attorney granted herein shall survive the death or incapacity of the Holder and the obligations of the Holder shall be binding on the Holder’s heirs, personal representatives, successors, transferees and assigns. The Holder hereby agrees not to grant any subsequent powers of attorney or proxies with respect to any Synlogic Shares with respect to the matters set forth in </w:t>
      </w:r>
      <w:r>
        <w:rPr>
          <w:rFonts w:ascii="Times New Roman" w:hAnsi="Times New Roman"/>
          <w:sz w:val="20"/>
          <w:u w:val="single"/>
        </w:rPr>
        <w:t>Section 1</w:t>
      </w:r>
      <w:r>
        <w:rPr>
          <w:rFonts w:ascii="Times New Roman" w:hAnsi="Times New Roman"/>
          <w:sz w:val="20"/>
        </w:rPr>
        <w:t xml:space="preserve"> until after the Termination Date. With respect to any Synlogic Shares that are owned beneficially by the Holder but are not held of record by the Holder (other than shares beneficially owned by the Holder that are held in the name of a bank, broker or nominee), the Holder shall take all action necessary to cause the record holder of such Synlogic Shares to grant the irrevocable proxy and take all other actions provided for in this </w:t>
      </w:r>
      <w:r>
        <w:rPr>
          <w:rFonts w:ascii="Times New Roman" w:hAnsi="Times New Roman"/>
          <w:sz w:val="20"/>
          <w:u w:val="single"/>
        </w:rPr>
        <w:t>Section 9</w:t>
      </w:r>
      <w:r>
        <w:rPr>
          <w:rFonts w:ascii="Times New Roman" w:hAnsi="Times New Roman"/>
          <w:sz w:val="20"/>
        </w:rPr>
        <w:t xml:space="preserve"> with respect to such Synlogic Shares. Notwithstanding anything contained herein to the contrary, this irrevocable proxy shall automatically terminate upon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Waiver of Appraisal Rights</w:t>
      </w:r>
      <w:r>
        <w:rPr>
          <w:rFonts w:ascii="Times New Roman" w:hAnsi="Times New Roman"/>
          <w:sz w:val="20"/>
        </w:rPr>
        <w:t xml:space="preserve">. The Holder hereby waives, and agrees not to exercise or assert, any appraisal rights under applicable Law, including Section 262 of Delaware Law, in connection with the Synlogic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 Legal Actions</w:t>
      </w:r>
      <w:r>
        <w:rPr>
          <w:rFonts w:ascii="Times New Roman" w:hAnsi="Times New Roman"/>
          <w:sz w:val="20"/>
        </w:rPr>
        <w:t xml:space="preserve">. The Holder will not in its capacity as a stockholder of Synlogic bring, commence, institute, maintain, prosecute or voluntarily aid any Legal Proceeding which (i) challenges the validity or seeks to enjoin the operation of any provision of this Agreement or (ii) alleges that the execution and delivery of this Agreement by the Holder, either alone or together with the other voting agreements and proxies to be delivered in connection with the execution of the Merger Agreement, or the approval of the Merger Agreement and the Contemplated Transactions by the Synlogic Board, constitutes a breach of any fiduciary duty of the Synlogic Board or any member thereof.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Entire Agreement</w:t>
      </w:r>
      <w:r>
        <w:rPr>
          <w:rFonts w:ascii="Times New Roman" w:hAnsi="Times New Roman"/>
          <w:sz w:val="20"/>
        </w:rPr>
        <w:t xml:space="preserve">. This Support Agreement constitutes the entire agreement, and supersedes all prior agreements and understanding, both written and oral, among the parties hereto with respect to the subject matter hereof and is fully binding 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Counterparts</w:t>
      </w:r>
      <w:r>
        <w:rPr>
          <w:rFonts w:ascii="Times New Roman" w:hAnsi="Times New Roman"/>
          <w:sz w:val="20"/>
        </w:rPr>
        <w:t>. This Support Agreement may be executed in one or more counterparts, all of which shall be considered one and the same agreement and shall become effective when one or more counterparts have been signed by each of the parties and delivered to the other parties. Any such counterpart, to the extent delivered by DocuSign or AdobeSign, or .pdf, .tif, .gif, .jpg or similar attachment to electronic mail (any such delivery, an “</w:t>
      </w:r>
      <w:r>
        <w:rPr>
          <w:rFonts w:ascii="Times New Roman" w:hAnsi="Times New Roman"/>
          <w:b/>
          <w:sz w:val="20"/>
        </w:rPr>
        <w:t>Electronic Delivery</w:t>
      </w:r>
      <w:r>
        <w:rPr>
          <w:rFonts w:ascii="Times New Roman" w:hAnsi="Times New Roman"/>
          <w:sz w:val="20"/>
        </w:rPr>
        <w:t xml:space="preserve">”), will be treated in all manner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Assignment</w:t>
      </w:r>
      <w:r>
        <w:rPr>
          <w:rFonts w:ascii="Times New Roman" w:hAnsi="Times New Roman"/>
          <w:sz w:val="20"/>
        </w:rPr>
        <w:t xml:space="preserve">. Neither this Support Agreement nor any of the rights, interests or obligations under this Support Agreement shall be assigned, in whole or in part, by operation of law or otherwise by any of the parties without the prior written consent of the other parties. Any purported assignment without such consent shall be void. Subject to the preceding sentences, the terms of this Support Agreement shall be binding upon and shall inure to the benefit of each of the parties hereto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Amendment</w:t>
      </w:r>
      <w:r>
        <w:rPr>
          <w:rFonts w:ascii="Times New Roman" w:hAnsi="Times New Roman"/>
          <w:sz w:val="20"/>
        </w:rPr>
        <w:t xml:space="preserve">. This Support Agreement may not be amended or modified except in writing signed by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Governing Law; Jurisdiction; Waiver of Jury Trial</w:t>
      </w:r>
      <w:r>
        <w:rPr>
          <w:rFonts w:ascii="Times New Roman" w:hAnsi="Times New Roman"/>
          <w:sz w:val="20"/>
        </w:rPr>
        <w:t xml:space="preserve">. This Support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Support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paragraph,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the subsequent paragraph of this Agreement and (f)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Specific Performance</w:t>
      </w:r>
      <w:r>
        <w:rPr>
          <w:rFonts w:ascii="Times New Roman" w:hAnsi="Times New Roman"/>
          <w:sz w:val="20"/>
        </w:rPr>
        <w:t xml:space="preserve">. Each party hereto acknowledges that, in view of the uniqueness of the transactions contemplated by this Support Agreement, the other party or parties hereto will not have an adequate remedy at law for money damages in the event that this Support Agreement has not been performed in accordance with its terms, and therefore agrees that such other party or parties shall be entitled to seek specific enforcement of the terms hereof in addition to any other remedy it may seek,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Expenses</w:t>
      </w:r>
      <w:r>
        <w:rPr>
          <w:rFonts w:ascii="Times New Roman" w:hAnsi="Times New Roman"/>
          <w:sz w:val="20"/>
        </w:rPr>
        <w:t xml:space="preserve">. All fees, costs and expenses incurred in connection with this Support Agreement and the transactions contemplated hereby shall be paid by the party hereto incurring such fees,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Non-Recourse</w:t>
      </w:r>
      <w:r>
        <w:rPr>
          <w:rFonts w:ascii="Times New Roman" w:hAnsi="Times New Roman"/>
          <w:sz w:val="20"/>
        </w:rPr>
        <w:t xml:space="preserve">. This Support Agreement may only be enforced against, and any Legal Proceeding based upon, arising out of, or related to this Support Agreement, or the negotiation, execution or performance of this Support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director, officer, employee, incorporator, manager, member, direct or indirect general or limited partner, direct or indirect stockholder, direct or indirect equityholder, direct or indirect controlling person, Affiliate, agent, attorney, Representative, successor or permitted assign of any of the foregoing, shall have any liability to the Holder, Caldera or Synlogic for any obligations or liabilities of any party under this Support Agreement or for any Legal Proceeding (whether in tort, contract or otherwise) based on, in respect of or by reason of the transactions contemplated hereby or in respect of any written or oral representations made or alleged to be made in connection herewith. </w:t>
      </w:r>
    </w:p>
    <w:p>
      <w:pPr>
        <w:pStyle w:val="TextBody"/>
        <w:bidi w:val="0"/>
        <w:spacing w:before="240" w:after="0"/>
        <w:jc w:val="center"/>
        <w:rPr>
          <w:rFonts w:ascii="Times New Roman" w:hAnsi="Times New Roman"/>
          <w:sz w:val="20"/>
        </w:rPr>
      </w:pPr>
      <w:r>
        <w:rPr>
          <w:rFonts w:ascii="Times New Roman" w:hAnsi="Times New Roman"/>
          <w:sz w:val="20"/>
        </w:rPr>
        <w:t xml:space="preserve">[The remainder of the page is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hereto have executed this Support Agreement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68"/>
        <w:gridCol w:w="60"/>
        <w:gridCol w:w="674"/>
        <w:gridCol w:w="60"/>
        <w:gridCol w:w="2520"/>
      </w:tblGrid>
      <w:tr>
        <w:trPr/>
        <w:tc>
          <w:tcPr>
            <w:tcW w:w="7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HOLDER:</w:t>
            </w:r>
          </w:p>
        </w:tc>
      </w:tr>
      <w:tr>
        <w:trPr>
          <w:trHeight w:val="240" w:hRule="atLeast"/>
        </w:trPr>
        <w:tc>
          <w:tcPr>
            <w:tcW w:w="768" w:type="dxa"/>
            <w:tcBorders/>
            <w:vAlign w:val="center"/>
          </w:tcPr>
          <w:p>
            <w:pPr>
              <w:pStyle w:val="TableContents"/>
              <w:bidi w:val="0"/>
              <w:spacing w:before="0" w:after="283"/>
              <w:jc w:val="left"/>
              <w:rPr>
                <w:sz w:val="4"/>
                <w:szCs w:val="4"/>
              </w:rPr>
            </w:pPr>
            <w:r>
              <w:rPr>
                <w:sz w:val="4"/>
                <w:szCs w:val="4"/>
              </w:rPr>
            </w:r>
          </w:p>
        </w:tc>
        <w:tc>
          <w:tcPr>
            <w:tcW w:w="3314" w:type="dxa"/>
            <w:gridSpan w:val="4"/>
            <w:tcBorders/>
            <w:vAlign w:val="center"/>
          </w:tcPr>
          <w:p>
            <w:pPr>
              <w:pStyle w:val="TableContents"/>
              <w:bidi w:val="0"/>
              <w:spacing w:before="0" w:after="283"/>
              <w:jc w:val="left"/>
              <w:rPr>
                <w:sz w:val="4"/>
                <w:szCs w:val="4"/>
              </w:rPr>
            </w:pPr>
            <w:r>
              <w:rPr>
                <w:sz w:val="4"/>
                <w:szCs w:val="4"/>
              </w:rPr>
            </w:r>
          </w:p>
        </w:tc>
      </w:tr>
      <w:tr>
        <w:trPr/>
        <w:tc>
          <w:tcPr>
            <w:tcW w:w="7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4"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7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4" w:type="dxa"/>
            <w:tcBorders/>
          </w:tcPr>
          <w:p>
            <w:pPr>
              <w:pStyle w:val="TableContents"/>
              <w:bidi w:val="0"/>
              <w:spacing w:before="0" w:after="283"/>
              <w:jc w:val="left"/>
              <w:rPr/>
            </w:pPr>
            <w:r>
              <w:rPr/>
              <w:t>Name: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520" w:type="dxa"/>
            <w:tcBorders>
              <w:bottom w:val="single" w:sz="2" w:space="0" w:color="000000"/>
            </w:tcBorders>
            <w:tcMar>
              <w:bottom w:w="28" w:type="dxa"/>
            </w:tcMar>
          </w:tcPr>
          <w:p>
            <w:pPr>
              <w:pStyle w:val="TableContents"/>
              <w:bidi w:val="0"/>
              <w:spacing w:before="0" w:after="283"/>
              <w:jc w:val="left"/>
              <w:rPr/>
            </w:pPr>
            <w:r>
              <w:rPr/>
              <w:t> </w:t>
            </w:r>
          </w:p>
        </w:tc>
      </w:tr>
      <w:tr>
        <w:trPr/>
        <w:tc>
          <w:tcPr>
            <w:tcW w:w="7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4" w:type="dxa"/>
            <w:tcBorders/>
          </w:tcPr>
          <w:p>
            <w:pPr>
              <w:pStyle w:val="TableContents"/>
              <w:bidi w:val="0"/>
              <w:spacing w:before="0" w:after="283"/>
              <w:jc w:val="left"/>
              <w:rPr/>
            </w:pPr>
            <w:r>
              <w:rPr/>
              <w:t>Title: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520"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768" w:type="dxa"/>
            <w:tcBorders/>
            <w:vAlign w:val="center"/>
          </w:tcPr>
          <w:p>
            <w:pPr>
              <w:pStyle w:val="TableContents"/>
              <w:bidi w:val="0"/>
              <w:spacing w:before="0" w:after="283"/>
              <w:jc w:val="left"/>
              <w:rPr>
                <w:sz w:val="4"/>
                <w:szCs w:val="4"/>
              </w:rPr>
            </w:pPr>
            <w:r>
              <w:rPr>
                <w:sz w:val="4"/>
                <w:szCs w:val="4"/>
              </w:rPr>
            </w:r>
          </w:p>
        </w:tc>
        <w:tc>
          <w:tcPr>
            <w:tcW w:w="3314" w:type="dxa"/>
            <w:gridSpan w:val="4"/>
            <w:tcBorders/>
            <w:vAlign w:val="center"/>
          </w:tcPr>
          <w:p>
            <w:pPr>
              <w:pStyle w:val="TableContents"/>
              <w:bidi w:val="0"/>
              <w:spacing w:before="0" w:after="283"/>
              <w:jc w:val="left"/>
              <w:rPr>
                <w:sz w:val="4"/>
                <w:szCs w:val="4"/>
              </w:rPr>
            </w:pPr>
            <w:r>
              <w:rPr>
                <w:sz w:val="4"/>
                <w:szCs w:val="4"/>
              </w:rPr>
            </w:r>
          </w:p>
        </w:tc>
      </w:tr>
      <w:tr>
        <w:trPr/>
        <w:tc>
          <w:tcPr>
            <w:tcW w:w="768" w:type="dxa"/>
            <w:tcBorders/>
          </w:tcPr>
          <w:p>
            <w:pPr>
              <w:pStyle w:val="TableContents"/>
              <w:bidi w:val="0"/>
              <w:spacing w:before="0" w:after="283"/>
              <w:jc w:val="left"/>
              <w:rPr/>
            </w:pPr>
            <w:r>
              <w:rPr/>
              <w:t>E-mail:</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4" w:type="dxa"/>
            <w:gridSpan w:val="3"/>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46"/>
        <w:gridCol w:w="90"/>
        <w:gridCol w:w="953"/>
        <w:gridCol w:w="90"/>
        <w:gridCol w:w="2103"/>
      </w:tblGrid>
      <w:tr>
        <w:trPr/>
        <w:tc>
          <w:tcPr>
            <w:tcW w:w="846"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Agreed to and Acknowledged as of the date first set forth above:</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CALDERA:</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CALDERA THERAPEUTICS, INC.</w:t>
            </w:r>
          </w:p>
        </w:tc>
      </w:tr>
      <w:tr>
        <w:trPr>
          <w:trHeight w:val="240" w:hRule="atLeast"/>
        </w:trPr>
        <w:tc>
          <w:tcPr>
            <w:tcW w:w="846" w:type="dxa"/>
            <w:tcBorders/>
            <w:vAlign w:val="center"/>
          </w:tcPr>
          <w:p>
            <w:pPr>
              <w:pStyle w:val="TableContents"/>
              <w:bidi w:val="0"/>
              <w:spacing w:before="0" w:after="283"/>
              <w:jc w:val="left"/>
              <w:rPr>
                <w:sz w:val="4"/>
                <w:szCs w:val="4"/>
              </w:rPr>
            </w:pPr>
            <w:r>
              <w:rPr>
                <w:sz w:val="4"/>
                <w:szCs w:val="4"/>
              </w:rPr>
            </w:r>
          </w:p>
        </w:tc>
        <w:tc>
          <w:tcPr>
            <w:tcW w:w="3236" w:type="dxa"/>
            <w:gridSpan w:val="4"/>
            <w:tcBorders/>
            <w:vAlign w:val="center"/>
          </w:tcPr>
          <w:p>
            <w:pPr>
              <w:pStyle w:val="TableContents"/>
              <w:bidi w:val="0"/>
              <w:spacing w:before="0" w:after="283"/>
              <w:jc w:val="left"/>
              <w:rPr>
                <w:sz w:val="4"/>
                <w:szCs w:val="4"/>
              </w:rPr>
            </w:pPr>
            <w:r>
              <w:rPr>
                <w:sz w:val="4"/>
                <w:szCs w:val="4"/>
              </w:rPr>
            </w:r>
          </w:p>
        </w:tc>
      </w:tr>
      <w:tr>
        <w:trPr/>
        <w:tc>
          <w:tcPr>
            <w:tcW w:w="846" w:type="dxa"/>
            <w:tcBorders/>
          </w:tcPr>
          <w:p>
            <w:pPr>
              <w:pStyle w:val="TableContents"/>
              <w:bidi w:val="0"/>
              <w:spacing w:before="0" w:after="283"/>
              <w:jc w:val="left"/>
              <w:rPr/>
            </w:pPr>
            <w:r>
              <w:rPr/>
              <w:t>By:</w:t>
            </w:r>
          </w:p>
        </w:tc>
        <w:tc>
          <w:tcPr>
            <w:tcW w:w="90" w:type="dxa"/>
            <w:tcBorders>
              <w:bottom w:val="single" w:sz="2" w:space="0" w:color="000000"/>
            </w:tcBorders>
            <w:tcMar>
              <w:bottom w:w="28" w:type="dxa"/>
            </w:tcMar>
            <w:vAlign w:val="bottom"/>
          </w:tcPr>
          <w:p>
            <w:pPr>
              <w:pStyle w:val="TableContents"/>
              <w:bidi w:val="0"/>
              <w:spacing w:before="0" w:after="283"/>
              <w:jc w:val="left"/>
              <w:rPr/>
            </w:pPr>
            <w:r>
              <w:rPr/>
              <w:t> </w:t>
            </w:r>
          </w:p>
        </w:tc>
        <w:tc>
          <w:tcPr>
            <w:tcW w:w="3146"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846"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953" w:type="dxa"/>
            <w:tcBorders/>
          </w:tcPr>
          <w:p>
            <w:pPr>
              <w:pStyle w:val="TableContents"/>
              <w:bidi w:val="0"/>
              <w:spacing w:before="0" w:after="283"/>
              <w:jc w:val="left"/>
              <w:rPr/>
            </w:pPr>
            <w:r>
              <w:rPr/>
              <w:t>Name:</w:t>
            </w:r>
          </w:p>
        </w:tc>
        <w:tc>
          <w:tcPr>
            <w:tcW w:w="90" w:type="dxa"/>
            <w:tcBorders>
              <w:bottom w:val="single" w:sz="2" w:space="0" w:color="000000"/>
            </w:tcBorders>
            <w:tcMar>
              <w:bottom w:w="28" w:type="dxa"/>
            </w:tcMar>
            <w:vAlign w:val="bottom"/>
          </w:tcPr>
          <w:p>
            <w:pPr>
              <w:pStyle w:val="TableContents"/>
              <w:bidi w:val="0"/>
              <w:spacing w:before="0" w:after="283"/>
              <w:jc w:val="left"/>
              <w:rPr/>
            </w:pPr>
            <w:r>
              <w:rPr/>
              <w:t> </w:t>
            </w:r>
          </w:p>
        </w:tc>
        <w:tc>
          <w:tcPr>
            <w:tcW w:w="2103" w:type="dxa"/>
            <w:tcBorders>
              <w:bottom w:val="single" w:sz="2" w:space="0" w:color="000000"/>
            </w:tcBorders>
            <w:tcMar>
              <w:bottom w:w="28" w:type="dxa"/>
            </w:tcMar>
          </w:tcPr>
          <w:p>
            <w:pPr>
              <w:pStyle w:val="TableContents"/>
              <w:bidi w:val="0"/>
              <w:spacing w:before="0" w:after="283"/>
              <w:jc w:val="left"/>
              <w:rPr/>
            </w:pPr>
            <w:r>
              <w:rPr/>
              <w:t> </w:t>
            </w:r>
          </w:p>
        </w:tc>
      </w:tr>
      <w:tr>
        <w:trPr/>
        <w:tc>
          <w:tcPr>
            <w:tcW w:w="846"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953" w:type="dxa"/>
            <w:tcBorders/>
          </w:tcPr>
          <w:p>
            <w:pPr>
              <w:pStyle w:val="TableContents"/>
              <w:bidi w:val="0"/>
              <w:spacing w:before="0" w:after="283"/>
              <w:jc w:val="left"/>
              <w:rPr/>
            </w:pPr>
            <w:r>
              <w:rPr/>
              <w:t>Title:</w:t>
            </w:r>
          </w:p>
        </w:tc>
        <w:tc>
          <w:tcPr>
            <w:tcW w:w="90" w:type="dxa"/>
            <w:tcBorders>
              <w:bottom w:val="single" w:sz="2" w:space="0" w:color="000000"/>
            </w:tcBorders>
            <w:tcMar>
              <w:bottom w:w="28" w:type="dxa"/>
            </w:tcMar>
            <w:vAlign w:val="bottom"/>
          </w:tcPr>
          <w:p>
            <w:pPr>
              <w:pStyle w:val="TableContents"/>
              <w:bidi w:val="0"/>
              <w:spacing w:before="0" w:after="283"/>
              <w:jc w:val="left"/>
              <w:rPr/>
            </w:pPr>
            <w:r>
              <w:rPr/>
              <w:t> </w:t>
            </w:r>
          </w:p>
        </w:tc>
        <w:tc>
          <w:tcPr>
            <w:tcW w:w="2103"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SYNLOGIC:</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SYNLOGIC, INC.</w:t>
            </w:r>
          </w:p>
        </w:tc>
      </w:tr>
      <w:tr>
        <w:trPr>
          <w:trHeight w:val="240" w:hRule="atLeast"/>
        </w:trPr>
        <w:tc>
          <w:tcPr>
            <w:tcW w:w="846" w:type="dxa"/>
            <w:tcBorders/>
            <w:vAlign w:val="center"/>
          </w:tcPr>
          <w:p>
            <w:pPr>
              <w:pStyle w:val="TableContents"/>
              <w:bidi w:val="0"/>
              <w:spacing w:before="0" w:after="283"/>
              <w:jc w:val="left"/>
              <w:rPr>
                <w:sz w:val="4"/>
                <w:szCs w:val="4"/>
              </w:rPr>
            </w:pPr>
            <w:r>
              <w:rPr>
                <w:sz w:val="4"/>
                <w:szCs w:val="4"/>
              </w:rPr>
            </w:r>
          </w:p>
        </w:tc>
        <w:tc>
          <w:tcPr>
            <w:tcW w:w="3236" w:type="dxa"/>
            <w:gridSpan w:val="4"/>
            <w:tcBorders/>
            <w:vAlign w:val="center"/>
          </w:tcPr>
          <w:p>
            <w:pPr>
              <w:pStyle w:val="TableContents"/>
              <w:bidi w:val="0"/>
              <w:spacing w:before="0" w:after="283"/>
              <w:jc w:val="left"/>
              <w:rPr>
                <w:sz w:val="4"/>
                <w:szCs w:val="4"/>
              </w:rPr>
            </w:pPr>
            <w:r>
              <w:rPr>
                <w:sz w:val="4"/>
                <w:szCs w:val="4"/>
              </w:rPr>
            </w:r>
          </w:p>
        </w:tc>
      </w:tr>
      <w:tr>
        <w:trPr/>
        <w:tc>
          <w:tcPr>
            <w:tcW w:w="846" w:type="dxa"/>
            <w:tcBorders/>
          </w:tcPr>
          <w:p>
            <w:pPr>
              <w:pStyle w:val="TableContents"/>
              <w:bidi w:val="0"/>
              <w:spacing w:before="0" w:after="283"/>
              <w:jc w:val="left"/>
              <w:rPr/>
            </w:pPr>
            <w:r>
              <w:rPr/>
              <w:t>By:</w:t>
            </w:r>
          </w:p>
        </w:tc>
        <w:tc>
          <w:tcPr>
            <w:tcW w:w="90" w:type="dxa"/>
            <w:tcBorders>
              <w:bottom w:val="single" w:sz="2" w:space="0" w:color="000000"/>
            </w:tcBorders>
            <w:tcMar>
              <w:bottom w:w="28" w:type="dxa"/>
            </w:tcMar>
            <w:vAlign w:val="bottom"/>
          </w:tcPr>
          <w:p>
            <w:pPr>
              <w:pStyle w:val="TableContents"/>
              <w:bidi w:val="0"/>
              <w:spacing w:before="0" w:after="283"/>
              <w:jc w:val="left"/>
              <w:rPr/>
            </w:pPr>
            <w:r>
              <w:rPr/>
              <w:t> </w:t>
            </w:r>
          </w:p>
        </w:tc>
        <w:tc>
          <w:tcPr>
            <w:tcW w:w="3146"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846"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953" w:type="dxa"/>
            <w:tcBorders/>
          </w:tcPr>
          <w:p>
            <w:pPr>
              <w:pStyle w:val="TableContents"/>
              <w:bidi w:val="0"/>
              <w:spacing w:before="0" w:after="283"/>
              <w:jc w:val="left"/>
              <w:rPr/>
            </w:pPr>
            <w:r>
              <w:rPr/>
              <w:t>Name:</w:t>
            </w:r>
          </w:p>
        </w:tc>
        <w:tc>
          <w:tcPr>
            <w:tcW w:w="90" w:type="dxa"/>
            <w:tcBorders/>
            <w:vAlign w:val="bottom"/>
          </w:tcPr>
          <w:p>
            <w:pPr>
              <w:pStyle w:val="TableContents"/>
              <w:bidi w:val="0"/>
              <w:spacing w:before="0" w:after="283"/>
              <w:jc w:val="left"/>
              <w:rPr/>
            </w:pPr>
            <w:r>
              <w:rPr/>
              <w:t> </w:t>
            </w:r>
          </w:p>
        </w:tc>
        <w:tc>
          <w:tcPr>
            <w:tcW w:w="2103" w:type="dxa"/>
            <w:tcBorders/>
          </w:tcPr>
          <w:p>
            <w:pPr>
              <w:pStyle w:val="TableContents"/>
              <w:bidi w:val="0"/>
              <w:spacing w:before="0" w:after="283"/>
              <w:jc w:val="left"/>
              <w:rPr>
                <w:sz w:val="4"/>
                <w:szCs w:val="4"/>
              </w:rPr>
            </w:pPr>
            <w:r>
              <w:rPr>
                <w:sz w:val="4"/>
                <w:szCs w:val="4"/>
              </w:rPr>
            </w:r>
          </w:p>
        </w:tc>
      </w:tr>
      <w:tr>
        <w:trPr/>
        <w:tc>
          <w:tcPr>
            <w:tcW w:w="846"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146" w:type="dxa"/>
            <w:gridSpan w:val="3"/>
            <w:tcBorders/>
          </w:tcPr>
          <w:p>
            <w:pPr>
              <w:pStyle w:val="TableContents"/>
              <w:bidi w:val="0"/>
              <w:spacing w:before="0" w:after="283"/>
              <w:jc w:val="left"/>
              <w:rPr/>
            </w:pPr>
            <w:r>
              <w:rPr/>
              <w:t xml:space="preserve">Title: </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Stockholder Support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Synlogic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16"/>
        <w:gridCol w:w="60"/>
        <w:gridCol w:w="2487"/>
        <w:gridCol w:w="107"/>
        <w:gridCol w:w="2562"/>
        <w:gridCol w:w="120"/>
        <w:gridCol w:w="2153"/>
      </w:tblGrid>
      <w:tr>
        <w:trPr/>
        <w:tc>
          <w:tcPr>
            <w:tcW w:w="27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r>
      <w:tr>
        <w:trPr/>
        <w:tc>
          <w:tcPr>
            <w:tcW w:w="2716" w:type="dxa"/>
            <w:tcBorders/>
            <w:vAlign w:val="bottom"/>
          </w:tcPr>
          <w:p>
            <w:pPr>
              <w:pStyle w:val="TableContents"/>
              <w:bidi w:val="0"/>
              <w:spacing w:before="0" w:after="283"/>
              <w:jc w:val="center"/>
              <w:rPr>
                <w:b/>
              </w:rPr>
            </w:pPr>
            <w:r>
              <w:rPr>
                <w:b/>
              </w:rPr>
              <w:t>Holder</w:t>
            </w:r>
          </w:p>
        </w:tc>
        <w:tc>
          <w:tcPr>
            <w:tcW w:w="60" w:type="dxa"/>
            <w:tcBorders/>
            <w:vAlign w:val="bottom"/>
          </w:tcPr>
          <w:p>
            <w:pPr>
              <w:pStyle w:val="TableContents"/>
              <w:bidi w:val="0"/>
              <w:spacing w:before="0" w:after="283"/>
              <w:jc w:val="left"/>
              <w:rPr/>
            </w:pPr>
            <w:r>
              <w:rPr/>
              <w:t> </w:t>
            </w:r>
          </w:p>
        </w:tc>
        <w:tc>
          <w:tcPr>
            <w:tcW w:w="2487" w:type="dxa"/>
            <w:tcBorders/>
            <w:vAlign w:val="bottom"/>
          </w:tcPr>
          <w:p>
            <w:pPr>
              <w:pStyle w:val="TableContents"/>
              <w:bidi w:val="0"/>
              <w:spacing w:before="0" w:after="283"/>
              <w:jc w:val="center"/>
              <w:rPr>
                <w:b/>
              </w:rPr>
            </w:pPr>
            <w:r>
              <w:rPr>
                <w:b/>
              </w:rPr>
              <w:t>Synlogic</w:t>
              <w:br/>
              <w:t>Common Stock</w:t>
            </w:r>
          </w:p>
        </w:tc>
        <w:tc>
          <w:tcPr>
            <w:tcW w:w="107" w:type="dxa"/>
            <w:tcBorders/>
            <w:vAlign w:val="bottom"/>
          </w:tcPr>
          <w:p>
            <w:pPr>
              <w:pStyle w:val="TableContents"/>
              <w:bidi w:val="0"/>
              <w:spacing w:before="0" w:after="283"/>
              <w:jc w:val="left"/>
              <w:rPr/>
            </w:pPr>
            <w:r>
              <w:rPr/>
              <w:t> </w:t>
            </w:r>
          </w:p>
        </w:tc>
        <w:tc>
          <w:tcPr>
            <w:tcW w:w="2562" w:type="dxa"/>
            <w:tcBorders/>
            <w:vAlign w:val="bottom"/>
          </w:tcPr>
          <w:p>
            <w:pPr>
              <w:pStyle w:val="TableContents"/>
              <w:bidi w:val="0"/>
              <w:spacing w:before="0" w:after="283"/>
              <w:jc w:val="center"/>
              <w:rPr>
                <w:b/>
              </w:rPr>
            </w:pPr>
            <w:r>
              <w:rPr>
                <w:b/>
              </w:rPr>
              <w:t>Synlogic Options</w:t>
            </w:r>
          </w:p>
        </w:tc>
        <w:tc>
          <w:tcPr>
            <w:tcW w:w="120" w:type="dxa"/>
            <w:tcBorders/>
            <w:vAlign w:val="bottom"/>
          </w:tcPr>
          <w:p>
            <w:pPr>
              <w:pStyle w:val="TableContents"/>
              <w:bidi w:val="0"/>
              <w:spacing w:before="0" w:after="283"/>
              <w:jc w:val="left"/>
              <w:rPr/>
            </w:pPr>
            <w:r>
              <w:rPr/>
              <w:t>  </w:t>
            </w:r>
          </w:p>
        </w:tc>
        <w:tc>
          <w:tcPr>
            <w:tcW w:w="2153"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Synlogic</w:t>
            </w:r>
          </w:p>
          <w:p>
            <w:pPr>
              <w:pStyle w:val="TableContents"/>
              <w:bidi w:val="0"/>
              <w:spacing w:before="0" w:after="20"/>
              <w:jc w:val="center"/>
              <w:rPr>
                <w:rFonts w:ascii="Times New Roman" w:hAnsi="Times New Roman"/>
                <w:b/>
                <w:sz w:val="16"/>
              </w:rPr>
            </w:pPr>
            <w:r>
              <w:rPr>
                <w:rFonts w:ascii="Times New Roman" w:hAnsi="Times New Roman"/>
                <w:b/>
                <w:sz w:val="16"/>
              </w:rPr>
              <w:t>Warrants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 </w:t>
      </w:r>
    </w:p>
    <w:p>
      <w:pPr>
        <w:pStyle w:val="TextBody"/>
        <w:bidi w:val="0"/>
        <w:spacing w:before="0" w:after="0"/>
        <w:jc w:val="right"/>
        <w:rPr>
          <w:rFonts w:ascii="Times New Roman" w:hAnsi="Times New Roman"/>
          <w:b/>
          <w:i/>
          <w:sz w:val="20"/>
        </w:rPr>
      </w:pPr>
      <w:bookmarkStart w:id="6" w:name="d91010dex102.htm"/>
      <w:bookmarkStart w:id="7" w:name="ksd91010dex102"/>
      <w:bookmarkEnd w:id="6"/>
      <w:bookmarkEnd w:id="7"/>
      <w:r>
        <w:rPr>
          <w:rFonts w:ascii="Times New Roman" w:hAnsi="Times New Roman"/>
          <w:b/>
          <w:i/>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STOCKHOLDER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b/>
          <w:sz w:val="20"/>
        </w:rPr>
        <w:t>Support Agreement</w:t>
      </w:r>
      <w:r>
        <w:rPr>
          <w:rFonts w:ascii="Times New Roman" w:hAnsi="Times New Roman"/>
          <w:sz w:val="20"/>
        </w:rPr>
        <w:t>”) is being delivered on July 28, 2026 by the person or persons named on the signature pages hereto (collectively, the “</w:t>
      </w:r>
      <w:r>
        <w:rPr>
          <w:rFonts w:ascii="Times New Roman" w:hAnsi="Times New Roman"/>
          <w:b/>
          <w:sz w:val="20"/>
        </w:rPr>
        <w:t>Holder</w:t>
      </w:r>
      <w:r>
        <w:rPr>
          <w:rFonts w:ascii="Times New Roman" w:hAnsi="Times New Roman"/>
          <w:sz w:val="20"/>
        </w:rPr>
        <w:t>”), as the holder of Caldera Shares (as defined below) of Caldera Therapeutics, Inc., a Delaware corporation (“</w:t>
      </w:r>
      <w:r>
        <w:rPr>
          <w:rFonts w:ascii="Times New Roman" w:hAnsi="Times New Roman"/>
          <w:b/>
          <w:sz w:val="20"/>
        </w:rPr>
        <w:t>Caldera</w:t>
      </w:r>
      <w:r>
        <w:rPr>
          <w:rFonts w:ascii="Times New Roman" w:hAnsi="Times New Roman"/>
          <w:sz w:val="20"/>
        </w:rPr>
        <w:t>”), to Synlogic, Inc., a Delaware corporation (“</w:t>
      </w:r>
      <w:r>
        <w:rPr>
          <w:rFonts w:ascii="Times New Roman" w:hAnsi="Times New Roman"/>
          <w:b/>
          <w:sz w:val="20"/>
        </w:rPr>
        <w:t>Synlogic</w:t>
      </w:r>
      <w:r>
        <w:rPr>
          <w:rFonts w:ascii="Times New Roman" w:hAnsi="Times New Roman"/>
          <w:sz w:val="20"/>
        </w:rPr>
        <w:t xml:space="preserve">”) and to Caldera. </w:t>
      </w:r>
    </w:p>
    <w:p>
      <w:pPr>
        <w:pStyle w:val="TextBody"/>
        <w:bidi w:val="0"/>
        <w:spacing w:before="240" w:after="0"/>
        <w:jc w:val="left"/>
        <w:rPr>
          <w:rFonts w:ascii="Times New Roman" w:hAnsi="Times New Roman"/>
          <w:sz w:val="20"/>
        </w:rPr>
      </w:pPr>
      <w:r>
        <w:rPr>
          <w:rFonts w:ascii="Times New Roman" w:hAnsi="Times New Roman"/>
          <w:sz w:val="20"/>
        </w:rPr>
        <w:t>Reference is made to that certain Agreement and Plan of Merger (the “</w:t>
      </w:r>
      <w:r>
        <w:rPr>
          <w:rFonts w:ascii="Times New Roman" w:hAnsi="Times New Roman"/>
          <w:b/>
          <w:sz w:val="20"/>
        </w:rPr>
        <w:t>Merger Agreement</w:t>
      </w:r>
      <w:r>
        <w:rPr>
          <w:rFonts w:ascii="Times New Roman" w:hAnsi="Times New Roman"/>
          <w:sz w:val="20"/>
        </w:rPr>
        <w:t>”), as amended from time to time, dated as of July 28, 2026, by and among Caldera, Synlogic, Sonic Holdco, Inc., a Delaware corporation (“</w:t>
      </w:r>
      <w:r>
        <w:rPr>
          <w:rFonts w:ascii="Times New Roman" w:hAnsi="Times New Roman"/>
          <w:b/>
          <w:sz w:val="20"/>
        </w:rPr>
        <w:t>Parent</w:t>
      </w:r>
      <w:r>
        <w:rPr>
          <w:rFonts w:ascii="Times New Roman" w:hAnsi="Times New Roman"/>
          <w:sz w:val="20"/>
        </w:rPr>
        <w:t>”), Yellowstone Merger Sub, Inc., a Delaware corporation and a direct, wholly owned subsidiary of Parent (“</w:t>
      </w:r>
      <w:r>
        <w:rPr>
          <w:rFonts w:ascii="Times New Roman" w:hAnsi="Times New Roman"/>
          <w:b/>
          <w:sz w:val="20"/>
        </w:rPr>
        <w:t>Caldera Merger Sub</w:t>
      </w:r>
      <w:r>
        <w:rPr>
          <w:rFonts w:ascii="Times New Roman" w:hAnsi="Times New Roman"/>
          <w:sz w:val="20"/>
        </w:rPr>
        <w:t>”) and Sonic Merger Sub, Inc., a Delaware corporation and direct, wholly owned subsidiary of Parent (“</w:t>
      </w:r>
      <w:r>
        <w:rPr>
          <w:rFonts w:ascii="Times New Roman" w:hAnsi="Times New Roman"/>
          <w:b/>
          <w:sz w:val="20"/>
        </w:rPr>
        <w:t>Synlogic Merger Sub</w:t>
      </w:r>
      <w:r>
        <w:rPr>
          <w:rFonts w:ascii="Times New Roman" w:hAnsi="Times New Roman"/>
          <w:sz w:val="20"/>
        </w:rPr>
        <w:t xml:space="preserve">”). All capitalized terms that are used but not defined herein shall have the respective meanings ascribed to them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the Holder is the record (as defined in Rule 12g5-1 promulgated under the Exchange Act) or beneficial owner (as defined in Rule 13d-3 promulgated under the Exchange Act) of the number of shares of Caldera Common Stock, Caldera Preferred Stock, Caldera Options and other securities convertible into, or exercisable or exchangeable for, shares of Caldera Common Stock, as set forth on </w:t>
      </w:r>
      <w:r>
        <w:rPr>
          <w:rFonts w:ascii="Times New Roman" w:hAnsi="Times New Roman"/>
          <w:sz w:val="20"/>
          <w:u w:val="single"/>
        </w:rPr>
        <w:t>Exhibit A</w:t>
      </w:r>
      <w:r>
        <w:rPr>
          <w:rFonts w:ascii="Times New Roman" w:hAnsi="Times New Roman"/>
          <w:sz w:val="20"/>
        </w:rPr>
        <w:t xml:space="preserve"> hereto (collectively, the “</w:t>
      </w:r>
      <w:r>
        <w:rPr>
          <w:rFonts w:ascii="Times New Roman" w:hAnsi="Times New Roman"/>
          <w:b/>
          <w:sz w:val="20"/>
        </w:rPr>
        <w:t>Caldera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 condition and inducement to Caldera’s and Synlogic’s willingness to enter into the Merger Agreement, the Holder has agreed to enter into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Agreement to Vote</w:t>
      </w:r>
      <w:r>
        <w:rPr>
          <w:rFonts w:ascii="Times New Roman" w:hAnsi="Times New Roman"/>
          <w:sz w:val="20"/>
        </w:rPr>
        <w:t xml:space="preserve">. From the date hereof until the Termination Date (as defined below), the Holder agrees to vote (or cause to be voted), or deliver (or cause to be delivered) a written consent with respect to, and shall not enter into any agreement or otherwise give instructions to any person to vote in any manner inconsistent with this Support Agreement, at every meeting of the Caldera stockholders (or any class or series of stockholders, as applicable) convened in connection with the matters related to the Merger Agreement, and at every adjournment or postponement thereof, and in connection with any action proposed to be taken by written consent of the stockholders of Caldera, all Caldera Shares it beneficially owns and is entitled to vote at such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favor of (i) the adoption and approval of the Merger Agreement and the terms thereof, including the Contemplated Transactions and the other actions contemplated by the Merger Agreement, (ii) the Caldera Merger and (iii) all of the matters set forth in the Caldera Stockholder Written Consent;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against (i) any Acquisition Proposal, Acquisition Transaction or any other action that would reasonably be expected to interfere with, delay, impede, postpone, discourage or adversely affect the consummation of the Contemplated Transactions, and (ii) against any action or agreement that would reasonably be expected to result in a breach of any representation, warranty, covenant or obligation of Caldera in the Merger Agreement (clauses (a) and (b) collectively, the “</w:t>
            </w:r>
            <w:r>
              <w:rPr>
                <w:rFonts w:ascii="Times New Roman" w:hAnsi="Times New Roman"/>
                <w:b/>
                <w:sz w:val="20"/>
              </w:rPr>
              <w:t>Supported Matters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Nothing in this Support Agreement shall require the Holder to vote in any manner, or deliver a written consent, with respect to any amendment to the Merger Agreement or the taking of any action that would reasonably be expected to result in the amendment, modification or waiver of a provision of the Merger Agreement in a manner that (1) decreases the Caldera Exchange Ratio or changes the form or reduces the amount of the consideration payable to stockholders of Caldera in the Contemplated Transactions; (2) increases the Synlogic Exchange Ratio or changes the form or increases the amount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consideration payable to stockholders of Synlogic in the Contemplated Transactions, (3) is material and adverse to the Holder, or (4) imposes any restrictions or any additional conditions on the consummation of the Contemplated Transactions. For the avoidance of doubt, other than with respect to the Supported Matters, the Holder does not have any obligation to vote, or deliver a written consent with respect to, the Caldera Shares in any particular manner and, with respect to such other matters (other than the Supported Matters), the Holder shall be entitled to vote, or deliver a written consent with respect to, the Caldera Shares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From the date hereof until the Termination Date, in the event of (i) a stock split, stock dividend or distribution, or any change in the capital stock of Caldera by reason of any split-up, reverse stock split, recapitalization, combination, reclassification, reincorporation, exchange of shares or the like or (ii) the acquisition of sole or shared voting power by the Holder of additional shares of capital stock or other equity securities of Caldera, whether by the exercise of Caldera Options, conversion of Caldera Preferred Stock or otherwise, including, without limitation, by gift or succession, then the term “Caldera Shares” shall be deemed to refer to and include such shares as well as all such stock dividends and distributions and any securities into which or for which any or all of such shares may be changed or exchanged or which are received in such transaction, and such Caldera Shares shall be subject to the terms and conditions of this Support Agreement to the same extent as if they constituted Caldera Shares as of the date of the execution of this Support Agreement, without the need for any further action by the parties (including, for the avoidance of doubt, with respect to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Delivery of Written Consent</w:t>
      </w:r>
      <w:r>
        <w:rPr>
          <w:rFonts w:ascii="Times New Roman" w:hAnsi="Times New Roman"/>
          <w:sz w:val="20"/>
        </w:rPr>
        <w:t xml:space="preserve">. Promptly after the Registration Statement is declared effective under the Securities Act, and in any event no later than two (2) Business Days thereafter, the Holder agrees to irrevocably execute and deliver, or cause to be delivered, to Caldera and Synlogic its duly executed counterpart to the Caldera Stockholder Written Consent. The Caldera Stockholder Written Consent shall be given in accordance with such procedures relating thereto, including pursuant to the Delaware General Corporation Law and each of Caldera’s organizational documents so as to ensure that it is duly counted for purposes of recording the results of the Caldera Stockholder Written Consent and otherwise effective for all purposes, including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No Transfer</w:t>
      </w:r>
      <w:r>
        <w:rPr>
          <w:rFonts w:ascii="Times New Roman" w:hAnsi="Times New Roman"/>
          <w:sz w:val="20"/>
        </w:rPr>
        <w:t>. From the date hereof until the Termination Date, the Holder agrees not to, directly or indirectly, sell, transfer, pledge, encumber (other than liens arising under or imposed by applicable law or pursuant to this Support Agreement, the Merger Agreement or the transactions contemplated hereby or thereby), assign, gift or otherwise dispose of (collectively, a “</w:t>
      </w:r>
      <w:r>
        <w:rPr>
          <w:rFonts w:ascii="Times New Roman" w:hAnsi="Times New Roman"/>
          <w:b/>
          <w:sz w:val="20"/>
        </w:rPr>
        <w:t>Transfer</w:t>
      </w:r>
      <w:r>
        <w:rPr>
          <w:rFonts w:ascii="Times New Roman" w:hAnsi="Times New Roman"/>
          <w:sz w:val="20"/>
        </w:rPr>
        <w:t xml:space="preserve">”) or enter into any contract, option or other arrangement or understanding with respect to any Transfer of, any of the Caldera Shares. Any Transfer or purported Transfer of Caldera Shares in breach or violation of this Support Agreement shall be void and of no force or effect. Notwithstanding the foregoing, the restrictions set forth in this </w:t>
      </w:r>
      <w:r>
        <w:rPr>
          <w:rFonts w:ascii="Times New Roman" w:hAnsi="Times New Roman"/>
          <w:sz w:val="20"/>
          <w:u w:val="single"/>
        </w:rPr>
        <w:t>Section 3</w:t>
      </w:r>
      <w:r>
        <w:rPr>
          <w:rFonts w:ascii="Times New Roman" w:hAnsi="Times New Roman"/>
          <w:sz w:val="20"/>
        </w:rPr>
        <w:t xml:space="preserve"> shall not apply to: (a) Transfers by gift to members of the Holder’s immediate family or to a trust, the beneficiary of which is a member of the Holder’s immediate family, an affiliate of such Person or to a charitable organization; (b) Transfers by virtue of laws of descent and distribution upon death of the individual; (c) Transfers by operation of law or pursuant to a court order, such as a qualified domestic relations order, divorce decree or separation agreement; (d) Transfers to a partnership, limited liability company or other entity of which the Holder and/or the immediate family of the Holder are the legal and beneficial owner of all of the outstanding equity securities or similar interests; (e) Transfers to a trustor or beneficiary of the trust, to the designated nominee of a beneficiary of such trust or to the estate of a beneficiary of such trust; (f) Transfers by virtue of the laws of the state of the entity’s organization and the entity’s organizational documents upon dissolution of the entity; (g) the settlement, exercise, termination or vesting of any Caldera Options, including in order to (i) pay the exercise price thereof or (ii) satisfy taxes applicable thereto; (h) the conversion of the Caldera Preferred Stock into Caldera Common Stock; and (i) Transfers to any Affiliate, equityholder, partner or member of such Holder;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to the fullest extent permitted by applicable Law, for any permitted Transfers pursuant to clauses (a) to (i) (other than clause (g)), the Caldera Shares so Transferred shall continue to be subject to the provisions of this Support Agreement and, as a condition precedent to any such Transfer, these permitted transferees must enter into a written agreement, in substantially the form of this Support Agreement, agreeing to be bound by the restrictions in this </w:t>
      </w:r>
      <w:r>
        <w:rPr>
          <w:rFonts w:ascii="Times New Roman" w:hAnsi="Times New Roman"/>
          <w:sz w:val="20"/>
          <w:u w:val="single"/>
        </w:rPr>
        <w:t>Section 3</w:t>
      </w:r>
      <w:r>
        <w:rPr>
          <w:rFonts w:ascii="Times New Roman" w:hAnsi="Times New Roman"/>
          <w:sz w:val="20"/>
        </w:rPr>
        <w:t xml:space="preserve"> and shall have the same rights and benefits under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the Holder</w:t>
      </w:r>
      <w:r>
        <w:rPr>
          <w:rFonts w:ascii="Times New Roman" w:hAnsi="Times New Roman"/>
          <w:sz w:val="20"/>
        </w:rPr>
        <w:t xml:space="preserve">. The Holder hereby represents and warrants to Caldera and Synlogic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Holder has full power and authority (or legal capacity, if the Holder is a natural person) to execute and deliver this Support Agreement and to perform the Holder’s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(b) this Support Agreement has been duly executed and delivered by the Holder, and, assuming this Support Agreement constitutes a valid and binding obligation of Caldera and Synlogic, constitutes a valid and binding obligation of the Holder enforceable against the Holder in accordance with its terms, subject to (i) laws of general application relating to bankruptcy, insolvency and the relief of debtors, and (ii) rules of law governing specific performance, injunctive relief and other equitable remedies, and the Holder understands that each of Caldera and Synlogic is entering into the Merger Agreement in reliance upon the Holder’s execution and delivery of this Support Agreement; </w:t>
      </w:r>
    </w:p>
    <w:p>
      <w:pPr>
        <w:pStyle w:val="TextBody"/>
        <w:bidi w:val="0"/>
        <w:spacing w:before="240" w:after="0"/>
        <w:jc w:val="left"/>
        <w:rPr>
          <w:rFonts w:ascii="Times New Roman" w:hAnsi="Times New Roman"/>
          <w:sz w:val="20"/>
        </w:rPr>
      </w:pPr>
      <w:r>
        <w:rPr>
          <w:rFonts w:ascii="Times New Roman" w:hAnsi="Times New Roman"/>
          <w:sz w:val="20"/>
        </w:rPr>
        <w:t>(c) the Holder is the record or beneficial owner of the Caldera Shares and does not beneficially own any securities of Caldera other than the shares of Caldera Common Stock and rights to purchase or otherwise acquire shares of Caldera Common Stock set forth in</w:t>
      </w:r>
      <w:r>
        <w:rPr>
          <w:rFonts w:ascii="Times New Roman" w:hAnsi="Times New Roman"/>
          <w:sz w:val="20"/>
          <w:u w:val="single"/>
        </w:rPr>
        <w:t xml:space="preserve"> 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and delivery of this Support Agreement by the Holder will not (i) result in a violation or breach of any agreement to which the Holder is a party, (ii) violate any Law or order applicable to the Holder or (iii) if Holder is an entity, violate any constituent or organizational document, except in each case as would not prevent or materially delay the Holder from performing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of this Support Agreement, there is no proceeding pending or, to the knowledge of the Holder, threatened against the Holder or any of the Holder’s properties or assets (whether tangible or intangible) that would reasonably be expected to prevent or materially impair the ability of the Holder to perform the Holder’s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(f) (i) the Holder does not have any agreement, arrangement, or understanding, whether written or oral, formal or informal, with any other holder of Caldera Common Stock to act together for the purpose of acquiring, holding, voting, or disposing of shares of Caldera Common Stock, nor does the Holder otherwise act in concert with any other holder of Caldera Common Stock in connection with the exercise of any rights or powers arising from the ownership of Caldera Common Stock and (ii) without limiting the generality of the foregoing, the Holder is not a member of a “group” (as such term is used in Section 13(d)(3) of the Exchange Act) with any other holder of any equity securities of Caldera for the purpose of acquiring, holding, voting, or disposing of equity securities of Caldera; and </w:t>
      </w:r>
    </w:p>
    <w:p>
      <w:pPr>
        <w:pStyle w:val="TextBody"/>
        <w:bidi w:val="0"/>
        <w:spacing w:before="240" w:after="0"/>
        <w:jc w:val="left"/>
        <w:rPr>
          <w:rFonts w:ascii="Times New Roman" w:hAnsi="Times New Roman"/>
          <w:sz w:val="20"/>
        </w:rPr>
      </w:pPr>
      <w:r>
        <w:rPr>
          <w:rFonts w:ascii="Times New Roman" w:hAnsi="Times New Roman"/>
          <w:sz w:val="20"/>
        </w:rPr>
        <w:t xml:space="preserve">(g) the Holder has had the opportunity to review the Merger Agreement, including the provisions relating to the payment and allocation of the consideration to be paid to the stockholders of Caldera, and this Agreement with counsel of the Holder’s own choosing. The Holder has had an opportunity to review with its own tax advisors the tax consequences of the Mergers and the Contemplated Transactions. The Holder understands that it must rely solely on its advisors and not on any statements or representations made by Caldera or Synlogic, or any of their respective agents or representatives. The Holder understands that the Holder (and not Caldera, Synlogic or Parent) shall be responsible for the Holder’s tax liability that may arise as a result of the Caldera Merger or the transactions contemplated by the Merger Agreement. The Holder understands and acknowledges that Caldera, Synlogic, Parent, Caldera Merger Sub and Synlogic Merger Sub are entering into the Merger Agreement in reliance upon the Holder’s execution, delivery and performance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 Impact on Directors’ or Officers’ Duties</w:t>
      </w:r>
      <w:r>
        <w:rPr>
          <w:rFonts w:ascii="Times New Roman" w:hAnsi="Times New Roman"/>
          <w:sz w:val="20"/>
        </w:rPr>
        <w:t xml:space="preserve">. Notwithstanding any provision of this Support Agreement to the contrary, the parties acknowledge that (a) the Holder is entering into this Support Agreement solely in the Holder’s capacity as a record or beneficial owner of Caldera Common Stock and not in such Holder’s capacity as a director, officer or employee of Caldera or in the Holder’s capacity as a trustee or fiduciary of any Caldera Equity Plans and (b) nothing in this Support Agreement is intended to limit or restrict the Holder, or a designee of the Holder, who is a director or officer of Caldera from taking any action or inaction or voting in favor in the Holder’s sole discretion on any matter in his or her capacity as a director of Caldera or in the Holder’s capacity as a trustee or fiduciary of any Caldera Equity Plans (if applicable), or fulfilling the obligations of such office, and none of such actions in such capacity shall be deemed to constitute a breach of this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(assuming no “Bounce-Back” message is received) prior to 6:00 p.m. New York City time, otherwise on the next succeeding Business Day, in each case to the intended recipient as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Caldera,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Caldera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300 Technology Square, 8th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Fenwick &amp; West LLP </w:t>
      </w:r>
    </w:p>
    <w:p>
      <w:pPr>
        <w:pStyle w:val="TextBody"/>
        <w:bidi w:val="0"/>
        <w:spacing w:before="0" w:after="0"/>
        <w:jc w:val="left"/>
        <w:rPr>
          <w:rFonts w:ascii="Times New Roman" w:hAnsi="Times New Roman"/>
          <w:sz w:val="20"/>
        </w:rPr>
      </w:pPr>
      <w:r>
        <w:rPr>
          <w:rFonts w:ascii="Times New Roman" w:hAnsi="Times New Roman"/>
          <w:sz w:val="20"/>
        </w:rPr>
        <w:t xml:space="preserve">One Front Street, 33rd Floor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94111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Synlogic,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Synlogic, Inc. </w:t>
      </w:r>
    </w:p>
    <w:p>
      <w:pPr>
        <w:pStyle w:val="TextBody"/>
        <w:bidi w:val="0"/>
        <w:spacing w:before="0" w:after="0"/>
        <w:jc w:val="left"/>
        <w:rPr>
          <w:rFonts w:ascii="Times New Roman" w:hAnsi="Times New Roman"/>
          <w:sz w:val="20"/>
        </w:rPr>
      </w:pPr>
      <w:r>
        <w:rPr>
          <w:rFonts w:ascii="Times New Roman" w:hAnsi="Times New Roman"/>
          <w:sz w:val="20"/>
        </w:rPr>
        <w:t xml:space="preserve">PO Box 30 </w:t>
      </w:r>
    </w:p>
    <w:p>
      <w:pPr>
        <w:pStyle w:val="TextBody"/>
        <w:bidi w:val="0"/>
        <w:spacing w:before="0" w:after="0"/>
        <w:jc w:val="left"/>
        <w:rPr>
          <w:rFonts w:ascii="Times New Roman" w:hAnsi="Times New Roman"/>
          <w:sz w:val="20"/>
        </w:rPr>
      </w:pPr>
      <w:r>
        <w:rPr>
          <w:rFonts w:ascii="Times New Roman" w:hAnsi="Times New Roman"/>
          <w:sz w:val="20"/>
        </w:rPr>
        <w:t xml:space="preserve">Winchester, MA 01890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Mintz, Levin, Cohn, Ferris, Glovsky and Popeo, P.C. </w:t>
      </w:r>
    </w:p>
    <w:p>
      <w:pPr>
        <w:pStyle w:val="TextBody"/>
        <w:bidi w:val="0"/>
        <w:spacing w:before="0" w:after="0"/>
        <w:jc w:val="left"/>
        <w:rPr>
          <w:rFonts w:ascii="Times New Roman" w:hAnsi="Times New Roman"/>
          <w:sz w:val="20"/>
        </w:rPr>
      </w:pPr>
      <w:r>
        <w:rPr>
          <w:rFonts w:ascii="Times New Roman" w:hAnsi="Times New Roman"/>
          <w:sz w:val="20"/>
        </w:rPr>
        <w:t xml:space="preserve">919 Third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Attention: [***]; [***]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Holder, at the e-mail address on the signature page hereto.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This Support Agreement shall automatically terminate upon the earliest to occur of (a) such date and time as the Merger Agreement shall have been validly terminated, (b) such date and time as there is any amendment of any term or provision of the Merger Agreement that (i) decreases the Caldera Exchange Ratio or changes the form or reduces the amount of the consideration payable to stockholders of Caldera in the Contemplated Transactions or (ii) increases the Synlogic Exchange Ratio or changes the form or increases the amount of the consideration payable to stockholders of Synlogic in the Contemplated Transactions, (c) the Outside Date, as such Outside Date may be extended for up to thirty (30) days as the Parties may agree pursuant to Section 10.1(b) of the Merger Agreement, (d) the Caldera Effective Time and (e) such date and time as a written agreement executed by the parties hereto to terminate this Support Agreement is effective (such date, the “</w:t>
      </w:r>
      <w:r>
        <w:rPr>
          <w:rFonts w:ascii="Times New Roman" w:hAnsi="Times New Roman"/>
          <w:b/>
          <w:sz w:val="20"/>
        </w:rPr>
        <w:t>Termination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Stop Transfer Instructions</w:t>
      </w:r>
      <w:r>
        <w:rPr>
          <w:rFonts w:ascii="Times New Roman" w:hAnsi="Times New Roman"/>
          <w:sz w:val="20"/>
        </w:rPr>
        <w:t xml:space="preserve">. At all times commencing with the execution and delivery of this Support Agreement and continuing until the Termination Date, in furtherance of this Support Agreement, the Holder hereby authorizes Caldera or its counsel to notify Caldera’s transfer agent that there is a stop transfer order with respect to all of the Caldera Shares (and that this Support Agreement places limits on the voting and transfer of such Caldera Shares).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Irrevocable Proxy</w:t>
      </w:r>
      <w:r>
        <w:rPr>
          <w:rFonts w:ascii="Times New Roman" w:hAnsi="Times New Roman"/>
          <w:sz w:val="20"/>
        </w:rPr>
        <w:t xml:space="preserve">. By execution of this Agreement, the Holder does hereby appoint Caldera and any of its designees with full power of substitution and resubstitution, as the Holder’s true and lawful attorney and irrevocable proxy, to the fullest extent of the Holder’s rights with respect to the Caldera Shares, to vote and exercise all voting and related rights, including the right to sign the Holder’s name (solely in its capacity as a stockholder) to any stockholder consent, if the Holder fails to vote his, her or its Caldera Shares, or otherwise fails to perform or comply with such Stockholder’s obligations under this Agreement, solely with respect to the matters set forth in </w:t>
      </w:r>
      <w:r>
        <w:rPr>
          <w:rFonts w:ascii="Times New Roman" w:hAnsi="Times New Roman"/>
          <w:sz w:val="20"/>
          <w:u w:val="single"/>
        </w:rPr>
        <w:t>Section 1(a)</w:t>
      </w:r>
      <w:r>
        <w:rPr>
          <w:rFonts w:ascii="Times New Roman" w:hAnsi="Times New Roman"/>
          <w:sz w:val="20"/>
        </w:rPr>
        <w:t xml:space="preserve"> hereof by 5:00 p.m. (Eastern Time) on the day immediately preceding the meeting date (or date upon which written consents are requested to be submitted), provided the Holder has received information regarding the meeting or request for written consent at least five (5) Business Days before such stockholder meeting or any consent solicitation or other vote taken of Caldera’s stockholders. The Holder intends this proxy to be irrevocable and coupled with an interest hereunder until the Termination Date, hereby revokes (or agrees to cause to be revoked) any proxy previously granted by the Holder with respect to the Caldera Shares and represents that none of such previously-granted proxies are irrevocable. The Holder hereby affirms that the proxy set forth in this </w:t>
      </w:r>
      <w:r>
        <w:rPr>
          <w:rFonts w:ascii="Times New Roman" w:hAnsi="Times New Roman"/>
          <w:sz w:val="20"/>
          <w:u w:val="single"/>
        </w:rPr>
        <w:t>Section 9</w:t>
      </w:r>
      <w:r>
        <w:rPr>
          <w:rFonts w:ascii="Times New Roman" w:hAnsi="Times New Roman"/>
          <w:sz w:val="20"/>
        </w:rPr>
        <w:t xml:space="preserve"> is given in connection with, and granted in consideration of, and as an inducement to Caldera, Synlogic, Parent, Caldera Merger Sub and Synlogic Merger Sub to enter into the Merger Agreement and that such proxy is given to secure the obligations of the Holder under </w:t>
      </w:r>
      <w:r>
        <w:rPr>
          <w:rFonts w:ascii="Times New Roman" w:hAnsi="Times New Roman"/>
          <w:sz w:val="20"/>
          <w:u w:val="single"/>
        </w:rPr>
        <w:t>Section 1</w:t>
      </w:r>
      <w:r>
        <w:rPr>
          <w:rFonts w:ascii="Times New Roman" w:hAnsi="Times New Roman"/>
          <w:sz w:val="20"/>
        </w:rPr>
        <w:t xml:space="preserve">. The irrevocable proxy and power of attorney granted herein shall survive the death or incapacity of the Holder and the obligations of the Holder shall be binding on the Holder’s heirs, personal representatives, successors, transferees and assigns. The Holder hereby agrees not to grant any subsequent powers of attorney or proxies with respect to any Caldera Shares with respect to the matters set forth in </w:t>
      </w:r>
      <w:r>
        <w:rPr>
          <w:rFonts w:ascii="Times New Roman" w:hAnsi="Times New Roman"/>
          <w:sz w:val="20"/>
          <w:u w:val="single"/>
        </w:rPr>
        <w:t>Section 1</w:t>
      </w:r>
      <w:r>
        <w:rPr>
          <w:rFonts w:ascii="Times New Roman" w:hAnsi="Times New Roman"/>
          <w:sz w:val="20"/>
        </w:rPr>
        <w:t xml:space="preserve"> until after the Termination Date. With respect to any Caldera Shares that are owned beneficially by the Holder but are not held of record by the Holder (other than shares beneficially owned by the Holder that are held in the name of a bank, broker or nominee), the Holder shall take all action necessary to cause the record holder of such Caldera Shares to grant the irrevocable proxy and take all other actions provided for in this </w:t>
      </w:r>
      <w:r>
        <w:rPr>
          <w:rFonts w:ascii="Times New Roman" w:hAnsi="Times New Roman"/>
          <w:sz w:val="20"/>
          <w:u w:val="single"/>
        </w:rPr>
        <w:t>Section 9</w:t>
      </w:r>
      <w:r>
        <w:rPr>
          <w:rFonts w:ascii="Times New Roman" w:hAnsi="Times New Roman"/>
          <w:sz w:val="20"/>
        </w:rPr>
        <w:t xml:space="preserve"> with respect to such Caldera Shares. Notwithstanding anything contained herein to the contrary, this irrevocable proxy shall automatically terminate upon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Waiver of Appraisal Rights</w:t>
      </w:r>
      <w:r>
        <w:rPr>
          <w:rFonts w:ascii="Times New Roman" w:hAnsi="Times New Roman"/>
          <w:sz w:val="20"/>
        </w:rPr>
        <w:t xml:space="preserve">. The Holder hereby waives, and agrees not to exercise or assert, any appraisal rights under applicable Law, including Section 262 of Delaware Law, in connection with the Caldera Merger.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 Legal Actions</w:t>
      </w:r>
      <w:r>
        <w:rPr>
          <w:rFonts w:ascii="Times New Roman" w:hAnsi="Times New Roman"/>
          <w:sz w:val="20"/>
        </w:rPr>
        <w:t xml:space="preserve">. The Holder will not in its capacity as a stockholder of Caldera bring, commence, institute, maintain, prosecute or voluntarily aid any Legal Proceeding which (i) challenges the validity or seeks to enjoin the operation of any provision of this Agreement or (ii) alleges that the execution and delivery of this Agreement by the Holder, either alone or together with the other voting agreements and proxies to be delivered in connection with the execution of the Merger Agreement, or the approval of the Merger Agreement and the Contemplated Transactions by the Caldera Board, constitutes a breach of any fiduciary duty of the Caldera Board or any member thereof.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Entire Agreement</w:t>
      </w:r>
      <w:r>
        <w:rPr>
          <w:rFonts w:ascii="Times New Roman" w:hAnsi="Times New Roman"/>
          <w:sz w:val="20"/>
        </w:rPr>
        <w:t xml:space="preserve">. This Support Agreement constitutes the entire agreement, and supersedes all prior agreements and understanding, both written and oral, among the parties hereto with respect to the subject matter hereof and is fully binding 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Counterparts</w:t>
      </w:r>
      <w:r>
        <w:rPr>
          <w:rFonts w:ascii="Times New Roman" w:hAnsi="Times New Roman"/>
          <w:sz w:val="20"/>
        </w:rPr>
        <w:t>. This Support Agreement may be executed in one or more counterparts, all of which shall be considered one and the same agreement and shall become effective when one or more counterparts have been signed by each of the parties and delivered to the other parties. Any such counterpart, to the extent delivered by DocuSign or AdobeSign, or .pdf, .tif, .gif, .jpg or similar attachment to electronic mail (any such delivery, an “</w:t>
      </w:r>
      <w:r>
        <w:rPr>
          <w:rFonts w:ascii="Times New Roman" w:hAnsi="Times New Roman"/>
          <w:b/>
          <w:sz w:val="20"/>
        </w:rPr>
        <w:t>Electronic Delivery</w:t>
      </w:r>
      <w:r>
        <w:rPr>
          <w:rFonts w:ascii="Times New Roman" w:hAnsi="Times New Roman"/>
          <w:sz w:val="20"/>
        </w:rPr>
        <w:t xml:space="preserve">”), will be treated in all manner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Assignment</w:t>
      </w:r>
      <w:r>
        <w:rPr>
          <w:rFonts w:ascii="Times New Roman" w:hAnsi="Times New Roman"/>
          <w:sz w:val="20"/>
        </w:rPr>
        <w:t xml:space="preserve">. Neither this Support Agreement nor any of the rights, interests or obligations under this Support Agreement shall be assigned, in whole or in part, by operation of law or otherwise by any of the parties without the prior written consent of the other parties. Any purported assignment without such consent shall be void. Subject to the preceding sentences, the terms of this Support Agreement shall be binding upon and shall inure to the benefit of each of the parties hereto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Amendment</w:t>
      </w:r>
      <w:r>
        <w:rPr>
          <w:rFonts w:ascii="Times New Roman" w:hAnsi="Times New Roman"/>
          <w:sz w:val="20"/>
        </w:rPr>
        <w:t xml:space="preserve">. This Support Agreement may not be amended or modified except in writing signed by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Governing Law; Jurisdiction; Waiver of Jury Trial</w:t>
      </w:r>
      <w:r>
        <w:rPr>
          <w:rFonts w:ascii="Times New Roman" w:hAnsi="Times New Roman"/>
          <w:sz w:val="20"/>
        </w:rPr>
        <w:t xml:space="preserve">. This Support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Support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paragraph,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the subsequent paragraph of this Agreement and (f)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Specific Performance</w:t>
      </w:r>
      <w:r>
        <w:rPr>
          <w:rFonts w:ascii="Times New Roman" w:hAnsi="Times New Roman"/>
          <w:sz w:val="20"/>
        </w:rPr>
        <w:t xml:space="preserve">. Each party hereto acknowledges that, in view of the uniqueness of the transactions contemplated by this Support Agreement, the other party or parties hereto will not have an adequate remedy at law for money damages in the event that this Support Agreement has not been performed in accordance with its terms, and therefore agrees that such other party or parties shall be entitled to seek specific enforcement of the terms hereof in addition to any other remedy it may seek, at law or in equity.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Expenses</w:t>
      </w:r>
      <w:r>
        <w:rPr>
          <w:rFonts w:ascii="Times New Roman" w:hAnsi="Times New Roman"/>
          <w:sz w:val="20"/>
        </w:rPr>
        <w:t xml:space="preserve">. All fees, costs and expenses incurred in connection with this Support Agreement and the transactions contemplated hereby shall be paid by the party hereto incurring such fees,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Non-Recourse</w:t>
      </w:r>
      <w:r>
        <w:rPr>
          <w:rFonts w:ascii="Times New Roman" w:hAnsi="Times New Roman"/>
          <w:sz w:val="20"/>
        </w:rPr>
        <w:t xml:space="preserve">. This Support Agreement may only be enforced against, and any Legal Proceeding based upon, arising out of, or related to this Support Agreement, or the negotiation, execution or performance of this Support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director, officer, employee, incorporator, manager, member, direct or indirect general or limited partner, direct or indirect stockholder, direct or indirect equityholder, direct or indirect controlling person, Affiliate, agent, attorney, Representative, successor or permitted assign of any of the foregoing, shall have any liability to the Holder, Caldera or Synlogic for any obligations or liabilities of any party under this Support Agreement or for any Legal Proceeding (whether in tort, contract or otherwise) based on, in respect of or by reason of the transactions contemplated hereby or in respect of any written or oral representations made or alleged to be made in connection herewith. </w:t>
      </w:r>
    </w:p>
    <w:p>
      <w:pPr>
        <w:pStyle w:val="TextBody"/>
        <w:bidi w:val="0"/>
        <w:spacing w:before="240" w:after="0"/>
        <w:jc w:val="center"/>
        <w:rPr>
          <w:rFonts w:ascii="Times New Roman" w:hAnsi="Times New Roman"/>
          <w:sz w:val="20"/>
        </w:rPr>
      </w:pPr>
      <w:r>
        <w:rPr>
          <w:rFonts w:ascii="Times New Roman" w:hAnsi="Times New Roman"/>
          <w:sz w:val="20"/>
        </w:rPr>
        <w:t xml:space="preserve">[The remainder of the page is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hereto have executed this Support Agreement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3"/>
        <w:gridCol w:w="61"/>
        <w:gridCol w:w="778"/>
        <w:gridCol w:w="61"/>
        <w:gridCol w:w="2779"/>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r>
      <w:tr>
        <w:trPr/>
        <w:tc>
          <w:tcPr>
            <w:tcW w:w="1242" w:type="dxa"/>
            <w:gridSpan w:val="3"/>
            <w:tcBorders/>
          </w:tcPr>
          <w:p>
            <w:pPr>
              <w:pStyle w:val="TableContents"/>
              <w:bidi w:val="0"/>
              <w:spacing w:before="0" w:after="283"/>
              <w:jc w:val="left"/>
              <w:rPr>
                <w:b/>
              </w:rPr>
            </w:pPr>
            <w:r>
              <w:rPr>
                <w:b/>
              </w:rPr>
              <w:t>HOLDER:</w:t>
            </w:r>
          </w:p>
        </w:tc>
        <w:tc>
          <w:tcPr>
            <w:tcW w:w="61" w:type="dxa"/>
            <w:tcBorders/>
            <w:vAlign w:val="bottom"/>
          </w:tcPr>
          <w:p>
            <w:pPr>
              <w:pStyle w:val="TableContents"/>
              <w:bidi w:val="0"/>
              <w:spacing w:before="0" w:after="283"/>
              <w:jc w:val="left"/>
              <w:rPr/>
            </w:pPr>
            <w:r>
              <w:rPr/>
              <w:t> </w:t>
            </w:r>
          </w:p>
        </w:tc>
        <w:tc>
          <w:tcPr>
            <w:tcW w:w="2779" w:type="dxa"/>
            <w:tcBorders/>
          </w:tcPr>
          <w:p>
            <w:pPr>
              <w:pStyle w:val="TableContents"/>
              <w:bidi w:val="0"/>
              <w:spacing w:before="0" w:after="283"/>
              <w:jc w:val="left"/>
              <w:rPr>
                <w:sz w:val="4"/>
                <w:szCs w:val="4"/>
              </w:rPr>
            </w:pPr>
            <w:r>
              <w:rPr>
                <w:sz w:val="4"/>
                <w:szCs w:val="4"/>
              </w:rPr>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839" w:type="dxa"/>
            <w:gridSpan w:val="2"/>
            <w:tcBorders/>
            <w:vAlign w:val="center"/>
          </w:tcPr>
          <w:p>
            <w:pPr>
              <w:pStyle w:val="TableContents"/>
              <w:bidi w:val="0"/>
              <w:spacing w:before="0" w:after="283"/>
              <w:jc w:val="left"/>
              <w:rPr>
                <w:sz w:val="4"/>
                <w:szCs w:val="4"/>
              </w:rPr>
            </w:pPr>
            <w:r>
              <w:rPr>
                <w:sz w:val="4"/>
                <w:szCs w:val="4"/>
              </w:rPr>
            </w:r>
          </w:p>
        </w:tc>
        <w:tc>
          <w:tcPr>
            <w:tcW w:w="2840"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778" w:type="dxa"/>
            <w:tcBorders>
              <w:bottom w:val="single" w:sz="2" w:space="0" w:color="000000"/>
            </w:tcBorders>
            <w:tcMar>
              <w:bottom w:w="28" w:type="dxa"/>
            </w:tcMar>
          </w:tcPr>
          <w:p>
            <w:pPr>
              <w:pStyle w:val="TableContents"/>
              <w:bidi w:val="0"/>
              <w:spacing w:before="0" w:after="283"/>
              <w:jc w:val="left"/>
              <w:rPr/>
            </w:pPr>
            <w:r>
              <w:rPr/>
              <w:t> </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779" w:type="dxa"/>
            <w:tcBorders>
              <w:bottom w:val="single" w:sz="2" w:space="0" w:color="000000"/>
            </w:tcBorders>
            <w:tcMar>
              <w:bottom w:w="28" w:type="dxa"/>
            </w:tcMar>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pPr>
            <w:r>
              <w:rPr/>
              <w:t>Name:</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779" w:type="dxa"/>
            <w:tcBorders>
              <w:bottom w:val="single" w:sz="2" w:space="0" w:color="000000"/>
            </w:tcBorders>
            <w:tcMar>
              <w:bottom w:w="28" w:type="dxa"/>
            </w:tcMar>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pPr>
            <w:r>
              <w:rPr/>
              <w:t>Title:</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779" w:type="dxa"/>
            <w:tcBorders>
              <w:bottom w:val="single" w:sz="2" w:space="0" w:color="000000"/>
            </w:tcBorders>
            <w:tcMar>
              <w:bottom w:w="28" w:type="dxa"/>
            </w:tcMar>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778" w:type="dxa"/>
            <w:tcBorders/>
          </w:tcPr>
          <w:p>
            <w:pPr>
              <w:pStyle w:val="TableContents"/>
              <w:bidi w:val="0"/>
              <w:spacing w:before="0" w:after="283"/>
              <w:jc w:val="left"/>
              <w:rPr/>
            </w:pPr>
            <w:r>
              <w:rPr/>
              <w:t>E-mail:</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779"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Agreed to and Acknowledged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5"/>
        <w:gridCol w:w="104"/>
        <w:gridCol w:w="1095"/>
        <w:gridCol w:w="104"/>
        <w:gridCol w:w="2194"/>
      </w:tblGrid>
      <w:tr>
        <w:trPr/>
        <w:tc>
          <w:tcPr>
            <w:tcW w:w="58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CALDERA:</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CALDERA THERAPEUTICS, INC.</w:t>
            </w:r>
          </w:p>
        </w:tc>
      </w:tr>
      <w:tr>
        <w:trPr>
          <w:trHeight w:val="240" w:hRule="atLeast"/>
        </w:trPr>
        <w:tc>
          <w:tcPr>
            <w:tcW w:w="585" w:type="dxa"/>
            <w:tcBorders/>
            <w:vAlign w:val="center"/>
          </w:tcPr>
          <w:p>
            <w:pPr>
              <w:pStyle w:val="TableContents"/>
              <w:bidi w:val="0"/>
              <w:spacing w:before="0" w:after="283"/>
              <w:jc w:val="left"/>
              <w:rPr>
                <w:sz w:val="4"/>
                <w:szCs w:val="4"/>
              </w:rPr>
            </w:pPr>
            <w:r>
              <w:rPr>
                <w:sz w:val="4"/>
                <w:szCs w:val="4"/>
              </w:rPr>
            </w:r>
          </w:p>
        </w:tc>
        <w:tc>
          <w:tcPr>
            <w:tcW w:w="3497" w:type="dxa"/>
            <w:gridSpan w:val="4"/>
            <w:tcBorders/>
            <w:vAlign w:val="center"/>
          </w:tcPr>
          <w:p>
            <w:pPr>
              <w:pStyle w:val="TableContents"/>
              <w:bidi w:val="0"/>
              <w:spacing w:before="0" w:after="283"/>
              <w:jc w:val="left"/>
              <w:rPr>
                <w:sz w:val="4"/>
                <w:szCs w:val="4"/>
              </w:rPr>
            </w:pPr>
            <w:r>
              <w:rPr>
                <w:sz w:val="4"/>
                <w:szCs w:val="4"/>
              </w:rPr>
            </w:r>
          </w:p>
        </w:tc>
      </w:tr>
      <w:tr>
        <w:trPr/>
        <w:tc>
          <w:tcPr>
            <w:tcW w:w="585" w:type="dxa"/>
            <w:tcBorders/>
          </w:tcPr>
          <w:p>
            <w:pPr>
              <w:pStyle w:val="TableContents"/>
              <w:bidi w:val="0"/>
              <w:spacing w:before="0" w:after="283"/>
              <w:jc w:val="left"/>
              <w:rPr/>
            </w:pPr>
            <w:r>
              <w:rPr/>
              <w:t>By:</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3393"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58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095" w:type="dxa"/>
            <w:tcBorders/>
          </w:tcPr>
          <w:p>
            <w:pPr>
              <w:pStyle w:val="TableContents"/>
              <w:bidi w:val="0"/>
              <w:spacing w:before="0" w:after="283"/>
              <w:jc w:val="left"/>
              <w:rPr/>
            </w:pPr>
            <w:r>
              <w:rPr/>
              <w:t>Name:</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2194" w:type="dxa"/>
            <w:tcBorders>
              <w:bottom w:val="single" w:sz="2" w:space="0" w:color="000000"/>
            </w:tcBorders>
            <w:tcMar>
              <w:bottom w:w="28" w:type="dxa"/>
            </w:tcMar>
          </w:tcPr>
          <w:p>
            <w:pPr>
              <w:pStyle w:val="TableContents"/>
              <w:bidi w:val="0"/>
              <w:spacing w:before="0" w:after="283"/>
              <w:jc w:val="left"/>
              <w:rPr/>
            </w:pPr>
            <w:r>
              <w:rPr/>
              <w:t> </w:t>
            </w:r>
          </w:p>
        </w:tc>
      </w:tr>
      <w:tr>
        <w:trPr/>
        <w:tc>
          <w:tcPr>
            <w:tcW w:w="58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095" w:type="dxa"/>
            <w:tcBorders/>
          </w:tcPr>
          <w:p>
            <w:pPr>
              <w:pStyle w:val="TableContents"/>
              <w:bidi w:val="0"/>
              <w:spacing w:before="0" w:after="283"/>
              <w:jc w:val="left"/>
              <w:rPr/>
            </w:pPr>
            <w:r>
              <w:rPr/>
              <w:t>Title:</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219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SYNLOGIC:</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SYNLOGIC, INC.</w:t>
            </w:r>
          </w:p>
        </w:tc>
      </w:tr>
      <w:tr>
        <w:trPr>
          <w:trHeight w:val="240" w:hRule="atLeast"/>
        </w:trPr>
        <w:tc>
          <w:tcPr>
            <w:tcW w:w="585" w:type="dxa"/>
            <w:tcBorders/>
            <w:vAlign w:val="center"/>
          </w:tcPr>
          <w:p>
            <w:pPr>
              <w:pStyle w:val="TableContents"/>
              <w:bidi w:val="0"/>
              <w:spacing w:before="0" w:after="283"/>
              <w:jc w:val="left"/>
              <w:rPr>
                <w:sz w:val="4"/>
                <w:szCs w:val="4"/>
              </w:rPr>
            </w:pPr>
            <w:r>
              <w:rPr>
                <w:sz w:val="4"/>
                <w:szCs w:val="4"/>
              </w:rPr>
            </w:r>
          </w:p>
        </w:tc>
        <w:tc>
          <w:tcPr>
            <w:tcW w:w="3497" w:type="dxa"/>
            <w:gridSpan w:val="4"/>
            <w:tcBorders/>
            <w:vAlign w:val="center"/>
          </w:tcPr>
          <w:p>
            <w:pPr>
              <w:pStyle w:val="TableContents"/>
              <w:bidi w:val="0"/>
              <w:spacing w:before="0" w:after="283"/>
              <w:jc w:val="left"/>
              <w:rPr>
                <w:sz w:val="4"/>
                <w:szCs w:val="4"/>
              </w:rPr>
            </w:pPr>
            <w:r>
              <w:rPr>
                <w:sz w:val="4"/>
                <w:szCs w:val="4"/>
              </w:rPr>
            </w:r>
          </w:p>
        </w:tc>
      </w:tr>
      <w:tr>
        <w:trPr/>
        <w:tc>
          <w:tcPr>
            <w:tcW w:w="585" w:type="dxa"/>
            <w:tcBorders/>
          </w:tcPr>
          <w:p>
            <w:pPr>
              <w:pStyle w:val="TableContents"/>
              <w:bidi w:val="0"/>
              <w:spacing w:before="0" w:after="283"/>
              <w:jc w:val="left"/>
              <w:rPr/>
            </w:pPr>
            <w:r>
              <w:rPr/>
              <w:t>By:</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3393"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58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095" w:type="dxa"/>
            <w:tcBorders/>
          </w:tcPr>
          <w:p>
            <w:pPr>
              <w:pStyle w:val="TableContents"/>
              <w:bidi w:val="0"/>
              <w:spacing w:before="0" w:after="283"/>
              <w:jc w:val="left"/>
              <w:rPr/>
            </w:pPr>
            <w:r>
              <w:rPr/>
              <w:t>Name:</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2194" w:type="dxa"/>
            <w:tcBorders>
              <w:bottom w:val="single" w:sz="2" w:space="0" w:color="000000"/>
            </w:tcBorders>
            <w:tcMar>
              <w:bottom w:w="28" w:type="dxa"/>
            </w:tcMar>
          </w:tcPr>
          <w:p>
            <w:pPr>
              <w:pStyle w:val="TableContents"/>
              <w:bidi w:val="0"/>
              <w:spacing w:before="0" w:after="283"/>
              <w:jc w:val="left"/>
              <w:rPr/>
            </w:pPr>
            <w:r>
              <w:rPr/>
              <w:t> </w:t>
            </w:r>
          </w:p>
        </w:tc>
      </w:tr>
      <w:tr>
        <w:trPr/>
        <w:tc>
          <w:tcPr>
            <w:tcW w:w="58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095" w:type="dxa"/>
            <w:tcBorders/>
          </w:tcPr>
          <w:p>
            <w:pPr>
              <w:pStyle w:val="TableContents"/>
              <w:bidi w:val="0"/>
              <w:spacing w:before="0" w:after="283"/>
              <w:jc w:val="left"/>
              <w:rPr/>
            </w:pPr>
            <w:r>
              <w:rPr/>
              <w:t>Title:</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2194"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Stockholder Support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Caldera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34"/>
        <w:gridCol w:w="60"/>
        <w:gridCol w:w="2440"/>
        <w:gridCol w:w="108"/>
        <w:gridCol w:w="2545"/>
        <w:gridCol w:w="122"/>
        <w:gridCol w:w="2196"/>
      </w:tblGrid>
      <w:tr>
        <w:trPr/>
        <w:tc>
          <w:tcPr>
            <w:tcW w:w="273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2734" w:type="dxa"/>
            <w:tcBorders/>
            <w:vAlign w:val="bottom"/>
          </w:tcPr>
          <w:p>
            <w:pPr>
              <w:pStyle w:val="TableContents"/>
              <w:bidi w:val="0"/>
              <w:spacing w:before="0" w:after="283"/>
              <w:jc w:val="center"/>
              <w:rPr>
                <w:b/>
              </w:rPr>
            </w:pPr>
            <w:r>
              <w:rPr>
                <w:b/>
              </w:rPr>
              <w:t>Holder</w:t>
            </w:r>
          </w:p>
        </w:tc>
        <w:tc>
          <w:tcPr>
            <w:tcW w:w="60" w:type="dxa"/>
            <w:tcBorders/>
            <w:vAlign w:val="bottom"/>
          </w:tcPr>
          <w:p>
            <w:pPr>
              <w:pStyle w:val="TableContents"/>
              <w:bidi w:val="0"/>
              <w:spacing w:before="0" w:after="283"/>
              <w:jc w:val="left"/>
              <w:rPr/>
            </w:pPr>
            <w:r>
              <w:rPr/>
              <w:t> </w:t>
            </w:r>
          </w:p>
        </w:tc>
        <w:tc>
          <w:tcPr>
            <w:tcW w:w="2440"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Caldera Common</w:t>
            </w:r>
          </w:p>
          <w:p>
            <w:pPr>
              <w:pStyle w:val="TableContents"/>
              <w:bidi w:val="0"/>
              <w:spacing w:before="0" w:after="20"/>
              <w:jc w:val="center"/>
              <w:rPr>
                <w:rFonts w:ascii="Times New Roman" w:hAnsi="Times New Roman"/>
                <w:b/>
                <w:sz w:val="16"/>
              </w:rPr>
            </w:pPr>
            <w:r>
              <w:rPr>
                <w:rFonts w:ascii="Times New Roman" w:hAnsi="Times New Roman"/>
                <w:b/>
                <w:sz w:val="16"/>
              </w:rPr>
              <w:t>Stock</w:t>
            </w:r>
          </w:p>
        </w:tc>
        <w:tc>
          <w:tcPr>
            <w:tcW w:w="108" w:type="dxa"/>
            <w:tcBorders/>
            <w:vAlign w:val="bottom"/>
          </w:tcPr>
          <w:p>
            <w:pPr>
              <w:pStyle w:val="TableContents"/>
              <w:bidi w:val="0"/>
              <w:spacing w:before="0" w:after="283"/>
              <w:jc w:val="left"/>
              <w:rPr/>
            </w:pPr>
            <w:r>
              <w:rPr/>
              <w:t> </w:t>
            </w:r>
          </w:p>
        </w:tc>
        <w:tc>
          <w:tcPr>
            <w:tcW w:w="2545"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Caldera Preferred</w:t>
            </w:r>
          </w:p>
          <w:p>
            <w:pPr>
              <w:pStyle w:val="TableContents"/>
              <w:bidi w:val="0"/>
              <w:spacing w:before="0" w:after="20"/>
              <w:jc w:val="center"/>
              <w:rPr>
                <w:rFonts w:ascii="Times New Roman" w:hAnsi="Times New Roman"/>
                <w:b/>
                <w:sz w:val="16"/>
              </w:rPr>
            </w:pPr>
            <w:r>
              <w:rPr>
                <w:rFonts w:ascii="Times New Roman" w:hAnsi="Times New Roman"/>
                <w:b/>
                <w:sz w:val="16"/>
              </w:rPr>
              <w:t>Stock</w:t>
            </w:r>
          </w:p>
        </w:tc>
        <w:tc>
          <w:tcPr>
            <w:tcW w:w="122" w:type="dxa"/>
            <w:tcBorders/>
            <w:vAlign w:val="bottom"/>
          </w:tcPr>
          <w:p>
            <w:pPr>
              <w:pStyle w:val="TableContents"/>
              <w:bidi w:val="0"/>
              <w:spacing w:before="0" w:after="283"/>
              <w:jc w:val="left"/>
              <w:rPr/>
            </w:pPr>
            <w:r>
              <w:rPr/>
              <w:t>  </w:t>
            </w:r>
          </w:p>
        </w:tc>
        <w:tc>
          <w:tcPr>
            <w:tcW w:w="2196" w:type="dxa"/>
            <w:tcBorders/>
            <w:vAlign w:val="bottom"/>
          </w:tcPr>
          <w:p>
            <w:pPr>
              <w:pStyle w:val="TableContents"/>
              <w:bidi w:val="0"/>
              <w:spacing w:before="0" w:after="283"/>
              <w:jc w:val="center"/>
              <w:rPr>
                <w:b/>
              </w:rPr>
            </w:pPr>
            <w:r>
              <w:rPr>
                <w:b/>
              </w:rPr>
              <w:t>Caldera Options</w:t>
            </w:r>
          </w:p>
        </w:tc>
      </w:tr>
      <w:tr>
        <w:trPr>
          <w:trHeight w:val="240" w:hRule="atLeast"/>
        </w:trPr>
        <w:tc>
          <w:tcPr>
            <w:tcW w:w="2734" w:type="dxa"/>
            <w:tcBorders/>
            <w:vAlign w:val="center"/>
          </w:tcPr>
          <w:p>
            <w:pPr>
              <w:pStyle w:val="TableContents"/>
              <w:bidi w:val="0"/>
              <w:spacing w:before="0" w:after="283"/>
              <w:jc w:val="left"/>
              <w:rPr>
                <w:sz w:val="4"/>
                <w:szCs w:val="4"/>
              </w:rPr>
            </w:pPr>
            <w:r>
              <w:rPr>
                <w:sz w:val="4"/>
                <w:szCs w:val="4"/>
              </w:rPr>
            </w:r>
          </w:p>
        </w:tc>
        <w:tc>
          <w:tcPr>
            <w:tcW w:w="2500" w:type="dxa"/>
            <w:gridSpan w:val="2"/>
            <w:tcBorders/>
            <w:vAlign w:val="center"/>
          </w:tcPr>
          <w:p>
            <w:pPr>
              <w:pStyle w:val="TableContents"/>
              <w:bidi w:val="0"/>
              <w:spacing w:before="0" w:after="283"/>
              <w:jc w:val="left"/>
              <w:rPr>
                <w:sz w:val="4"/>
                <w:szCs w:val="4"/>
              </w:rPr>
            </w:pPr>
            <w:r>
              <w:rPr>
                <w:sz w:val="4"/>
                <w:szCs w:val="4"/>
              </w:rPr>
            </w:r>
          </w:p>
        </w:tc>
        <w:tc>
          <w:tcPr>
            <w:tcW w:w="2653" w:type="dxa"/>
            <w:gridSpan w:val="2"/>
            <w:tcBorders/>
            <w:vAlign w:val="center"/>
          </w:tcPr>
          <w:p>
            <w:pPr>
              <w:pStyle w:val="TableContents"/>
              <w:bidi w:val="0"/>
              <w:spacing w:before="0" w:after="283"/>
              <w:jc w:val="left"/>
              <w:rPr>
                <w:sz w:val="4"/>
                <w:szCs w:val="4"/>
              </w:rPr>
            </w:pPr>
            <w:r>
              <w:rPr>
                <w:sz w:val="4"/>
                <w:szCs w:val="4"/>
              </w:rPr>
            </w:r>
          </w:p>
        </w:tc>
        <w:tc>
          <w:tcPr>
            <w:tcW w:w="2318" w:type="dxa"/>
            <w:gridSpan w:val="2"/>
            <w:tcBorders/>
            <w:vAlign w:val="center"/>
          </w:tcPr>
          <w:p>
            <w:pPr>
              <w:pStyle w:val="TableContents"/>
              <w:bidi w:val="0"/>
              <w:spacing w:before="0" w:after="283"/>
              <w:jc w:val="left"/>
              <w:rPr>
                <w:sz w:val="4"/>
                <w:szCs w:val="4"/>
              </w:rPr>
            </w:pPr>
            <w:r>
              <w:rPr>
                <w:sz w:val="4"/>
                <w:szCs w:val="4"/>
              </w:rPr>
            </w:r>
          </w:p>
        </w:tc>
      </w:tr>
      <w:tr>
        <w:trPr/>
        <w:tc>
          <w:tcPr>
            <w:tcW w:w="2734"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40"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4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2196" w:type="dxa"/>
            <w:tcBorders/>
            <w:vAlign w:val="bottom"/>
          </w:tcPr>
          <w:p>
            <w:pPr>
              <w:pStyle w:val="TableContents"/>
              <w:pBdr>
                <w:bottom w:val="single" w:sz="8" w:space="1" w:color="000000"/>
              </w:pBdr>
              <w:bidi w:val="0"/>
              <w:spacing w:before="0" w:after="0"/>
              <w:jc w:val="left"/>
              <w:rPr/>
            </w:pPr>
            <w:r>
              <w:rPr/>
              <w:t> </w:t>
            </w:r>
          </w:p>
        </w:tc>
      </w:tr>
      <w:tr>
        <w:trPr>
          <w:trHeight w:val="240" w:hRule="atLeast"/>
        </w:trPr>
        <w:tc>
          <w:tcPr>
            <w:tcW w:w="2734" w:type="dxa"/>
            <w:tcBorders/>
            <w:vAlign w:val="center"/>
          </w:tcPr>
          <w:p>
            <w:pPr>
              <w:pStyle w:val="TableContents"/>
              <w:bidi w:val="0"/>
              <w:spacing w:before="0" w:after="283"/>
              <w:jc w:val="left"/>
              <w:rPr>
                <w:sz w:val="4"/>
                <w:szCs w:val="4"/>
              </w:rPr>
            </w:pPr>
            <w:r>
              <w:rPr>
                <w:sz w:val="4"/>
                <w:szCs w:val="4"/>
              </w:rPr>
            </w:r>
          </w:p>
        </w:tc>
        <w:tc>
          <w:tcPr>
            <w:tcW w:w="2500" w:type="dxa"/>
            <w:gridSpan w:val="2"/>
            <w:tcBorders/>
            <w:vAlign w:val="center"/>
          </w:tcPr>
          <w:p>
            <w:pPr>
              <w:pStyle w:val="TableContents"/>
              <w:bidi w:val="0"/>
              <w:spacing w:before="0" w:after="283"/>
              <w:jc w:val="left"/>
              <w:rPr>
                <w:sz w:val="4"/>
                <w:szCs w:val="4"/>
              </w:rPr>
            </w:pPr>
            <w:r>
              <w:rPr>
                <w:sz w:val="4"/>
                <w:szCs w:val="4"/>
              </w:rPr>
            </w:r>
          </w:p>
        </w:tc>
        <w:tc>
          <w:tcPr>
            <w:tcW w:w="2653" w:type="dxa"/>
            <w:gridSpan w:val="2"/>
            <w:tcBorders/>
            <w:vAlign w:val="center"/>
          </w:tcPr>
          <w:p>
            <w:pPr>
              <w:pStyle w:val="TableContents"/>
              <w:bidi w:val="0"/>
              <w:spacing w:before="0" w:after="283"/>
              <w:jc w:val="left"/>
              <w:rPr>
                <w:sz w:val="4"/>
                <w:szCs w:val="4"/>
              </w:rPr>
            </w:pPr>
            <w:r>
              <w:rPr>
                <w:sz w:val="4"/>
                <w:szCs w:val="4"/>
              </w:rPr>
            </w:r>
          </w:p>
        </w:tc>
        <w:tc>
          <w:tcPr>
            <w:tcW w:w="2318" w:type="dxa"/>
            <w:gridSpan w:val="2"/>
            <w:tcBorders/>
            <w:vAlign w:val="center"/>
          </w:tcPr>
          <w:p>
            <w:pPr>
              <w:pStyle w:val="TableContents"/>
              <w:bidi w:val="0"/>
              <w:spacing w:before="0" w:after="283"/>
              <w:jc w:val="left"/>
              <w:rPr>
                <w:sz w:val="4"/>
                <w:szCs w:val="4"/>
              </w:rPr>
            </w:pPr>
            <w:r>
              <w:rPr>
                <w:sz w:val="4"/>
                <w:szCs w:val="4"/>
              </w:rPr>
            </w:r>
          </w:p>
        </w:tc>
      </w:tr>
      <w:tr>
        <w:trPr/>
        <w:tc>
          <w:tcPr>
            <w:tcW w:w="2734"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40"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4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2196" w:type="dxa"/>
            <w:tcBorders/>
            <w:vAlign w:val="bottom"/>
          </w:tcPr>
          <w:p>
            <w:pPr>
              <w:pStyle w:val="TableContents"/>
              <w:pBdr>
                <w:bottom w:val="single" w:sz="8" w:space="1" w:color="000000"/>
              </w:pBdr>
              <w:bidi w:val="0"/>
              <w:spacing w:before="0" w:after="0"/>
              <w:jc w:val="left"/>
              <w:rPr/>
            </w:pPr>
            <w:r>
              <w:rPr/>
              <w:t> </w:t>
            </w:r>
          </w:p>
        </w:tc>
      </w:tr>
      <w:tr>
        <w:trPr>
          <w:trHeight w:val="240" w:hRule="atLeast"/>
        </w:trPr>
        <w:tc>
          <w:tcPr>
            <w:tcW w:w="2734" w:type="dxa"/>
            <w:tcBorders/>
            <w:vAlign w:val="center"/>
          </w:tcPr>
          <w:p>
            <w:pPr>
              <w:pStyle w:val="TableContents"/>
              <w:bidi w:val="0"/>
              <w:spacing w:before="0" w:after="283"/>
              <w:jc w:val="left"/>
              <w:rPr>
                <w:sz w:val="4"/>
                <w:szCs w:val="4"/>
              </w:rPr>
            </w:pPr>
            <w:r>
              <w:rPr>
                <w:sz w:val="4"/>
                <w:szCs w:val="4"/>
              </w:rPr>
            </w:r>
          </w:p>
        </w:tc>
        <w:tc>
          <w:tcPr>
            <w:tcW w:w="2500" w:type="dxa"/>
            <w:gridSpan w:val="2"/>
            <w:tcBorders/>
            <w:vAlign w:val="center"/>
          </w:tcPr>
          <w:p>
            <w:pPr>
              <w:pStyle w:val="TableContents"/>
              <w:bidi w:val="0"/>
              <w:spacing w:before="0" w:after="283"/>
              <w:jc w:val="left"/>
              <w:rPr>
                <w:sz w:val="4"/>
                <w:szCs w:val="4"/>
              </w:rPr>
            </w:pPr>
            <w:r>
              <w:rPr>
                <w:sz w:val="4"/>
                <w:szCs w:val="4"/>
              </w:rPr>
            </w:r>
          </w:p>
        </w:tc>
        <w:tc>
          <w:tcPr>
            <w:tcW w:w="2653" w:type="dxa"/>
            <w:gridSpan w:val="2"/>
            <w:tcBorders/>
            <w:vAlign w:val="center"/>
          </w:tcPr>
          <w:p>
            <w:pPr>
              <w:pStyle w:val="TableContents"/>
              <w:bidi w:val="0"/>
              <w:spacing w:before="0" w:after="283"/>
              <w:jc w:val="left"/>
              <w:rPr>
                <w:sz w:val="4"/>
                <w:szCs w:val="4"/>
              </w:rPr>
            </w:pPr>
            <w:r>
              <w:rPr>
                <w:sz w:val="4"/>
                <w:szCs w:val="4"/>
              </w:rPr>
            </w:r>
          </w:p>
        </w:tc>
        <w:tc>
          <w:tcPr>
            <w:tcW w:w="2318" w:type="dxa"/>
            <w:gridSpan w:val="2"/>
            <w:tcBorders/>
            <w:vAlign w:val="center"/>
          </w:tcPr>
          <w:p>
            <w:pPr>
              <w:pStyle w:val="TableContents"/>
              <w:bidi w:val="0"/>
              <w:spacing w:before="0" w:after="283"/>
              <w:jc w:val="left"/>
              <w:rPr>
                <w:sz w:val="4"/>
                <w:szCs w:val="4"/>
              </w:rPr>
            </w:pPr>
            <w:r>
              <w:rPr>
                <w:sz w:val="4"/>
                <w:szCs w:val="4"/>
              </w:rPr>
            </w:r>
          </w:p>
        </w:tc>
      </w:tr>
      <w:tr>
        <w:trPr/>
        <w:tc>
          <w:tcPr>
            <w:tcW w:w="2734"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40"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4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2196" w:type="dxa"/>
            <w:tcBorders/>
            <w:vAlign w:val="bottom"/>
          </w:tcPr>
          <w:p>
            <w:pPr>
              <w:pStyle w:val="TableContents"/>
              <w:pBdr>
                <w:bottom w:val="single" w:sz="8" w:space="1" w:color="000000"/>
              </w:pBdr>
              <w:bidi w:val="0"/>
              <w:spacing w:before="0" w:after="0"/>
              <w:jc w:val="left"/>
              <w:rPr/>
            </w:pPr>
            <w:r>
              <w:rPr/>
              <w:t> </w:t>
            </w:r>
          </w:p>
        </w:tc>
      </w:tr>
      <w:tr>
        <w:trPr>
          <w:trHeight w:val="240" w:hRule="atLeast"/>
        </w:trPr>
        <w:tc>
          <w:tcPr>
            <w:tcW w:w="2734" w:type="dxa"/>
            <w:tcBorders/>
            <w:vAlign w:val="center"/>
          </w:tcPr>
          <w:p>
            <w:pPr>
              <w:pStyle w:val="TableContents"/>
              <w:bidi w:val="0"/>
              <w:spacing w:before="0" w:after="283"/>
              <w:jc w:val="left"/>
              <w:rPr>
                <w:sz w:val="4"/>
                <w:szCs w:val="4"/>
              </w:rPr>
            </w:pPr>
            <w:r>
              <w:rPr>
                <w:sz w:val="4"/>
                <w:szCs w:val="4"/>
              </w:rPr>
            </w:r>
          </w:p>
        </w:tc>
        <w:tc>
          <w:tcPr>
            <w:tcW w:w="2500" w:type="dxa"/>
            <w:gridSpan w:val="2"/>
            <w:tcBorders/>
            <w:vAlign w:val="center"/>
          </w:tcPr>
          <w:p>
            <w:pPr>
              <w:pStyle w:val="TableContents"/>
              <w:bidi w:val="0"/>
              <w:spacing w:before="0" w:after="283"/>
              <w:jc w:val="left"/>
              <w:rPr>
                <w:sz w:val="4"/>
                <w:szCs w:val="4"/>
              </w:rPr>
            </w:pPr>
            <w:r>
              <w:rPr>
                <w:sz w:val="4"/>
                <w:szCs w:val="4"/>
              </w:rPr>
            </w:r>
          </w:p>
        </w:tc>
        <w:tc>
          <w:tcPr>
            <w:tcW w:w="2653" w:type="dxa"/>
            <w:gridSpan w:val="2"/>
            <w:tcBorders/>
            <w:vAlign w:val="center"/>
          </w:tcPr>
          <w:p>
            <w:pPr>
              <w:pStyle w:val="TableContents"/>
              <w:bidi w:val="0"/>
              <w:spacing w:before="0" w:after="283"/>
              <w:jc w:val="left"/>
              <w:rPr>
                <w:sz w:val="4"/>
                <w:szCs w:val="4"/>
              </w:rPr>
            </w:pPr>
            <w:r>
              <w:rPr>
                <w:sz w:val="4"/>
                <w:szCs w:val="4"/>
              </w:rPr>
            </w:r>
          </w:p>
        </w:tc>
        <w:tc>
          <w:tcPr>
            <w:tcW w:w="2318" w:type="dxa"/>
            <w:gridSpan w:val="2"/>
            <w:tcBorders/>
            <w:vAlign w:val="center"/>
          </w:tcPr>
          <w:p>
            <w:pPr>
              <w:pStyle w:val="TableContents"/>
              <w:bidi w:val="0"/>
              <w:spacing w:before="0" w:after="283"/>
              <w:jc w:val="left"/>
              <w:rPr>
                <w:sz w:val="4"/>
                <w:szCs w:val="4"/>
              </w:rPr>
            </w:pPr>
            <w:r>
              <w:rPr>
                <w:sz w:val="4"/>
                <w:szCs w:val="4"/>
              </w:rPr>
            </w:r>
          </w:p>
        </w:tc>
      </w:tr>
      <w:tr>
        <w:trPr/>
        <w:tc>
          <w:tcPr>
            <w:tcW w:w="2734"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40"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4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2196" w:type="dxa"/>
            <w:tcBorders/>
            <w:vAlign w:val="bottom"/>
          </w:tcPr>
          <w:p>
            <w:pPr>
              <w:pStyle w:val="TableContents"/>
              <w:pBdr>
                <w:bottom w:val="single" w:sz="8" w:space="1" w:color="000000"/>
              </w:pBdr>
              <w:bidi w:val="0"/>
              <w:spacing w:before="0" w:after="0"/>
              <w:jc w:val="left"/>
              <w:rPr/>
            </w:pPr>
            <w:r>
              <w:rPr/>
              <w:t> </w:t>
            </w:r>
          </w:p>
        </w:tc>
      </w:tr>
      <w:tr>
        <w:trPr>
          <w:trHeight w:val="240" w:hRule="atLeast"/>
        </w:trPr>
        <w:tc>
          <w:tcPr>
            <w:tcW w:w="2734" w:type="dxa"/>
            <w:tcBorders/>
            <w:vAlign w:val="center"/>
          </w:tcPr>
          <w:p>
            <w:pPr>
              <w:pStyle w:val="TableContents"/>
              <w:bidi w:val="0"/>
              <w:spacing w:before="0" w:after="283"/>
              <w:jc w:val="left"/>
              <w:rPr>
                <w:sz w:val="4"/>
                <w:szCs w:val="4"/>
              </w:rPr>
            </w:pPr>
            <w:r>
              <w:rPr>
                <w:sz w:val="4"/>
                <w:szCs w:val="4"/>
              </w:rPr>
            </w:r>
          </w:p>
        </w:tc>
        <w:tc>
          <w:tcPr>
            <w:tcW w:w="2500" w:type="dxa"/>
            <w:gridSpan w:val="2"/>
            <w:tcBorders/>
            <w:vAlign w:val="center"/>
          </w:tcPr>
          <w:p>
            <w:pPr>
              <w:pStyle w:val="TableContents"/>
              <w:bidi w:val="0"/>
              <w:spacing w:before="0" w:after="283"/>
              <w:jc w:val="left"/>
              <w:rPr>
                <w:sz w:val="4"/>
                <w:szCs w:val="4"/>
              </w:rPr>
            </w:pPr>
            <w:r>
              <w:rPr>
                <w:sz w:val="4"/>
                <w:szCs w:val="4"/>
              </w:rPr>
            </w:r>
          </w:p>
        </w:tc>
        <w:tc>
          <w:tcPr>
            <w:tcW w:w="2653" w:type="dxa"/>
            <w:gridSpan w:val="2"/>
            <w:tcBorders/>
            <w:vAlign w:val="center"/>
          </w:tcPr>
          <w:p>
            <w:pPr>
              <w:pStyle w:val="TableContents"/>
              <w:bidi w:val="0"/>
              <w:spacing w:before="0" w:after="283"/>
              <w:jc w:val="left"/>
              <w:rPr>
                <w:sz w:val="4"/>
                <w:szCs w:val="4"/>
              </w:rPr>
            </w:pPr>
            <w:r>
              <w:rPr>
                <w:sz w:val="4"/>
                <w:szCs w:val="4"/>
              </w:rPr>
            </w:r>
          </w:p>
        </w:tc>
        <w:tc>
          <w:tcPr>
            <w:tcW w:w="2318" w:type="dxa"/>
            <w:gridSpan w:val="2"/>
            <w:tcBorders/>
            <w:vAlign w:val="center"/>
          </w:tcPr>
          <w:p>
            <w:pPr>
              <w:pStyle w:val="TableContents"/>
              <w:bidi w:val="0"/>
              <w:spacing w:before="0" w:after="283"/>
              <w:jc w:val="left"/>
              <w:rPr>
                <w:sz w:val="4"/>
                <w:szCs w:val="4"/>
              </w:rPr>
            </w:pPr>
            <w:r>
              <w:rPr>
                <w:sz w:val="4"/>
                <w:szCs w:val="4"/>
              </w:rPr>
            </w:r>
          </w:p>
        </w:tc>
      </w:tr>
      <w:tr>
        <w:trPr/>
        <w:tc>
          <w:tcPr>
            <w:tcW w:w="2734"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40"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4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2196" w:type="dxa"/>
            <w:tcBorders/>
            <w:vAlign w:val="bottom"/>
          </w:tcPr>
          <w:p>
            <w:pPr>
              <w:pStyle w:val="TableContents"/>
              <w:pBdr>
                <w:bottom w:val="single" w:sz="8" w:space="1" w:color="000000"/>
              </w:pBdr>
              <w:bidi w:val="0"/>
              <w:spacing w:before="0" w:after="0"/>
              <w:jc w:val="left"/>
              <w:rPr/>
            </w:pPr>
            <w:r>
              <w:rPr/>
              <w:t> </w:t>
            </w:r>
          </w:p>
        </w:tc>
      </w:tr>
      <w:tr>
        <w:trPr>
          <w:trHeight w:val="240" w:hRule="atLeast"/>
        </w:trPr>
        <w:tc>
          <w:tcPr>
            <w:tcW w:w="2734" w:type="dxa"/>
            <w:tcBorders/>
            <w:vAlign w:val="center"/>
          </w:tcPr>
          <w:p>
            <w:pPr>
              <w:pStyle w:val="TableContents"/>
              <w:bidi w:val="0"/>
              <w:spacing w:before="0" w:after="283"/>
              <w:jc w:val="left"/>
              <w:rPr>
                <w:sz w:val="4"/>
                <w:szCs w:val="4"/>
              </w:rPr>
            </w:pPr>
            <w:r>
              <w:rPr>
                <w:sz w:val="4"/>
                <w:szCs w:val="4"/>
              </w:rPr>
            </w:r>
          </w:p>
        </w:tc>
        <w:tc>
          <w:tcPr>
            <w:tcW w:w="2500" w:type="dxa"/>
            <w:gridSpan w:val="2"/>
            <w:tcBorders/>
            <w:vAlign w:val="center"/>
          </w:tcPr>
          <w:p>
            <w:pPr>
              <w:pStyle w:val="TableContents"/>
              <w:bidi w:val="0"/>
              <w:spacing w:before="0" w:after="283"/>
              <w:jc w:val="left"/>
              <w:rPr>
                <w:sz w:val="4"/>
                <w:szCs w:val="4"/>
              </w:rPr>
            </w:pPr>
            <w:r>
              <w:rPr>
                <w:sz w:val="4"/>
                <w:szCs w:val="4"/>
              </w:rPr>
            </w:r>
          </w:p>
        </w:tc>
        <w:tc>
          <w:tcPr>
            <w:tcW w:w="2653" w:type="dxa"/>
            <w:gridSpan w:val="2"/>
            <w:tcBorders/>
            <w:vAlign w:val="center"/>
          </w:tcPr>
          <w:p>
            <w:pPr>
              <w:pStyle w:val="TableContents"/>
              <w:bidi w:val="0"/>
              <w:spacing w:before="0" w:after="283"/>
              <w:jc w:val="left"/>
              <w:rPr>
                <w:sz w:val="4"/>
                <w:szCs w:val="4"/>
              </w:rPr>
            </w:pPr>
            <w:r>
              <w:rPr>
                <w:sz w:val="4"/>
                <w:szCs w:val="4"/>
              </w:rPr>
            </w:r>
          </w:p>
        </w:tc>
        <w:tc>
          <w:tcPr>
            <w:tcW w:w="2318" w:type="dxa"/>
            <w:gridSpan w:val="2"/>
            <w:tcBorders/>
            <w:vAlign w:val="center"/>
          </w:tcPr>
          <w:p>
            <w:pPr>
              <w:pStyle w:val="TableContents"/>
              <w:bidi w:val="0"/>
              <w:spacing w:before="0" w:after="283"/>
              <w:jc w:val="left"/>
              <w:rPr>
                <w:sz w:val="4"/>
                <w:szCs w:val="4"/>
              </w:rPr>
            </w:pPr>
            <w:r>
              <w:rPr>
                <w:sz w:val="4"/>
                <w:szCs w:val="4"/>
              </w:rPr>
            </w:r>
          </w:p>
        </w:tc>
      </w:tr>
      <w:tr>
        <w:trPr/>
        <w:tc>
          <w:tcPr>
            <w:tcW w:w="2734" w:type="dxa"/>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440" w:type="dxa"/>
            <w:tcBorders/>
            <w:vAlign w:val="bottom"/>
          </w:tcPr>
          <w:p>
            <w:pPr>
              <w:pStyle w:val="TableContents"/>
              <w:pBdr>
                <w:bottom w:val="single" w:sz="8" w:space="1" w:color="000000"/>
              </w:pBdr>
              <w:bidi w:val="0"/>
              <w:spacing w:before="0" w:after="0"/>
              <w:jc w:val="left"/>
              <w:rPr/>
            </w:pPr>
            <w:r>
              <w:rPr/>
              <w:t> </w:t>
            </w:r>
          </w:p>
        </w:tc>
        <w:tc>
          <w:tcPr>
            <w:tcW w:w="108" w:type="dxa"/>
            <w:tcBorders/>
            <w:vAlign w:val="bottom"/>
          </w:tcPr>
          <w:p>
            <w:pPr>
              <w:pStyle w:val="TableContents"/>
              <w:bidi w:val="0"/>
              <w:spacing w:before="0" w:after="283"/>
              <w:jc w:val="left"/>
              <w:rPr/>
            </w:pPr>
            <w:r>
              <w:rPr/>
              <w:t> </w:t>
            </w:r>
          </w:p>
        </w:tc>
        <w:tc>
          <w:tcPr>
            <w:tcW w:w="254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2196" w:type="dxa"/>
            <w:tcBorders/>
            <w:vAlign w:val="bottom"/>
          </w:tcPr>
          <w:p>
            <w:pPr>
              <w:pStyle w:val="TableContents"/>
              <w:pBdr>
                <w:bottom w:val="single" w:sz="8" w:space="1" w:color="000000"/>
              </w:pBdr>
              <w:bidi w:val="0"/>
              <w:spacing w:before="0" w:after="0"/>
              <w:jc w:val="left"/>
              <w:rPr/>
            </w:pPr>
            <w:r>
              <w:rPr/>
              <w:t> </w:t>
            </w:r>
          </w:p>
        </w:tc>
      </w:tr>
    </w:tbl>
    <w:p>
      <w:pPr>
        <w:pStyle w:val="TextBody"/>
        <w:bidi w:val="0"/>
        <w:spacing w:before="0" w:after="0"/>
        <w:jc w:val="right"/>
        <w:rPr>
          <w:rFonts w:ascii="Times New Roman" w:hAnsi="Times New Roman"/>
          <w:b/>
          <w:i/>
          <w:sz w:val="20"/>
        </w:rPr>
      </w:pPr>
      <w:bookmarkStart w:id="8" w:name="d91010dex103.htm"/>
      <w:bookmarkStart w:id="9" w:name="ksd91010dex103"/>
      <w:bookmarkEnd w:id="8"/>
      <w:bookmarkEnd w:id="9"/>
      <w:r>
        <w:rPr>
          <w:rFonts w:ascii="Times New Roman" w:hAnsi="Times New Roman"/>
          <w:b/>
          <w:i/>
          <w:sz w:val="20"/>
        </w:rPr>
        <w:t xml:space="preserve">Exhibit 10.3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July 28, 2026 </w:t>
      </w:r>
    </w:p>
    <w:p>
      <w:pPr>
        <w:pStyle w:val="TextBody"/>
        <w:bidi w:val="0"/>
        <w:spacing w:before="240" w:after="0"/>
        <w:jc w:val="left"/>
        <w:rPr>
          <w:rFonts w:ascii="Times New Roman" w:hAnsi="Times New Roman"/>
          <w:sz w:val="20"/>
        </w:rPr>
      </w:pPr>
      <w:r>
        <w:rPr>
          <w:rFonts w:ascii="Times New Roman" w:hAnsi="Times New Roman"/>
          <w:sz w:val="20"/>
        </w:rPr>
        <w:t xml:space="preserve">Caldera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300 Technology Square, 8th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signatory of this lock-up agreement (this “</w:t>
      </w:r>
      <w:r>
        <w:rPr>
          <w:rFonts w:ascii="Times New Roman" w:hAnsi="Times New Roman"/>
          <w:b/>
          <w:i/>
          <w:sz w:val="20"/>
        </w:rPr>
        <w:t>Lock-Up Agreement</w:t>
      </w:r>
      <w:r>
        <w:rPr>
          <w:rFonts w:ascii="Times New Roman" w:hAnsi="Times New Roman"/>
          <w:sz w:val="20"/>
        </w:rPr>
        <w:t>”) understands that Caldera Therapeutics, Inc., a Delaware corporation (the “</w:t>
      </w:r>
      <w:r>
        <w:rPr>
          <w:rFonts w:ascii="Times New Roman" w:hAnsi="Times New Roman"/>
          <w:b/>
          <w:i/>
          <w:sz w:val="20"/>
        </w:rPr>
        <w:t>Company</w:t>
      </w:r>
      <w:r>
        <w:rPr>
          <w:rFonts w:ascii="Times New Roman" w:hAnsi="Times New Roman"/>
          <w:sz w:val="20"/>
        </w:rPr>
        <w:t>”), has entered into an Agreement and Plan of Merger, dated as of July 28, 2026 (as the same may be amended from time to time, the “</w:t>
      </w:r>
      <w:r>
        <w:rPr>
          <w:rFonts w:ascii="Times New Roman" w:hAnsi="Times New Roman"/>
          <w:b/>
          <w:i/>
          <w:sz w:val="20"/>
        </w:rPr>
        <w:t>Merger Agreement</w:t>
      </w:r>
      <w:r>
        <w:rPr>
          <w:rFonts w:ascii="Times New Roman" w:hAnsi="Times New Roman"/>
          <w:sz w:val="20"/>
        </w:rPr>
        <w:t>”) with Synlogic, Inc., a Delaware corporation (“</w:t>
      </w:r>
      <w:r>
        <w:rPr>
          <w:rFonts w:ascii="Times New Roman" w:hAnsi="Times New Roman"/>
          <w:b/>
          <w:i/>
          <w:sz w:val="20"/>
        </w:rPr>
        <w:t>Synlogic</w:t>
      </w:r>
      <w:r>
        <w:rPr>
          <w:rFonts w:ascii="Times New Roman" w:hAnsi="Times New Roman"/>
          <w:sz w:val="20"/>
        </w:rPr>
        <w:t>”), Sonic Holdco, Inc., a Delaware corporation (“</w:t>
      </w:r>
      <w:r>
        <w:rPr>
          <w:rFonts w:ascii="Times New Roman" w:hAnsi="Times New Roman"/>
          <w:b/>
          <w:i/>
          <w:sz w:val="20"/>
        </w:rPr>
        <w:t>Parent</w:t>
      </w:r>
      <w:r>
        <w:rPr>
          <w:rFonts w:ascii="Times New Roman" w:hAnsi="Times New Roman"/>
          <w:sz w:val="20"/>
        </w:rPr>
        <w:t xml:space="preserve">”), Yellowstone Merger Sub, Inc., a Delaware corporation and a direct, wholly owned subsidiary of Parent, and Sonic Merger Sub, Inc., a Delaware corporation and a direct, wholly owned subsidiary of Parent. Capitalized terms used but not otherwise defined herein shall have the respective meanings ascribed to such terms in the Merger Agreement. </w:t>
      </w:r>
    </w:p>
    <w:p>
      <w:pPr>
        <w:pStyle w:val="TextBody"/>
        <w:bidi w:val="0"/>
        <w:spacing w:before="240" w:after="0"/>
        <w:jc w:val="left"/>
        <w:rPr>
          <w:rFonts w:ascii="Times New Roman" w:hAnsi="Times New Roman"/>
          <w:sz w:val="20"/>
        </w:rPr>
      </w:pPr>
      <w:r>
        <w:rPr>
          <w:rFonts w:ascii="Times New Roman" w:hAnsi="Times New Roman"/>
          <w:sz w:val="20"/>
        </w:rPr>
        <w:t>As a condition and inducement to each of the parties to enter into the Merger Agreement, and for other good and valuable consideration, the receipt and sufficiency of which is hereby acknowledged, the undersigned hereby irrevocably agrees that, subject to the exceptions set forth herein, without the prior written consent of Parent and, solely prior to the Closing, the Company, the undersigned will not, during the period commencing upon the Closing and ending on the date that is 180 days after the Closing Date (the “</w:t>
      </w:r>
      <w:r>
        <w:rPr>
          <w:rFonts w:ascii="Times New Roman" w:hAnsi="Times New Roman"/>
          <w:b/>
          <w:i/>
          <w:sz w:val="20"/>
        </w:rPr>
        <w:t>Restricted Period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offer, pledge, sell, contract to sell, sell any option or contract to purchase, purchase any option or contract to sell, grant any option, right or warrant to purchase, lend or otherwise transfer or dispose of, directly or indirectly, any shares of Parent Common Stock or any securities convertible into or exercisable or exchangeable for Parent Common Stock (including, without limitation, Parent Common Stock or such other securities that may be deemed to be beneficially owned (as such term is used in Rule 13d-3 under the Exchange Act) by the undersigned in accordance with the rules and regulations of the SEC and securities of Parent that may be issued upon (a) exercise of an option to purchase Parent Common Stock or warrant or (b) settlement of a Parent restricted stock unit) that are currently or hereafter owned of record or beneficially (including holding as a custodian) by the undersigned (collectively, the “</w:t>
            </w:r>
            <w:r>
              <w:rPr>
                <w:rFonts w:ascii="Times New Roman" w:hAnsi="Times New Roman"/>
                <w:b/>
                <w:i/>
                <w:sz w:val="20"/>
              </w:rPr>
              <w:t>Undersigned’s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short sale, hedge or other agreement that transfers, in whole or in part, any of the economic consequences of ownership of the Undersigned’s Shares regardless of whether any such transaction described in clause (i) above or this clause (ii) is to be settled by delivery of Parent Common Stock or other securities, in cash or otherwise;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demand for, or exercise any right with respect to, the registration of any shares of Parent Common Stock or any security convertible into or exercisable or exchangeable for Parent Common Stock (other than such rights set forth in the Merger Agreement or the obligations of the Company or the Parent under that certain Registration Rights Agreement dated as of July 28, 2026 entered into by and among the Company, Parent, and the several investors signatory thereto);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disclose the intention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and obligations contemplated by this Lock-Up Agreement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transfers of the Undersigned’s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w:t>
            </w:r>
            <w:r>
              <w:rPr>
                <w:rFonts w:ascii="Times New Roman" w:hAnsi="Times New Roman"/>
                <w:sz w:val="20"/>
                <w:u w:val="single"/>
              </w:rPr>
              <w:t>natural person</w:t>
            </w:r>
            <w:r>
              <w:rPr>
                <w:rFonts w:ascii="Times New Roman" w:hAnsi="Times New Roman"/>
                <w:sz w:val="20"/>
              </w:rPr>
              <w:t>, (A) to any person related to the undersigned by blood or adoption who is an immediate family member of the undersigned, or by marriage or domestic partnership (a “</w:t>
            </w:r>
            <w:r>
              <w:rPr>
                <w:rFonts w:ascii="Times New Roman" w:hAnsi="Times New Roman"/>
                <w:b/>
                <w:i/>
                <w:sz w:val="20"/>
              </w:rPr>
              <w:t>Family Member</w:t>
            </w:r>
            <w:r>
              <w:rPr>
                <w:rFonts w:ascii="Times New Roman" w:hAnsi="Times New Roman"/>
                <w:sz w:val="20"/>
              </w:rPr>
              <w:t xml:space="preserve">”), or to a trust formed for the direct or indirect benefit of the undersigned or any of the undersigned’s Family Members, (B) to the undersigned’s estate, following the death of the undersigned, by will, intestacy or other operation of Law, (C) as a bona fide gift or a charitable contribution, as such term is described in Section 501(c)(3) of the Code, (D) by operation of Law pursuant to a qualified domestic order or in connection with a divorce settlement, or (E) to any partnership, corporation or limited liability company which is controlled by the undersigned and/or by any such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w:t>
            </w:r>
            <w:r>
              <w:rPr>
                <w:rFonts w:ascii="Times New Roman" w:hAnsi="Times New Roman"/>
                <w:sz w:val="20"/>
                <w:u w:val="single"/>
              </w:rPr>
              <w:t>corporation</w:t>
            </w:r>
            <w:r>
              <w:rPr>
                <w:rFonts w:ascii="Times New Roman" w:hAnsi="Times New Roman"/>
                <w:sz w:val="20"/>
              </w:rPr>
              <w:t xml:space="preserve">, </w:t>
            </w:r>
            <w:r>
              <w:rPr>
                <w:rFonts w:ascii="Times New Roman" w:hAnsi="Times New Roman"/>
                <w:sz w:val="20"/>
                <w:u w:val="single"/>
              </w:rPr>
              <w:t>partnership</w:t>
            </w:r>
            <w:r>
              <w:rPr>
                <w:rFonts w:ascii="Times New Roman" w:hAnsi="Times New Roman"/>
                <w:sz w:val="20"/>
              </w:rPr>
              <w:t xml:space="preserve">, </w:t>
            </w:r>
            <w:r>
              <w:rPr>
                <w:rFonts w:ascii="Times New Roman" w:hAnsi="Times New Roman"/>
                <w:sz w:val="20"/>
                <w:u w:val="single"/>
              </w:rPr>
              <w:t>limited liability company</w:t>
            </w:r>
            <w:r>
              <w:rPr>
                <w:rFonts w:ascii="Times New Roman" w:hAnsi="Times New Roman"/>
                <w:sz w:val="20"/>
              </w:rPr>
              <w:t xml:space="preserve"> or</w:t>
            </w:r>
            <w:r>
              <w:rPr>
                <w:rFonts w:ascii="Times New Roman" w:hAnsi="Times New Roman"/>
                <w:sz w:val="20"/>
                <w:u w:val="single"/>
              </w:rPr>
              <w:t xml:space="preserve"> other entity</w:t>
            </w:r>
            <w:r>
              <w:rPr>
                <w:rFonts w:ascii="Times New Roman" w:hAnsi="Times New Roman"/>
                <w:sz w:val="20"/>
              </w:rPr>
              <w:t xml:space="preserve">, (A) to another corporation, partnership, limited liability company, or other entity that is an affiliate (as defined under Rule 12b-2 under the Exchange Act) of the undersigned, including investment funds or other entities under common control or management or advisement with the undersigned (including, for the avoidance of doubt, where the undersigned is a partnership, to its general partner or a successor partnership or fund, or any other funds managed by such partnership), (B) as a distribution or dividend to equity holders, including, without limitation,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as such term is described in Section 501(c)(3) of the Code, (D) transfers or dispositions not involving a change in beneficial ownership or (E) with prior written consent of Parent and, solely prior to the Closing, the Company; or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w:t>
            </w:r>
            <w:r>
              <w:rPr>
                <w:rFonts w:ascii="Times New Roman" w:hAnsi="Times New Roman"/>
                <w:sz w:val="20"/>
                <w:u w:val="single"/>
              </w:rPr>
              <w:t>trust</w:t>
            </w:r>
            <w:r>
              <w:rPr>
                <w:rFonts w:ascii="Times New Roman" w:hAnsi="Times New Roman"/>
                <w:sz w:val="20"/>
              </w:rPr>
              <w:t xml:space="preserve">, to any grantors or beneficiaries of the 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in the case of any transfer or distribution pursuant to this clause (a), such transfer is not for value and each donee, heir, beneficiary or other transferee or distributee shall, prior to or concurrently with such transfer or distribution, sign and deliver to Parent a lock-up agreement in the form of this Lock-Up Agreement with respect to the shares of Parent Common Stock or such other securities that have been so transferred or distributed; </w:t>
      </w:r>
    </w:p>
    <w:p>
      <w:pPr>
        <w:pStyle w:val="TextBody"/>
        <w:bidi w:val="0"/>
        <w:spacing w:before="240" w:after="0"/>
        <w:jc w:val="left"/>
        <w:rPr>
          <w:rFonts w:ascii="Times New Roman" w:hAnsi="Times New Roman"/>
          <w:sz w:val="20"/>
        </w:rPr>
      </w:pPr>
      <w:r>
        <w:rPr>
          <w:rFonts w:ascii="Times New Roman" w:hAnsi="Times New Roman"/>
          <w:sz w:val="20"/>
        </w:rPr>
        <w:t xml:space="preserve">(b) the exercise of an option to purchase Parent Common Stock (including a net or cashless exercise of an option to purchase Parent Common Stock), and any related transfer of shares of Parent Common Stock to Parent or sale of Parent Common Stock in the open market, in each case, for the purpose of paying the exercise price of such options or for paying taxes (including estimated taxes) during the Restricted Period due as a result of the exercise of such options; provided that, for the avoidance of doubt, the underlying shares of Parent Common Stock held by the undersigned following such exercise and any such open market sales shall continue to be subject to the restrictions on transfer set forth in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disposition (including a forfeiture or repurchase) to Parent of any shares of restricted stock granted pursuant to the terms of any employee benefit plan or restricted stock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vesting of any restricted stock unit or settlement of any other equity award that represents the right to receive shares of Parent Common Stock, and transfers to Parent, or sales of Parent Common Stock in the open market, in connection with the vesting of any restricted stock unit or settlement of any other equity award that represents the right to receive shares of Parent Common Stock settled in Parent Common Stock, in each case, to pay any tax withholding obligations due during the Restricted Period; provided that, for the avoidance of doubt, the underlying shares of Parent Common Stock held by the undersigned following such vesting or settlement and any such open market sales shall continue to be subject to the restrictions on transfer set forth in this Lock-Up Agreement; </w:t>
      </w:r>
    </w:p>
    <w:p>
      <w:pPr>
        <w:pStyle w:val="TextBody"/>
        <w:bidi w:val="0"/>
        <w:spacing w:before="240" w:after="0"/>
        <w:jc w:val="left"/>
        <w:rPr>
          <w:rFonts w:ascii="Times New Roman" w:hAnsi="Times New Roman"/>
          <w:sz w:val="20"/>
        </w:rPr>
      </w:pPr>
      <w:r>
        <w:rPr>
          <w:rFonts w:ascii="Times New Roman" w:hAnsi="Times New Roman"/>
          <w:sz w:val="20"/>
        </w:rPr>
        <w:t>(e) the establishment of a trading plan pursuant to Rule 10b5-1 under the Exchange Act (a “</w:t>
      </w:r>
      <w:r>
        <w:rPr>
          <w:rFonts w:ascii="Times New Roman" w:hAnsi="Times New Roman"/>
          <w:b/>
          <w:i/>
          <w:sz w:val="20"/>
        </w:rPr>
        <w:t>10b5-1 Plan</w:t>
      </w:r>
      <w:r>
        <w:rPr>
          <w:rFonts w:ascii="Times New Roman" w:hAnsi="Times New Roman"/>
          <w:sz w:val="20"/>
        </w:rPr>
        <w:t xml:space="preserve">”) for the transfer of Parent Common Stock; provided that such plan does not provide for any transfers of Parent Common Stock during the Restricted Period (except for transfers pursuant to Section (i) below); and provided further that no public announcement or filing under the Exchange Act or otherwise shall be required or voluntarily made by any party in connection with the establishment of such plan during the Restricted Period, other than any filing on Schedule 13D (including under Item 4 or Item 6 thereof) or Schedule 13G required to be made under the Exchange Act in connection with the establishment of such plan, provided that any such filing shall clearly indicate that such plan does not provide for any transfers of Parent Common Stock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(f) transfers, sales, dispositions, or the entering into of transactions (including, without limitation, any swap, hedge or similar agreement) by the undersigned of or relating to shares of capital stock or other securities of Parent purchased or acquired by the undersigned on the open market, in a public offering by Parent, or that otherwise do not involve or relate to shares of Parent Common Stock issued pursuant to the Merger Agreement in respect of shares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(g) transfers pursuant to a bona fide third party tender offer, merger, consolidation or other similar transaction made to all holders of Parent’s capital stock involving a change of control of Parent that is approved by Parent’s Board of Directors, provided that in the event that such tender offer, merger, consolidation or other such transaction is not completed, the Undersigned’s Shares shall remain subject to the restrictions contained in this Lock-Up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transfers pursuant to an order of a court or regulatory agency; or </w:t>
      </w:r>
    </w:p>
    <w:p>
      <w:pPr>
        <w:pStyle w:val="TextBody"/>
        <w:bidi w:val="0"/>
        <w:spacing w:before="240" w:after="0"/>
        <w:jc w:val="left"/>
        <w:rPr>
          <w:rFonts w:ascii="Times New Roman" w:hAnsi="Times New Roman"/>
          <w:sz w:val="20"/>
        </w:rPr>
      </w:pPr>
      <w:r>
        <w:rPr>
          <w:rFonts w:ascii="Times New Roman" w:hAnsi="Times New Roman"/>
          <w:sz w:val="20"/>
        </w:rPr>
        <w:t>(i) transfers, sales, dispositions or the entering into of transactions (including, without limitation, any swap, hedge or similar agreement), by the undersigned relating to shares of Parent Common Stock issued pursuant to the Merger Agreement in respect of shares of the Company, if any, purchased from the Company pursuant to the Concurrent Financing (as defined in the Merger Agreement) (the “</w:t>
      </w:r>
      <w:r>
        <w:rPr>
          <w:rFonts w:ascii="Times New Roman" w:hAnsi="Times New Roman"/>
          <w:b/>
          <w:i/>
          <w:sz w:val="20"/>
        </w:rPr>
        <w:t>Concurrent Financing Released Shares</w:t>
      </w:r>
      <w:r>
        <w:rPr>
          <w:rFonts w:ascii="Times New Roman" w:hAnsi="Times New Roman"/>
          <w:sz w:val="20"/>
        </w:rPr>
        <w:t xml:space="preserve">”) or issued in exchange for, or on conversion or exercise of, any securities issued as part of the Concurrent Financing. The number of Concurrent Financing Released Shares held by each stockholder of the Company is set forth opposite his, her or its name on Schedule I to this Lock-Up Agreement under the heading “Concurrent Financing Released Shares”; </w:t>
      </w:r>
    </w:p>
    <w:p>
      <w:pPr>
        <w:pStyle w:val="TextBody"/>
        <w:bidi w:val="0"/>
        <w:spacing w:before="240" w:after="0"/>
        <w:jc w:val="left"/>
        <w:rPr>
          <w:rFonts w:ascii="Times New Roman" w:hAnsi="Times New Roman"/>
          <w:sz w:val="20"/>
        </w:rPr>
      </w:pPr>
      <w:r>
        <w:rPr>
          <w:rFonts w:ascii="Times New Roman" w:hAnsi="Times New Roman"/>
          <w:sz w:val="20"/>
        </w:rPr>
        <w:t xml:space="preserve">and </w:t>
      </w:r>
      <w:r>
        <w:rPr>
          <w:rFonts w:ascii="Times New Roman" w:hAnsi="Times New Roman"/>
          <w:i/>
          <w:sz w:val="20"/>
          <w:u w:val="single"/>
        </w:rPr>
        <w:t>provided, further</w:t>
      </w:r>
      <w:r>
        <w:rPr>
          <w:rFonts w:ascii="Times New Roman" w:hAnsi="Times New Roman"/>
          <w:sz w:val="20"/>
        </w:rPr>
        <w:t xml:space="preserve">, that, with respect to each of (a), (b), (c), (d) and (e) above, no filing by any party (including any donor, donee, transferor, transferee, distributor or distributee) under Section 16 of the Exchange Act or other public announcement shall be made voluntarily in connection with such transfer or disposition during the Restricted Period (other than in respect of a required filing under the Exchange Act in connection with the exercise of an option to purchase shares of Parent Common Stock or in connection with the net settlement of any other equity award that represents the right to receive in the future shares of Parent Common Stock settled in Parent Common Stock that would otherwise expire during the Restricted Period, </w:t>
      </w:r>
      <w:r>
        <w:rPr>
          <w:rFonts w:ascii="Times New Roman" w:hAnsi="Times New Roman"/>
          <w:i/>
          <w:sz w:val="20"/>
          <w:u w:val="single"/>
        </w:rPr>
        <w:t>provided that</w:t>
      </w:r>
      <w:r>
        <w:rPr>
          <w:rFonts w:ascii="Times New Roman" w:hAnsi="Times New Roman"/>
          <w:sz w:val="20"/>
        </w:rPr>
        <w:t xml:space="preserve"> (1) reasonable notice shall be provided to Parent prior to any such filing and (2) such filing, report or announcement shall clearly indicate in the footnotes therein, in reasonable detail, a description of the circumstances of the transfer and that the shares remain subject to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other securities convertible into or exercisable or exchangeable for Parent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Agreement and that upon request, the undersigned will execute any additional documents reasonably necessary to ensure the validity or enforcement of this Lock-Up Agreement. All authority herein conferred or agreed to be conferred and any obligations of the undersigned shall be binding upon the successors, assigns, heirs or personal representatives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Parent and the Company are proceeding with the Contemplated Transactions in reliance upon this Lock-Up Agreement. Notwithstanding anything to the contrary contained herein, this Lock-Up Agreement will automatically terminate and the undersigned shall be released from all obligations under this Lock-Up Agreement upon the earliest to occur, if any, of (i) the Company advising the undersigned in writing that it has determined not to proceed with the Contemplated Transactions, (ii) the Merger Agreement being validly terminated pursuant to its terms or (iii) February 28, 2027, in the event that the Contemplated Transactions have not been consummated by such date. </w:t>
      </w:r>
    </w:p>
    <w:p>
      <w:pPr>
        <w:pStyle w:val="TextBody"/>
        <w:bidi w:val="0"/>
        <w:spacing w:before="240" w:after="0"/>
        <w:jc w:val="left"/>
        <w:rPr>
          <w:rFonts w:ascii="Times New Roman" w:hAnsi="Times New Roman"/>
          <w:sz w:val="20"/>
        </w:rPr>
      </w:pPr>
      <w:r>
        <w:rPr>
          <w:rFonts w:ascii="Times New Roman" w:hAnsi="Times New Roman"/>
          <w:sz w:val="20"/>
        </w:rPr>
        <w:t xml:space="preserve">Any and all remedies herein expressly conferred upon Parent or the Company will be deemed cumulative with and not exclusive of any other remedy conferred hereby, or by Law or equity, and the exercise by Parent or the Company of any one remedy will not preclude the exercise of any other remedy. The undersigned agrees that irreparable damage for which monetary damages, even if available, would not be an adequate remedy, would occur to Parent and/or the Company in the event that any provision of this Lock-Up Agreement were not performed in accordance with its specific terms or were otherwise breached. It is accordingly agreed that Parent and the Company shall be entitled to seek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w:t>
      </w:r>
    </w:p>
    <w:p>
      <w:pPr>
        <w:pStyle w:val="TextBody"/>
        <w:bidi w:val="0"/>
        <w:spacing w:before="240" w:after="0"/>
        <w:jc w:val="left"/>
        <w:rPr>
          <w:rFonts w:ascii="Times New Roman" w:hAnsi="Times New Roman"/>
          <w:sz w:val="20"/>
        </w:rPr>
      </w:pPr>
      <w:r>
        <w:rPr>
          <w:rFonts w:ascii="Times New Roman" w:hAnsi="Times New Roman"/>
          <w:sz w:val="20"/>
        </w:rPr>
        <w:t>In the event that any holder of securities of Parent that are subject to a substantially similar agreement entered into by such holder, other than the undersigned, is permitted by Parent (or prior to the Closing, the Company), including through any written consent granted under subparagraph (a)(ii)(E) above, to sell or otherwise transfer or dispose of shares of Parent Common Stock for value other than as permitted by this or a substantially similar agreement entered into by such holder or is granted an early release from the restrictions described herein during the Restricted Period, the same percentage of shares of the Undersigned’s Shares shall be immediately and fully released on the same terms from any remaining restrictions set forth herein (the “</w:t>
      </w:r>
      <w:r>
        <w:rPr>
          <w:rFonts w:ascii="Times New Roman" w:hAnsi="Times New Roman"/>
          <w:b/>
          <w:i/>
          <w:sz w:val="20"/>
        </w:rPr>
        <w:t>Pro-Rata Release</w:t>
      </w:r>
      <w:r>
        <w:rPr>
          <w:rFonts w:ascii="Times New Roman" w:hAnsi="Times New Roman"/>
          <w:sz w:val="20"/>
        </w:rPr>
        <w:t xml:space="preserve">”);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such Pro-Rata Release shall not be applied unless and until permission or early release has been granted by Parent, and solely prior to the Closing, the Company, to an equity holder or equity holders to sell or otherwise transfer or dispose of all or a portion of such equity holder’s shares of Parent Common Stock that, when combined with all other such permissions and early releases, represent an aggregate amount in excess of 1% of the number of shares of Parent Common Stock originally subject to a substantially similar agreement. Parent shall notify the undersigned of any Pro-Rata Release of its shares promptly and in any event within two (2) business days of the day that any permission that triggers the Pro-Rata Release is granted; </w:t>
      </w:r>
      <w:r>
        <w:rPr>
          <w:rFonts w:ascii="Times New Roman" w:hAnsi="Times New Roman"/>
          <w:i/>
          <w:sz w:val="20"/>
          <w:u w:val="single"/>
        </w:rPr>
        <w:t>provided further</w:t>
      </w:r>
      <w:r>
        <w:rPr>
          <w:rFonts w:ascii="Times New Roman" w:hAnsi="Times New Roman"/>
          <w:sz w:val="20"/>
        </w:rPr>
        <w:t xml:space="preserve">, that if the undersigned is an executive officer or director of Parent and such permission or early release was granted solely for the purpose of meeting the initial listing standards of The Nasdaq Stock Market LLC or another applicable national securities exchange, then such permission or early release shall not trigger, and the undersigned shall not be entitled to, the Pro-Rata Release.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the release of any of the Undersigned’s Shares from this Lock-Up Agreement, Parent will reasonably cooperate with the undersigned to facilitate the timely preparation and delivery of certificates or the establishment of book-entry positions at Parent’s transfer agent representing the Undersigned’s Shares without the restrictive legend above or the withdrawal of any stop transfer instructions.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Lock-Up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paragraph,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the subsequent paragraph of this Lock-Up Agreement and (f)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HEREBY WAIVE ANY RIGHT TO TRIAL BY JURY WITH RESPECT TO ANY ACTION OR LEGAL PROCEEDING RELATED TO OR ARISING OUT OF THIS LOCK-UP AGREEMENT, ANY DOCUMENT EXECUTED IN CONNECTION HEREWITH AND THE MATTERS CONTEMPLATED HEREBY AND THEREBY.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constitutes the entire agreement between the parties to this Lock-Up Agreement and supersedes all other prior agreements, arrangements and understandings, both written and oral, among the parties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the Merger Agreement and to the undersigned at his, her or its address or email address (providing confirmation of transmission) set forth on the signature page hereto (or at such other address for a party as shall be specified by like notice).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facsimile, electronic mail (including any electronic signature covered by the U.S. federal ESIGN Act of 2000, Uniform Electronic Transactions Act, the Electronic Signatures and Records Act or other applicable law, e.g., www.docusign.com) or electronic transmission in .pdf format shall be sufficient to bind such parties to the terms and conditions of this Lock-Up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889"/>
        <w:gridCol w:w="130"/>
        <w:gridCol w:w="914"/>
        <w:gridCol w:w="75"/>
        <w:gridCol w:w="28"/>
        <w:gridCol w:w="106"/>
        <w:gridCol w:w="4063"/>
      </w:tblGrid>
      <w:tr>
        <w:trPr/>
        <w:tc>
          <w:tcPr>
            <w:tcW w:w="4889"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4889"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5186" w:type="dxa"/>
            <w:gridSpan w:val="5"/>
            <w:tcBorders/>
          </w:tcPr>
          <w:p>
            <w:pPr>
              <w:pStyle w:val="TableContents"/>
              <w:bidi w:val="0"/>
              <w:spacing w:before="0" w:after="283"/>
              <w:jc w:val="left"/>
              <w:rPr/>
            </w:pPr>
            <w:r>
              <w:rPr/>
              <w:t>Very truly yours,</w:t>
            </w:r>
          </w:p>
        </w:tc>
      </w:tr>
      <w:tr>
        <w:trPr>
          <w:trHeight w:val="240" w:hRule="atLeast"/>
        </w:trPr>
        <w:tc>
          <w:tcPr>
            <w:tcW w:w="4889" w:type="dxa"/>
            <w:tcBorders/>
            <w:vAlign w:val="center"/>
          </w:tcPr>
          <w:p>
            <w:pPr>
              <w:pStyle w:val="TableContents"/>
              <w:bidi w:val="0"/>
              <w:spacing w:before="0" w:after="283"/>
              <w:jc w:val="left"/>
              <w:rPr>
                <w:sz w:val="4"/>
                <w:szCs w:val="4"/>
              </w:rPr>
            </w:pPr>
            <w:r>
              <w:rPr>
                <w:sz w:val="4"/>
                <w:szCs w:val="4"/>
              </w:rPr>
            </w:r>
          </w:p>
        </w:tc>
        <w:tc>
          <w:tcPr>
            <w:tcW w:w="5316" w:type="dxa"/>
            <w:gridSpan w:val="6"/>
            <w:tcBorders/>
            <w:vAlign w:val="center"/>
          </w:tcPr>
          <w:p>
            <w:pPr>
              <w:pStyle w:val="TableContents"/>
              <w:bidi w:val="0"/>
              <w:spacing w:before="0" w:after="283"/>
              <w:jc w:val="left"/>
              <w:rPr>
                <w:sz w:val="4"/>
                <w:szCs w:val="4"/>
              </w:rPr>
            </w:pPr>
            <w:r>
              <w:rPr>
                <w:sz w:val="4"/>
                <w:szCs w:val="4"/>
              </w:rPr>
            </w:r>
          </w:p>
        </w:tc>
      </w:tr>
      <w:tr>
        <w:trPr/>
        <w:tc>
          <w:tcPr>
            <w:tcW w:w="4889" w:type="dxa"/>
            <w:tcBorders/>
          </w:tcPr>
          <w:p>
            <w:pPr>
              <w:pStyle w:val="TableContents"/>
              <w:bidi w:val="0"/>
              <w:spacing w:before="0" w:after="283"/>
              <w:jc w:val="left"/>
              <w:rPr/>
            </w:pPr>
            <w:r>
              <w:rPr/>
              <w:t>Print Name of Stockholder:</w:t>
            </w:r>
          </w:p>
        </w:tc>
        <w:tc>
          <w:tcPr>
            <w:tcW w:w="130" w:type="dxa"/>
            <w:tcBorders/>
            <w:vAlign w:val="bottom"/>
          </w:tcPr>
          <w:p>
            <w:pPr>
              <w:pStyle w:val="TableContents"/>
              <w:bidi w:val="0"/>
              <w:spacing w:before="0" w:after="283"/>
              <w:jc w:val="left"/>
              <w:rPr/>
            </w:pPr>
            <w:r>
              <w:rPr/>
              <w:t> </w:t>
            </w:r>
          </w:p>
        </w:tc>
        <w:tc>
          <w:tcPr>
            <w:tcW w:w="5186" w:type="dxa"/>
            <w:gridSpan w:val="5"/>
            <w:tcBorders/>
          </w:tcPr>
          <w:p>
            <w:pPr>
              <w:pStyle w:val="TableContents"/>
              <w:bidi w:val="0"/>
              <w:spacing w:before="0" w:after="283"/>
              <w:jc w:val="left"/>
              <w:rPr/>
            </w:pPr>
            <w:r>
              <w:rPr/>
              <w:t>[</w:t>
            </w:r>
            <w:r>
              <w:rPr>
                <w:u w:val="single"/>
              </w:rPr>
              <w:t>             </w:t>
            </w:r>
            <w:r>
              <w:rPr/>
              <w:t>]</w:t>
            </w:r>
          </w:p>
        </w:tc>
      </w:tr>
      <w:tr>
        <w:trPr>
          <w:trHeight w:val="240" w:hRule="atLeast"/>
        </w:trPr>
        <w:tc>
          <w:tcPr>
            <w:tcW w:w="4889" w:type="dxa"/>
            <w:tcBorders/>
            <w:vAlign w:val="center"/>
          </w:tcPr>
          <w:p>
            <w:pPr>
              <w:pStyle w:val="TableContents"/>
              <w:bidi w:val="0"/>
              <w:spacing w:before="0" w:after="283"/>
              <w:jc w:val="left"/>
              <w:rPr>
                <w:sz w:val="4"/>
                <w:szCs w:val="4"/>
              </w:rPr>
            </w:pPr>
            <w:r>
              <w:rPr>
                <w:sz w:val="4"/>
                <w:szCs w:val="4"/>
              </w:rPr>
            </w:r>
          </w:p>
        </w:tc>
        <w:tc>
          <w:tcPr>
            <w:tcW w:w="5316" w:type="dxa"/>
            <w:gridSpan w:val="6"/>
            <w:tcBorders/>
            <w:vAlign w:val="center"/>
          </w:tcPr>
          <w:p>
            <w:pPr>
              <w:pStyle w:val="TableContents"/>
              <w:bidi w:val="0"/>
              <w:spacing w:before="0" w:after="283"/>
              <w:jc w:val="left"/>
              <w:rPr>
                <w:sz w:val="4"/>
                <w:szCs w:val="4"/>
              </w:rPr>
            </w:pPr>
            <w:r>
              <w:rPr>
                <w:sz w:val="4"/>
                <w:szCs w:val="4"/>
              </w:rPr>
            </w:r>
          </w:p>
        </w:tc>
      </w:tr>
      <w:tr>
        <w:trPr/>
        <w:tc>
          <w:tcPr>
            <w:tcW w:w="4889"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5186" w:type="dxa"/>
            <w:gridSpan w:val="5"/>
            <w:tcBorders/>
          </w:tcPr>
          <w:p>
            <w:pPr>
              <w:pStyle w:val="TableContents"/>
              <w:bidi w:val="0"/>
              <w:spacing w:before="0" w:after="283"/>
              <w:jc w:val="left"/>
              <w:rPr/>
            </w:pPr>
            <w:r>
              <w:rPr/>
              <w:t>Signature (for individuals):</w:t>
            </w:r>
          </w:p>
        </w:tc>
      </w:tr>
      <w:tr>
        <w:trPr>
          <w:trHeight w:val="240" w:hRule="atLeast"/>
        </w:trPr>
        <w:tc>
          <w:tcPr>
            <w:tcW w:w="4889" w:type="dxa"/>
            <w:tcBorders/>
            <w:vAlign w:val="center"/>
          </w:tcPr>
          <w:p>
            <w:pPr>
              <w:pStyle w:val="TableContents"/>
              <w:bidi w:val="0"/>
              <w:spacing w:before="0" w:after="283"/>
              <w:jc w:val="left"/>
              <w:rPr>
                <w:sz w:val="4"/>
                <w:szCs w:val="4"/>
              </w:rPr>
            </w:pPr>
            <w:r>
              <w:rPr>
                <w:sz w:val="4"/>
                <w:szCs w:val="4"/>
              </w:rPr>
            </w:r>
          </w:p>
        </w:tc>
        <w:tc>
          <w:tcPr>
            <w:tcW w:w="5316" w:type="dxa"/>
            <w:gridSpan w:val="6"/>
            <w:tcBorders/>
            <w:vAlign w:val="center"/>
          </w:tcPr>
          <w:p>
            <w:pPr>
              <w:pStyle w:val="TableContents"/>
              <w:bidi w:val="0"/>
              <w:spacing w:before="0" w:after="283"/>
              <w:jc w:val="left"/>
              <w:rPr>
                <w:sz w:val="4"/>
                <w:szCs w:val="4"/>
              </w:rPr>
            </w:pPr>
            <w:r>
              <w:rPr>
                <w:sz w:val="4"/>
                <w:szCs w:val="4"/>
              </w:rPr>
            </w:r>
          </w:p>
        </w:tc>
      </w:tr>
      <w:tr>
        <w:trPr/>
        <w:tc>
          <w:tcPr>
            <w:tcW w:w="4889"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5186" w:type="dxa"/>
            <w:gridSpan w:val="5"/>
            <w:tcBorders/>
          </w:tcPr>
          <w:p>
            <w:pPr>
              <w:pStyle w:val="TableContents"/>
              <w:pBdr>
                <w:bottom w:val="single" w:sz="2" w:space="1" w:color="000000"/>
              </w:pBdr>
              <w:bidi w:val="0"/>
              <w:spacing w:before="0" w:after="20"/>
              <w:jc w:val="left"/>
              <w:rPr/>
            </w:pPr>
            <w:r>
              <w:rPr/>
              <w:t> </w:t>
            </w:r>
          </w:p>
        </w:tc>
      </w:tr>
      <w:tr>
        <w:trPr>
          <w:trHeight w:val="240" w:hRule="atLeast"/>
        </w:trPr>
        <w:tc>
          <w:tcPr>
            <w:tcW w:w="4889" w:type="dxa"/>
            <w:tcBorders/>
            <w:vAlign w:val="center"/>
          </w:tcPr>
          <w:p>
            <w:pPr>
              <w:pStyle w:val="TableContents"/>
              <w:bidi w:val="0"/>
              <w:spacing w:before="0" w:after="283"/>
              <w:jc w:val="left"/>
              <w:rPr>
                <w:sz w:val="4"/>
                <w:szCs w:val="4"/>
              </w:rPr>
            </w:pPr>
            <w:r>
              <w:rPr>
                <w:sz w:val="4"/>
                <w:szCs w:val="4"/>
              </w:rPr>
            </w:r>
          </w:p>
        </w:tc>
        <w:tc>
          <w:tcPr>
            <w:tcW w:w="5316" w:type="dxa"/>
            <w:gridSpan w:val="6"/>
            <w:tcBorders/>
            <w:vAlign w:val="center"/>
          </w:tcPr>
          <w:p>
            <w:pPr>
              <w:pStyle w:val="TableContents"/>
              <w:bidi w:val="0"/>
              <w:spacing w:before="0" w:after="283"/>
              <w:jc w:val="left"/>
              <w:rPr>
                <w:sz w:val="4"/>
                <w:szCs w:val="4"/>
              </w:rPr>
            </w:pPr>
            <w:r>
              <w:rPr>
                <w:sz w:val="4"/>
                <w:szCs w:val="4"/>
              </w:rPr>
            </w:r>
          </w:p>
        </w:tc>
      </w:tr>
      <w:tr>
        <w:trPr/>
        <w:tc>
          <w:tcPr>
            <w:tcW w:w="4889"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5186"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Signature (for entities):</w:t>
            </w:r>
          </w:p>
        </w:tc>
      </w:tr>
      <w:tr>
        <w:trPr>
          <w:trHeight w:val="240" w:hRule="atLeast"/>
        </w:trPr>
        <w:tc>
          <w:tcPr>
            <w:tcW w:w="4889" w:type="dxa"/>
            <w:tcBorders/>
            <w:vAlign w:val="center"/>
          </w:tcPr>
          <w:p>
            <w:pPr>
              <w:pStyle w:val="TableContents"/>
              <w:bidi w:val="0"/>
              <w:spacing w:before="0" w:after="283"/>
              <w:jc w:val="left"/>
              <w:rPr>
                <w:sz w:val="4"/>
                <w:szCs w:val="4"/>
              </w:rPr>
            </w:pPr>
            <w:r>
              <w:rPr>
                <w:sz w:val="4"/>
                <w:szCs w:val="4"/>
              </w:rPr>
            </w:r>
          </w:p>
        </w:tc>
        <w:tc>
          <w:tcPr>
            <w:tcW w:w="1044" w:type="dxa"/>
            <w:gridSpan w:val="2"/>
            <w:tcBorders/>
            <w:vAlign w:val="center"/>
          </w:tcPr>
          <w:p>
            <w:pPr>
              <w:pStyle w:val="TableContents"/>
              <w:bidi w:val="0"/>
              <w:spacing w:before="0" w:after="283"/>
              <w:jc w:val="left"/>
              <w:rPr>
                <w:sz w:val="4"/>
                <w:szCs w:val="4"/>
              </w:rPr>
            </w:pPr>
            <w:r>
              <w:rPr>
                <w:sz w:val="4"/>
                <w:szCs w:val="4"/>
              </w:rPr>
            </w:r>
          </w:p>
        </w:tc>
        <w:tc>
          <w:tcPr>
            <w:tcW w:w="4272" w:type="dxa"/>
            <w:gridSpan w:val="4"/>
            <w:tcBorders/>
            <w:vAlign w:val="center"/>
          </w:tcPr>
          <w:p>
            <w:pPr>
              <w:pStyle w:val="TableContents"/>
              <w:bidi w:val="0"/>
              <w:spacing w:before="0" w:after="283"/>
              <w:jc w:val="left"/>
              <w:rPr>
                <w:sz w:val="4"/>
                <w:szCs w:val="4"/>
              </w:rPr>
            </w:pPr>
            <w:r>
              <w:rPr>
                <w:sz w:val="4"/>
                <w:szCs w:val="4"/>
              </w:rPr>
            </w:r>
          </w:p>
        </w:tc>
      </w:tr>
      <w:tr>
        <w:trPr/>
        <w:tc>
          <w:tcPr>
            <w:tcW w:w="4889"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914" w:type="dxa"/>
            <w:tcBorders/>
          </w:tcPr>
          <w:p>
            <w:pPr>
              <w:pStyle w:val="TableContents"/>
              <w:bidi w:val="0"/>
              <w:spacing w:before="0" w:after="283"/>
              <w:jc w:val="left"/>
              <w:rPr/>
            </w:pPr>
            <w:r>
              <w:rPr/>
              <w:t>By:</w:t>
            </w:r>
          </w:p>
        </w:tc>
        <w:tc>
          <w:tcPr>
            <w:tcW w:w="75" w:type="dxa"/>
            <w:tcBorders>
              <w:bottom w:val="single" w:sz="2" w:space="0" w:color="000000"/>
            </w:tcBorders>
            <w:tcMar>
              <w:bottom w:w="28" w:type="dxa"/>
            </w:tcMar>
            <w:vAlign w:val="bottom"/>
          </w:tcPr>
          <w:p>
            <w:pPr>
              <w:pStyle w:val="TableContents"/>
              <w:bidi w:val="0"/>
              <w:spacing w:before="0" w:after="283"/>
              <w:jc w:val="left"/>
              <w:rPr/>
            </w:pPr>
            <w:r>
              <w:rPr/>
              <w:t> </w:t>
            </w:r>
          </w:p>
        </w:tc>
        <w:tc>
          <w:tcPr>
            <w:tcW w:w="4197" w:type="dxa"/>
            <w:gridSpan w:val="3"/>
            <w:tcBorders>
              <w:bottom w:val="single" w:sz="2" w:space="0" w:color="000000"/>
            </w:tcBorders>
            <w:tcMar>
              <w:bottom w:w="28" w:type="dxa"/>
            </w:tcMa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441"/>
        <w:gridCol w:w="124"/>
        <w:gridCol w:w="36"/>
        <w:gridCol w:w="95"/>
        <w:gridCol w:w="889"/>
        <w:gridCol w:w="140"/>
        <w:gridCol w:w="4480"/>
      </w:tblGrid>
      <w:tr>
        <w:trPr/>
        <w:tc>
          <w:tcPr>
            <w:tcW w:w="444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4480" w:type="dxa"/>
            <w:tcBorders/>
            <w:vAlign w:val="center"/>
          </w:tcPr>
          <w:p>
            <w:pPr>
              <w:pStyle w:val="TableContents"/>
              <w:bidi w:val="0"/>
              <w:spacing w:before="0" w:after="283"/>
              <w:jc w:val="left"/>
              <w:rPr>
                <w:sz w:val="4"/>
                <w:szCs w:val="4"/>
              </w:rPr>
            </w:pPr>
            <w:r>
              <w:rPr>
                <w:sz w:val="4"/>
                <w:szCs w:val="4"/>
              </w:rPr>
            </w:r>
          </w:p>
        </w:tc>
      </w:tr>
      <w:tr>
        <w:trPr/>
        <w:tc>
          <w:tcPr>
            <w:tcW w:w="4441"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6"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448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441"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6"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4480"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240" w:hRule="atLeast"/>
        </w:trPr>
        <w:tc>
          <w:tcPr>
            <w:tcW w:w="4441" w:type="dxa"/>
            <w:tcBorders/>
            <w:vAlign w:val="center"/>
          </w:tcPr>
          <w:p>
            <w:pPr>
              <w:pStyle w:val="TableContents"/>
              <w:bidi w:val="0"/>
              <w:spacing w:before="0" w:after="283"/>
              <w:jc w:val="left"/>
              <w:rPr>
                <w:sz w:val="4"/>
                <w:szCs w:val="4"/>
              </w:rPr>
            </w:pPr>
            <w:r>
              <w:rPr>
                <w:sz w:val="4"/>
                <w:szCs w:val="4"/>
              </w:rPr>
            </w:r>
          </w:p>
        </w:tc>
        <w:tc>
          <w:tcPr>
            <w:tcW w:w="5764" w:type="dxa"/>
            <w:gridSpan w:val="6"/>
            <w:tcBorders/>
            <w:vAlign w:val="center"/>
          </w:tcPr>
          <w:p>
            <w:pPr>
              <w:pStyle w:val="TableContents"/>
              <w:bidi w:val="0"/>
              <w:spacing w:before="0" w:after="283"/>
              <w:jc w:val="left"/>
              <w:rPr>
                <w:sz w:val="4"/>
                <w:szCs w:val="4"/>
              </w:rPr>
            </w:pPr>
            <w:r>
              <w:rPr>
                <w:sz w:val="4"/>
                <w:szCs w:val="4"/>
              </w:rPr>
            </w:r>
          </w:p>
        </w:tc>
      </w:tr>
      <w:tr>
        <w:trPr/>
        <w:tc>
          <w:tcPr>
            <w:tcW w:w="4441"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640"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Email Address: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 </w:t>
      </w:r>
    </w:p>
    <w:p>
      <w:pPr>
        <w:pStyle w:val="TextBody"/>
        <w:bidi w:val="0"/>
        <w:spacing w:before="120" w:after="0"/>
        <w:jc w:val="center"/>
        <w:rPr>
          <w:rFonts w:ascii="Times New Roman" w:hAnsi="Times New Roman"/>
          <w:b/>
          <w:sz w:val="20"/>
        </w:rPr>
      </w:pPr>
      <w:r>
        <w:rPr>
          <w:rFonts w:ascii="Times New Roman" w:hAnsi="Times New Roman"/>
          <w:b/>
          <w:sz w:val="20"/>
        </w:rPr>
        <w:t xml:space="preserve">Concurrent Financing Released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5"/>
        <w:gridCol w:w="122"/>
        <w:gridCol w:w="4918"/>
      </w:tblGrid>
      <w:tr>
        <w:trPr/>
        <w:tc>
          <w:tcPr>
            <w:tcW w:w="516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18" w:type="dxa"/>
            <w:tcBorders/>
            <w:vAlign w:val="center"/>
          </w:tcPr>
          <w:p>
            <w:pPr>
              <w:pStyle w:val="TableContents"/>
              <w:bidi w:val="0"/>
              <w:spacing w:before="0" w:after="283"/>
              <w:jc w:val="left"/>
              <w:rPr>
                <w:sz w:val="4"/>
                <w:szCs w:val="4"/>
              </w:rPr>
            </w:pPr>
            <w:r>
              <w:rPr>
                <w:sz w:val="4"/>
                <w:szCs w:val="4"/>
              </w:rPr>
            </w:r>
          </w:p>
        </w:tc>
      </w:tr>
      <w:tr>
        <w:trPr/>
        <w:tc>
          <w:tcPr>
            <w:tcW w:w="51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Investor</w:t>
            </w:r>
          </w:p>
        </w:tc>
        <w:tc>
          <w:tcPr>
            <w:tcW w:w="122" w:type="dxa"/>
            <w:tcBorders/>
            <w:vAlign w:val="bottom"/>
          </w:tcPr>
          <w:p>
            <w:pPr>
              <w:pStyle w:val="TableContents"/>
              <w:bidi w:val="0"/>
              <w:spacing w:before="0" w:after="283"/>
              <w:jc w:val="left"/>
              <w:rPr/>
            </w:pPr>
            <w:r>
              <w:rPr/>
              <w:t>  </w:t>
            </w:r>
          </w:p>
        </w:tc>
        <w:tc>
          <w:tcPr>
            <w:tcW w:w="491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Concurrent Financing Released Shares</w:t>
            </w:r>
          </w:p>
        </w:tc>
      </w:tr>
    </w:tbl>
    <w:p>
      <w:pPr>
        <w:pStyle w:val="TextBody"/>
        <w:bidi w:val="0"/>
        <w:spacing w:before="0" w:after="0"/>
        <w:jc w:val="right"/>
        <w:rPr>
          <w:rFonts w:ascii="Times New Roman" w:hAnsi="Times New Roman"/>
          <w:b/>
          <w:sz w:val="20"/>
        </w:rPr>
      </w:pPr>
      <w:bookmarkStart w:id="10" w:name="d91010dex104.htm"/>
      <w:bookmarkStart w:id="11" w:name="ksd91010dex104"/>
      <w:bookmarkEnd w:id="10"/>
      <w:bookmarkEnd w:id="11"/>
      <w:r>
        <w:rPr>
          <w:rFonts w:ascii="Times New Roman" w:hAnsi="Times New Roman"/>
          <w:b/>
          <w:sz w:val="20"/>
        </w:rPr>
        <w:t xml:space="preserve">Exhibit 10.4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FORM OF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SECURITIES PURCHASE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dated as of July 28, 2026, by and among Caldera Therapeutics, Inc., a Delaware corporation (the “</w:t>
      </w:r>
      <w:r>
        <w:rPr>
          <w:rFonts w:ascii="Times New Roman" w:hAnsi="Times New Roman"/>
          <w:b/>
          <w:sz w:val="20"/>
        </w:rPr>
        <w:t>Company</w:t>
      </w:r>
      <w:r>
        <w:rPr>
          <w:rFonts w:ascii="Times New Roman" w:hAnsi="Times New Roman"/>
          <w:sz w:val="20"/>
        </w:rPr>
        <w:t xml:space="preserve">”), and each of the Persons listed on </w:t>
      </w:r>
      <w:r>
        <w:rPr>
          <w:rFonts w:ascii="Times New Roman" w:hAnsi="Times New Roman"/>
          <w:sz w:val="20"/>
          <w:u w:val="single"/>
        </w:rPr>
        <w:t>Exhibit A</w:t>
      </w:r>
      <w:r>
        <w:rPr>
          <w:rFonts w:ascii="Times New Roman" w:hAnsi="Times New Roman"/>
          <w:sz w:val="20"/>
        </w:rPr>
        <w:t xml:space="preserve"> attached to this Agreement (each, an “</w:t>
      </w:r>
      <w:r>
        <w:rPr>
          <w:rFonts w:ascii="Times New Roman" w:hAnsi="Times New Roman"/>
          <w:b/>
          <w:sz w:val="20"/>
        </w:rPr>
        <w:t>Investor</w:t>
      </w:r>
      <w:r>
        <w:rPr>
          <w:rFonts w:ascii="Times New Roman" w:hAnsi="Times New Roman"/>
          <w:sz w:val="20"/>
        </w:rPr>
        <w:t>” and together, the “</w:t>
      </w:r>
      <w:r>
        <w:rPr>
          <w:rFonts w:ascii="Times New Roman" w:hAnsi="Times New Roman"/>
          <w:b/>
          <w:sz w:val="20"/>
        </w:rPr>
        <w:t>Investors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and the Investors are executing and delivering this Agreement in reliance upon the exemption from securities registration afforded by Section 4(a)(2) of the U.S. Securities Act of 1933, as amended (the “</w:t>
      </w:r>
      <w:r>
        <w:rPr>
          <w:rFonts w:ascii="Times New Roman" w:hAnsi="Times New Roman"/>
          <w:b/>
          <w:sz w:val="20"/>
        </w:rPr>
        <w:t>Securities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each Investor, severally and not jointly, wishes to purchase, and the Company wishes to issue and sell, upon the terms and conditions stated in this Agreement, an aggregate of approximately $278,000,000 worth of shares (the “</w:t>
      </w:r>
      <w:r>
        <w:rPr>
          <w:rFonts w:ascii="Times New Roman" w:hAnsi="Times New Roman"/>
          <w:b/>
          <w:sz w:val="20"/>
        </w:rPr>
        <w:t>Shares</w:t>
      </w:r>
      <w:r>
        <w:rPr>
          <w:rFonts w:ascii="Times New Roman" w:hAnsi="Times New Roman"/>
          <w:sz w:val="20"/>
        </w:rPr>
        <w:t>”) of the Company’s common stock, par value $0.00001 per share (the “</w:t>
      </w:r>
      <w:r>
        <w:rPr>
          <w:rFonts w:ascii="Times New Roman" w:hAnsi="Times New Roman"/>
          <w:b/>
          <w:sz w:val="20"/>
        </w:rPr>
        <w:t>Common Stock</w:t>
      </w:r>
      <w:r>
        <w:rPr>
          <w:rFonts w:ascii="Times New Roman" w:hAnsi="Times New Roman"/>
          <w:sz w:val="20"/>
        </w:rPr>
        <w:t xml:space="preserve">”), at a per share purchase price equal to the Share Price (as defined below);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contemporaneously with the sale of the Shares, the Company and the Investors will execute and deliver a Registration Rights Agreement,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Registration Rights Agreement</w:t>
      </w:r>
      <w:r>
        <w:rPr>
          <w:rFonts w:ascii="Times New Roman" w:hAnsi="Times New Roman"/>
          <w:sz w:val="20"/>
        </w:rPr>
        <w:t xml:space="preserve">”), pursuant to which the Company will agree to provide certain registration rights with respect to the Exchange Shares (as defined in the Registration Rights Agreement) under the Securities Act and applicable state securities laws;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is party to that certain Agreement and Plan of Merger by and among the Company, Synlogic, Inc., a Delaware corporation (“</w:t>
      </w:r>
      <w:r>
        <w:rPr>
          <w:rFonts w:ascii="Times New Roman" w:hAnsi="Times New Roman"/>
          <w:b/>
          <w:sz w:val="20"/>
        </w:rPr>
        <w:t>Synlogic</w:t>
      </w:r>
      <w:r>
        <w:rPr>
          <w:rFonts w:ascii="Times New Roman" w:hAnsi="Times New Roman"/>
          <w:sz w:val="20"/>
        </w:rPr>
        <w:t>”), Sonic Holdco, Inc., a Delaware corporation (“</w:t>
      </w:r>
      <w:r>
        <w:rPr>
          <w:rFonts w:ascii="Times New Roman" w:hAnsi="Times New Roman"/>
          <w:b/>
          <w:sz w:val="20"/>
        </w:rPr>
        <w:t>Parent</w:t>
      </w:r>
      <w:r>
        <w:rPr>
          <w:rFonts w:ascii="Times New Roman" w:hAnsi="Times New Roman"/>
          <w:sz w:val="20"/>
        </w:rPr>
        <w:t xml:space="preserve">”), Yellowstone Merger Sub, Inc., a Delaware corporation and a direct, wholly owned subsidiary of Parent </w:t>
      </w:r>
      <w:r>
        <w:rPr>
          <w:rFonts w:ascii="Times New Roman" w:hAnsi="Times New Roman"/>
          <w:b/>
          <w:sz w:val="20"/>
        </w:rPr>
        <w:t>(</w:t>
      </w:r>
      <w:r>
        <w:rPr>
          <w:rFonts w:ascii="Times New Roman" w:hAnsi="Times New Roman"/>
          <w:sz w:val="20"/>
        </w:rPr>
        <w:t>“</w:t>
      </w:r>
      <w:r>
        <w:rPr>
          <w:rFonts w:ascii="Times New Roman" w:hAnsi="Times New Roman"/>
          <w:b/>
          <w:sz w:val="20"/>
        </w:rPr>
        <w:t>Caldera</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and Sonic Merger Sub, Inc., a Delaware corporation and a direct, wholly owned subsidiary of Parent (“</w:t>
      </w:r>
      <w:r>
        <w:rPr>
          <w:rFonts w:ascii="Times New Roman" w:hAnsi="Times New Roman"/>
          <w:b/>
          <w:sz w:val="20"/>
        </w:rPr>
        <w:t>Synlogic Merger Sub</w:t>
      </w:r>
      <w:r>
        <w:rPr>
          <w:rFonts w:ascii="Times New Roman" w:hAnsi="Times New Roman"/>
          <w:sz w:val="20"/>
        </w:rPr>
        <w:t xml:space="preserve">”), dated July 28, 2026 (as amended from time to time in accordance with the terms thereof and </w:t>
      </w:r>
      <w:r>
        <w:rPr>
          <w:rFonts w:ascii="Times New Roman" w:hAnsi="Times New Roman"/>
          <w:sz w:val="20"/>
          <w:u w:val="single"/>
        </w:rPr>
        <w:t>Section 5.13</w:t>
      </w:r>
      <w:r>
        <w:rPr>
          <w:rFonts w:ascii="Times New Roman" w:hAnsi="Times New Roman"/>
          <w:sz w:val="20"/>
        </w:rPr>
        <w:t xml:space="preserve"> hereof, and as supplemented by any disclosure schedules or letters thereto, the “</w:t>
      </w:r>
      <w:r>
        <w:rPr>
          <w:rFonts w:ascii="Times New Roman" w:hAnsi="Times New Roman"/>
          <w:b/>
          <w:sz w:val="20"/>
        </w:rPr>
        <w:t>Merger Agreement</w:t>
      </w:r>
      <w:r>
        <w:rPr>
          <w:rFonts w:ascii="Times New Roman" w:hAnsi="Times New Roman"/>
          <w:sz w:val="20"/>
        </w:rPr>
        <w:t>”), pursuant to which, and upon the terms and subject to the conditions set forth therein, (i) Company and Parent will effect a merger of Caldera Merger Sub with and into the Company (the “</w:t>
      </w:r>
      <w:r>
        <w:rPr>
          <w:rFonts w:ascii="Times New Roman" w:hAnsi="Times New Roman"/>
          <w:b/>
          <w:sz w:val="20"/>
        </w:rPr>
        <w:t>Caldera Merger</w:t>
      </w:r>
      <w:r>
        <w:rPr>
          <w:rFonts w:ascii="Times New Roman" w:hAnsi="Times New Roman"/>
          <w:sz w:val="20"/>
        </w:rPr>
        <w:t>”) and upon consummation of the Caldera Merger, Caldera Merger Sub will cease to exist, and the Company will become a direct wholly owned Subsidiary of Parent; (ii) Synlogic and Parent will effect a merger of Synlogic Merger Sub with and into Synlogic (the “</w:t>
      </w:r>
      <w:r>
        <w:rPr>
          <w:rFonts w:ascii="Times New Roman" w:hAnsi="Times New Roman"/>
          <w:b/>
          <w:sz w:val="20"/>
        </w:rPr>
        <w:t>Synlogic Merger</w:t>
      </w:r>
      <w:r>
        <w:rPr>
          <w:rFonts w:ascii="Times New Roman" w:hAnsi="Times New Roman"/>
          <w:sz w:val="20"/>
        </w:rPr>
        <w:t>” and together with the Caldera Merger, the “</w:t>
      </w:r>
      <w:r>
        <w:rPr>
          <w:rFonts w:ascii="Times New Roman" w:hAnsi="Times New Roman"/>
          <w:b/>
          <w:sz w:val="20"/>
        </w:rPr>
        <w:t>Mergers</w:t>
      </w:r>
      <w:r>
        <w:rPr>
          <w:rFonts w:ascii="Times New Roman" w:hAnsi="Times New Roman"/>
          <w:sz w:val="20"/>
        </w:rPr>
        <w:t xml:space="preserve">”) as soon as reasonably practicable following the Caldera Effective Time (as defined in the Merger Agreement), with Parent acting as the parent company for the combined businesses from and after the Synlogic Effective Time (as defined in the Merger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upon consummation of the Mergers and pursuant to the terms and conditions in the Merger Agreement, the Shares shall be exchanged for Exchange Shares on the Closing Date pursuant to the Merger Registration Statement (as defined in the Merger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agreements, representations, warranties and covenants herein contained, the Company and each Investor, severally and not jointly,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As used in this Agreement, the following terms shall have the following respective meanings: </w:t>
      </w:r>
    </w:p>
    <w:p>
      <w:pPr>
        <w:pStyle w:val="TextBody"/>
        <w:bidi w:val="0"/>
        <w:spacing w:before="12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such Person. </w:t>
      </w:r>
    </w:p>
    <w:p>
      <w:pPr>
        <w:pStyle w:val="TextBody"/>
        <w:bidi w:val="0"/>
        <w:spacing w:before="240" w:after="0"/>
        <w:jc w:val="left"/>
        <w:rPr/>
      </w:pPr>
      <w:r>
        <w:rPr/>
        <w:t>“</w:t>
      </w:r>
      <w:r>
        <w:rPr>
          <w:rFonts w:ascii="Times New Roman" w:hAnsi="Times New Roman"/>
          <w:b/>
          <w:sz w:val="20"/>
        </w:rPr>
        <w:t>Aggregate Purchase Amount</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Benefit Plan</w:t>
      </w:r>
      <w:r>
        <w:rPr>
          <w:rFonts w:ascii="Times New Roman" w:hAnsi="Times New Roman"/>
          <w:sz w:val="20"/>
        </w:rPr>
        <w:t>” or “</w:t>
      </w:r>
      <w:r>
        <w:rPr>
          <w:rFonts w:ascii="Times New Roman" w:hAnsi="Times New Roman"/>
          <w:b/>
          <w:sz w:val="20"/>
        </w:rPr>
        <w:t>Benefit Plans</w:t>
      </w:r>
      <w:r>
        <w:rPr>
          <w:rFonts w:ascii="Times New Roman" w:hAnsi="Times New Roman"/>
          <w:sz w:val="20"/>
        </w:rPr>
        <w:t xml:space="preserve">”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sz w:val="20"/>
        </w:rPr>
        <w:t>Bylaws</w:t>
      </w:r>
      <w:r>
        <w:rPr>
          <w:rFonts w:ascii="Times New Roman" w:hAnsi="Times New Roman"/>
          <w:sz w:val="20"/>
        </w:rPr>
        <w:t xml:space="preserve">” means the Amended and Restated Bylaws of the Company, as currently in effect and as in effect on the Closing Date. </w:t>
      </w:r>
    </w:p>
    <w:p>
      <w:pPr>
        <w:pStyle w:val="TextBody"/>
        <w:bidi w:val="0"/>
        <w:spacing w:before="240" w:after="0"/>
        <w:jc w:val="left"/>
        <w:rPr/>
      </w:pPr>
      <w:r>
        <w:rPr/>
        <w:t>“</w:t>
      </w:r>
      <w:r>
        <w:rPr>
          <w:rFonts w:ascii="Times New Roman" w:hAnsi="Times New Roman"/>
          <w:b/>
          <w:sz w:val="20"/>
        </w:rPr>
        <w:t xml:space="preserve">Caldera Merger Sub” </w:t>
      </w:r>
      <w:r>
        <w:rPr>
          <w:rFonts w:ascii="Times New Roman" w:hAnsi="Times New Roman"/>
          <w:sz w:val="20"/>
        </w:rPr>
        <w:t xml:space="preserve">has the meaning set forth in the recitals hereof. </w:t>
      </w:r>
    </w:p>
    <w:p>
      <w:pPr>
        <w:pStyle w:val="TextBody"/>
        <w:bidi w:val="0"/>
        <w:spacing w:before="240" w:after="0"/>
        <w:jc w:val="left"/>
        <w:rPr/>
      </w:pPr>
      <w:r>
        <w:rPr/>
        <w:t>“</w:t>
      </w:r>
      <w:r>
        <w:rPr>
          <w:rFonts w:ascii="Times New Roman" w:hAnsi="Times New Roman"/>
          <w:b/>
          <w:sz w:val="20"/>
        </w:rPr>
        <w:t>Certificate of Incorporation</w:t>
      </w:r>
      <w:r>
        <w:rPr>
          <w:rFonts w:ascii="Times New Roman" w:hAnsi="Times New Roman"/>
          <w:sz w:val="20"/>
        </w:rPr>
        <w:t xml:space="preserve">” means the Restated Certificate of Incorporation of the Company, as amended, as currently in effect and as in effect on the Closing Date.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has the meaning set forth in </w:t>
      </w:r>
      <w:r>
        <w:rPr>
          <w:rFonts w:ascii="Times New Roman" w:hAnsi="Times New Roman"/>
          <w:sz w:val="20"/>
          <w:u w:val="single"/>
        </w:rPr>
        <w:t>Section 2.2(a)</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has the meaning set forth in </w:t>
      </w:r>
      <w:r>
        <w:rPr>
          <w:rFonts w:ascii="Times New Roman" w:hAnsi="Times New Roman"/>
          <w:sz w:val="20"/>
          <w:u w:val="single"/>
        </w:rPr>
        <w:t>Section 2.2(a)</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U.S. Internal Revenue Code of 1986, as amended.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means the common stock, par value $0.00001 per share, of the Company. </w:t>
      </w:r>
    </w:p>
    <w:p>
      <w:pPr>
        <w:pStyle w:val="TextBody"/>
        <w:bidi w:val="0"/>
        <w:spacing w:before="240" w:after="0"/>
        <w:jc w:val="left"/>
        <w:rPr/>
      </w:pPr>
      <w:r>
        <w:rPr/>
        <w:t>“</w:t>
      </w:r>
      <w:r>
        <w:rPr>
          <w:rFonts w:ascii="Times New Roman" w:hAnsi="Times New Roman"/>
          <w:b/>
          <w:sz w:val="20"/>
        </w:rPr>
        <w:t>Common Stock Equivalents</w:t>
      </w:r>
      <w:r>
        <w:rPr>
          <w:rFonts w:ascii="Times New Roman" w:hAnsi="Times New Roman"/>
          <w:sz w:val="20"/>
        </w:rPr>
        <w:t xml:space="preserve">” means any securities of the Company that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Company</w:t>
      </w:r>
      <w:r>
        <w:rPr>
          <w:rFonts w:ascii="Times New Roman" w:hAnsi="Times New Roman"/>
          <w:sz w:val="20"/>
        </w:rPr>
        <w:t xml:space="preserve">” means the Company for all periods prior to the occurrence of each of the Caldera Effective Time and the Synlogic Effective Time (each, as defined in the Merger Agreement) and Parent for all periods following the occurrence of each of the Caldera Effective Time and the Synlogic Effective Time. </w:t>
      </w:r>
    </w:p>
    <w:p>
      <w:pPr>
        <w:pStyle w:val="TextBody"/>
        <w:bidi w:val="0"/>
        <w:spacing w:before="240" w:after="0"/>
        <w:jc w:val="left"/>
        <w:rPr/>
      </w:pPr>
      <w:r>
        <w:rPr/>
        <w:t>“</w:t>
      </w:r>
      <w:r>
        <w:rPr>
          <w:rFonts w:ascii="Times New Roman" w:hAnsi="Times New Roman"/>
          <w:b/>
          <w:sz w:val="20"/>
        </w:rPr>
        <w:t>Confidential Data</w:t>
      </w:r>
      <w:r>
        <w:rPr>
          <w:rFonts w:ascii="Times New Roman" w:hAnsi="Times New Roman"/>
          <w:sz w:val="20"/>
        </w:rPr>
        <w:t xml:space="preserve">” has the meaning set forth in </w:t>
      </w:r>
      <w:r>
        <w:rPr>
          <w:rFonts w:ascii="Times New Roman" w:hAnsi="Times New Roman"/>
          <w:sz w:val="20"/>
          <w:u w:val="single"/>
        </w:rPr>
        <w:t>Section 3.30</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DGCL</w:t>
      </w:r>
      <w:r>
        <w:rPr>
          <w:rFonts w:ascii="Times New Roman" w:hAnsi="Times New Roman"/>
          <w:sz w:val="20"/>
        </w:rPr>
        <w:t xml:space="preserve">” means the Delaware General Corporation Law, as amended or superseded from time to time. </w:t>
      </w:r>
    </w:p>
    <w:p>
      <w:pPr>
        <w:pStyle w:val="TextBody"/>
        <w:bidi w:val="0"/>
        <w:spacing w:before="240" w:after="0"/>
        <w:jc w:val="left"/>
        <w:rPr/>
      </w:pPr>
      <w:r>
        <w:rPr/>
        <w:t>“</w:t>
      </w:r>
      <w:r>
        <w:rPr>
          <w:rFonts w:ascii="Times New Roman" w:hAnsi="Times New Roman"/>
          <w:b/>
          <w:sz w:val="20"/>
        </w:rPr>
        <w:t>Disclosure Document</w:t>
      </w:r>
      <w:r>
        <w:rPr>
          <w:rFonts w:ascii="Times New Roman" w:hAnsi="Times New Roman"/>
          <w:sz w:val="20"/>
        </w:rPr>
        <w:t xml:space="preserve">” has the meaning set forth in </w:t>
      </w:r>
      <w:r>
        <w:rPr>
          <w:rFonts w:ascii="Times New Roman" w:hAnsi="Times New Roman"/>
          <w:sz w:val="20"/>
          <w:u w:val="single"/>
        </w:rPr>
        <w:t>Section 5.3(a)</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Disclosure Time</w:t>
      </w:r>
      <w:r>
        <w:rPr>
          <w:rFonts w:ascii="Times New Roman" w:hAnsi="Times New Roman"/>
          <w:sz w:val="20"/>
        </w:rPr>
        <w:t xml:space="preserve">” has the meaning set forth in </w:t>
      </w:r>
      <w:r>
        <w:rPr>
          <w:rFonts w:ascii="Times New Roman" w:hAnsi="Times New Roman"/>
          <w:sz w:val="20"/>
          <w:u w:val="single"/>
        </w:rPr>
        <w:t>Section 5.3(a)</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Drug Regulatory Agency</w:t>
      </w:r>
      <w:r>
        <w:rPr>
          <w:rFonts w:ascii="Times New Roman" w:hAnsi="Times New Roman"/>
          <w:sz w:val="20"/>
        </w:rPr>
        <w:t>” means the U.S. Food and Drug Administration (“</w:t>
      </w:r>
      <w:r>
        <w:rPr>
          <w:rFonts w:ascii="Times New Roman" w:hAnsi="Times New Roman"/>
          <w:b/>
          <w:sz w:val="20"/>
        </w:rPr>
        <w:t>FDA</w:t>
      </w:r>
      <w:r>
        <w:rPr>
          <w:rFonts w:ascii="Times New Roman" w:hAnsi="Times New Roman"/>
          <w:sz w:val="20"/>
        </w:rPr>
        <w:t xml:space="preserve">”)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has the meaning set forth in </w:t>
      </w:r>
      <w:r>
        <w:rPr>
          <w:rFonts w:ascii="Times New Roman" w:hAnsi="Times New Roman"/>
          <w:sz w:val="20"/>
          <w:u w:val="single"/>
        </w:rPr>
        <w:t>Section 3.15</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U.S. Employee Retirement Income Security Act of 1974, as amended.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Financial Statements</w:t>
      </w:r>
      <w:r>
        <w:rPr>
          <w:rFonts w:ascii="Times New Roman" w:hAnsi="Times New Roman"/>
          <w:sz w:val="20"/>
        </w:rPr>
        <w:t xml:space="preserve">” has the meaning set forth in </w:t>
      </w:r>
      <w:r>
        <w:rPr>
          <w:rFonts w:ascii="Times New Roman" w:hAnsi="Times New Roman"/>
          <w:sz w:val="20"/>
          <w:u w:val="single"/>
        </w:rPr>
        <w:t>Section 3.8(a)</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Fundamental Representations</w:t>
      </w:r>
      <w:r>
        <w:rPr>
          <w:rFonts w:ascii="Times New Roman" w:hAnsi="Times New Roman"/>
          <w:sz w:val="20"/>
        </w:rPr>
        <w:t xml:space="preserve">” means the representations and warranties made by the Company in Sections 3.1 (Organization and Power), 3.2 (Capitalization), 3.4 (Authorization), 3.5 (Valid Issuance), 3.6 (No Conflict), 3.7 (Consents), 3.8 (Financial Statements), 3.24 (Investment Company Act), 3.25 (General Solicitation; No Integration or Aggregation), 3.26 (Brokers and Finders), 3.27 (Reliance by the Investors) and 3.28 (No Additional Agreements). </w:t>
      </w:r>
    </w:p>
    <w:p>
      <w:pPr>
        <w:pStyle w:val="TextBody"/>
        <w:bidi w:val="0"/>
        <w:spacing w:before="240" w:after="0"/>
        <w:jc w:val="left"/>
        <w:rPr/>
      </w:pPr>
      <w:r>
        <w:rPr/>
        <w:t>“</w:t>
      </w:r>
      <w:r>
        <w:rPr>
          <w:rFonts w:ascii="Times New Roman" w:hAnsi="Times New Roman"/>
          <w:b/>
          <w:sz w:val="20"/>
        </w:rPr>
        <w:t>Funding Notice</w:t>
      </w:r>
      <w:r>
        <w:rPr>
          <w:rFonts w:ascii="Times New Roman" w:hAnsi="Times New Roman"/>
          <w:sz w:val="20"/>
        </w:rPr>
        <w:t xml:space="preserve">” has the meaning set forth in </w:t>
      </w:r>
      <w:r>
        <w:rPr>
          <w:rFonts w:ascii="Times New Roman" w:hAnsi="Times New Roman"/>
          <w:sz w:val="20"/>
          <w:u w:val="single"/>
        </w:rPr>
        <w:t>Section 2.2(a)</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has the meaning set forth in </w:t>
      </w:r>
      <w:r>
        <w:rPr>
          <w:rFonts w:ascii="Times New Roman" w:hAnsi="Times New Roman"/>
          <w:sz w:val="20"/>
          <w:u w:val="single"/>
        </w:rPr>
        <w:t>Section 3.8(a)</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GDPR</w:t>
      </w:r>
      <w:r>
        <w:rPr>
          <w:rFonts w:ascii="Times New Roman" w:hAnsi="Times New Roman"/>
          <w:sz w:val="20"/>
        </w:rPr>
        <w:t xml:space="preserve">” has the meaning set forth in </w:t>
      </w:r>
      <w:r>
        <w:rPr>
          <w:rFonts w:ascii="Times New Roman" w:hAnsi="Times New Roman"/>
          <w:sz w:val="20"/>
          <w:u w:val="single"/>
        </w:rPr>
        <w:t>Section 3.31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Governmental Authorizations</w:t>
      </w:r>
      <w:r>
        <w:rPr>
          <w:rFonts w:ascii="Times New Roman" w:hAnsi="Times New Roman"/>
          <w:sz w:val="20"/>
        </w:rPr>
        <w:t xml:space="preserve">” has the meaning set forth in </w:t>
      </w:r>
      <w:r>
        <w:rPr>
          <w:rFonts w:ascii="Times New Roman" w:hAnsi="Times New Roman"/>
          <w:sz w:val="20"/>
          <w:u w:val="single"/>
        </w:rPr>
        <w:t>Section 3.11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Health Care Laws</w:t>
      </w:r>
      <w:r>
        <w:rPr>
          <w:rFonts w:ascii="Times New Roman" w:hAnsi="Times New Roman"/>
          <w:sz w:val="20"/>
        </w:rPr>
        <w:t xml:space="preserve">” has the meaning set forth in </w:t>
      </w:r>
      <w:r>
        <w:rPr>
          <w:rFonts w:ascii="Times New Roman" w:hAnsi="Times New Roman"/>
          <w:sz w:val="20"/>
          <w:u w:val="single"/>
        </w:rPr>
        <w:t>Section 3.21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HIPAA</w:t>
      </w:r>
      <w:r>
        <w:rPr>
          <w:rFonts w:ascii="Times New Roman" w:hAnsi="Times New Roman"/>
          <w:sz w:val="20"/>
        </w:rPr>
        <w:t xml:space="preserve">” has the meaning set forth in </w:t>
      </w:r>
      <w:r>
        <w:rPr>
          <w:rFonts w:ascii="Times New Roman" w:hAnsi="Times New Roman"/>
          <w:sz w:val="20"/>
          <w:u w:val="single"/>
        </w:rPr>
        <w:t>Section 3.21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Indemnified Persons</w:t>
      </w:r>
      <w:r>
        <w:rPr>
          <w:rFonts w:ascii="Times New Roman" w:hAnsi="Times New Roman"/>
          <w:sz w:val="20"/>
        </w:rPr>
        <w:t xml:space="preserve">” has the meaning set forth in </w:t>
      </w:r>
      <w:r>
        <w:rPr>
          <w:rFonts w:ascii="Times New Roman" w:hAnsi="Times New Roman"/>
          <w:sz w:val="20"/>
          <w:u w:val="single"/>
        </w:rPr>
        <w:t>Section 5.10(a)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Insolvent</w:t>
      </w:r>
      <w:r>
        <w:rPr>
          <w:rFonts w:ascii="Times New Roman" w:hAnsi="Times New Roman"/>
          <w:sz w:val="20"/>
        </w:rPr>
        <w:t xml:space="preserve">” means, with respect to any Person, (i) the present fair saleable value of such Person’s assets is less than the amount required to pay such Person’s total indebtedness, (ii) such Person is unable to pay its debts and liabilities, subordinated, contingent or otherwise, as such debts and liabilities become absolute and matured, (iii) such Person intends to incur or believes that it will incur debts that would be beyond its ability to pay as such debts mature or (iv) such Person has unreasonably small capital with which to conduct the business in which it is engaged as such business is now conducted and is proposed to be conducted.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xml:space="preserve">” has the meaning set forth in </w:t>
      </w:r>
      <w:r>
        <w:rPr>
          <w:rFonts w:ascii="Times New Roman" w:hAnsi="Times New Roman"/>
          <w:sz w:val="20"/>
          <w:u w:val="single"/>
        </w:rPr>
        <w:t>Section 3.12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Investor</w:t>
      </w:r>
      <w:r>
        <w:rPr>
          <w:rFonts w:ascii="Times New Roman" w:hAnsi="Times New Roman"/>
          <w:sz w:val="20"/>
        </w:rPr>
        <w:t>” and “</w:t>
      </w:r>
      <w:r>
        <w:rPr>
          <w:rFonts w:ascii="Times New Roman" w:hAnsi="Times New Roman"/>
          <w:b/>
          <w:sz w:val="20"/>
        </w:rPr>
        <w:t>Investors</w:t>
      </w:r>
      <w:r>
        <w:rPr>
          <w:rFonts w:ascii="Times New Roman" w:hAnsi="Times New Roman"/>
          <w:sz w:val="20"/>
        </w:rPr>
        <w:t xml:space="preserve">” have the meanings set forth in the recitals hereof. </w:t>
      </w:r>
    </w:p>
    <w:p>
      <w:pPr>
        <w:pStyle w:val="TextBody"/>
        <w:bidi w:val="0"/>
        <w:spacing w:before="240" w:after="0"/>
        <w:jc w:val="left"/>
        <w:rPr/>
      </w:pPr>
      <w:r>
        <w:rPr/>
        <w:t>“</w:t>
      </w:r>
      <w:r>
        <w:rPr>
          <w:rFonts w:ascii="Times New Roman" w:hAnsi="Times New Roman"/>
          <w:b/>
          <w:sz w:val="20"/>
        </w:rPr>
        <w:t>IT Systems</w:t>
      </w:r>
      <w:r>
        <w:rPr>
          <w:rFonts w:ascii="Times New Roman" w:hAnsi="Times New Roman"/>
          <w:sz w:val="20"/>
        </w:rPr>
        <w:t xml:space="preserve">” has the meaning set forth in </w:t>
      </w:r>
      <w:r>
        <w:rPr>
          <w:rFonts w:ascii="Times New Roman" w:hAnsi="Times New Roman"/>
          <w:sz w:val="20"/>
          <w:u w:val="single"/>
        </w:rPr>
        <w:t>Section 3.30</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any change, event, circumstance, development, condition, occurrence or effect that, individually or in the aggregate, (a) was, is, or would reasonably be expected to be, materially adverse to the business, condition (financial or otherwise), properties, assets, liabilities, stockholders’ equity or results of operations of the Company and its Subsidiaries, taken as a whole, or (b) materially delays or materially impairs the ability of the Company to timely comply, or prevents the Company from timely complying, with its obligations under this Agreement, the other Transaction Agreements, the Merger Agreement or with respect to the Closing, or would reasonably be expected to do so. </w:t>
      </w:r>
    </w:p>
    <w:p>
      <w:pPr>
        <w:pStyle w:val="TextBody"/>
        <w:bidi w:val="0"/>
        <w:spacing w:before="240" w:after="0"/>
        <w:jc w:val="left"/>
        <w:rPr/>
      </w:pPr>
      <w:r>
        <w:rPr/>
        <w:t>“</w:t>
      </w:r>
      <w:r>
        <w:rPr>
          <w:rFonts w:ascii="Times New Roman" w:hAnsi="Times New Roman"/>
          <w:b/>
          <w:sz w:val="20"/>
        </w:rPr>
        <w:t>Majority in Interest of the Investors</w:t>
      </w:r>
      <w:r>
        <w:rPr>
          <w:rFonts w:ascii="Times New Roman" w:hAnsi="Times New Roman"/>
          <w:sz w:val="20"/>
        </w:rPr>
        <w:t xml:space="preserve">” means Investors who committed to purchase at least a majority of the Shares, which majority shall include any Investor who, together with any affiliated or related funds or commonly managed funds, has committed to purchase at least $30.0 million of the Shares. </w:t>
      </w:r>
    </w:p>
    <w:p>
      <w:pPr>
        <w:pStyle w:val="TextBody"/>
        <w:bidi w:val="0"/>
        <w:spacing w:before="240" w:after="0"/>
        <w:jc w:val="left"/>
        <w:rPr/>
      </w:pPr>
      <w:r>
        <w:rPr/>
        <w:t>“</w:t>
      </w:r>
      <w:r>
        <w:rPr>
          <w:rFonts w:ascii="Times New Roman" w:hAnsi="Times New Roman"/>
          <w:b/>
          <w:sz w:val="20"/>
        </w:rPr>
        <w:t>Mergers</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Merger Agreement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Merger Registration Statement</w:t>
      </w:r>
      <w:r>
        <w:rPr>
          <w:rFonts w:ascii="Times New Roman" w:hAnsi="Times New Roman"/>
          <w:sz w:val="20"/>
        </w:rPr>
        <w:t xml:space="preserve">” means registration statement on Form S-4 registering Parent Common Stock (as defined in the Merger Agreement) pursuant to the terms of the Merger Agreement.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LLC. </w:t>
      </w:r>
    </w:p>
    <w:p>
      <w:pPr>
        <w:pStyle w:val="TextBody"/>
        <w:bidi w:val="0"/>
        <w:spacing w:before="240" w:after="0"/>
        <w:jc w:val="left"/>
        <w:rPr/>
      </w:pPr>
      <w:r>
        <w:rPr/>
        <w:t>“</w:t>
      </w:r>
      <w:r>
        <w:rPr>
          <w:rFonts w:ascii="Times New Roman" w:hAnsi="Times New Roman"/>
          <w:b/>
          <w:sz w:val="20"/>
        </w:rPr>
        <w:t>National Exchange</w:t>
      </w:r>
      <w:r>
        <w:rPr>
          <w:rFonts w:ascii="Times New Roman" w:hAnsi="Times New Roman"/>
          <w:sz w:val="20"/>
        </w:rPr>
        <w:t xml:space="preserve">” means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 </w:t>
      </w:r>
    </w:p>
    <w:p>
      <w:pPr>
        <w:pStyle w:val="TextBody"/>
        <w:bidi w:val="0"/>
        <w:spacing w:before="240" w:after="0"/>
        <w:jc w:val="left"/>
        <w:rPr/>
      </w:pPr>
      <w:r>
        <w:rPr/>
        <w:t>“</w:t>
      </w:r>
      <w:r>
        <w:rPr>
          <w:rFonts w:ascii="Times New Roman" w:hAnsi="Times New Roman"/>
          <w:b/>
          <w:sz w:val="20"/>
        </w:rPr>
        <w:t>Parent</w:t>
      </w:r>
      <w:r>
        <w:rPr>
          <w:rFonts w:ascii="Times New Roman" w:hAnsi="Times New Roman"/>
          <w:sz w:val="20"/>
        </w:rPr>
        <w:t xml:space="preserve">” has the meaning set forth in </w:t>
      </w:r>
      <w:r>
        <w:rPr>
          <w:rFonts w:ascii="Times New Roman" w:hAnsi="Times New Roman"/>
          <w:sz w:val="20"/>
          <w:u w:val="single"/>
        </w:rPr>
        <w:t>the recitals hereof.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Personal Data</w:t>
      </w:r>
      <w:r>
        <w:rPr>
          <w:rFonts w:ascii="Times New Roman" w:hAnsi="Times New Roman"/>
          <w:sz w:val="20"/>
        </w:rPr>
        <w:t xml:space="preserve">” has the meaning set forth in </w:t>
      </w:r>
      <w:r>
        <w:rPr>
          <w:rFonts w:ascii="Times New Roman" w:hAnsi="Times New Roman"/>
          <w:sz w:val="20"/>
          <w:u w:val="single"/>
        </w:rPr>
        <w:t>Section 3.30</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Placement Agents</w:t>
      </w:r>
      <w:r>
        <w:rPr>
          <w:rFonts w:ascii="Times New Roman" w:hAnsi="Times New Roman"/>
          <w:sz w:val="20"/>
        </w:rPr>
        <w:t xml:space="preserve">” means Jefferies LLC, TD Securities (USA) LLC, Guggenheim Securities, LLC, UBS Securities LLC and LifeSci Capital, LLC. </w:t>
      </w:r>
    </w:p>
    <w:p>
      <w:pPr>
        <w:pStyle w:val="TextBody"/>
        <w:bidi w:val="0"/>
        <w:spacing w:before="240" w:after="0"/>
        <w:jc w:val="left"/>
        <w:rPr/>
      </w:pPr>
      <w:r>
        <w:rPr/>
        <w:t>“</w:t>
      </w:r>
      <w:r>
        <w:rPr>
          <w:rFonts w:ascii="Times New Roman" w:hAnsi="Times New Roman"/>
          <w:b/>
          <w:sz w:val="20"/>
        </w:rPr>
        <w:t>Privacy Laws</w:t>
      </w:r>
      <w:r>
        <w:rPr>
          <w:rFonts w:ascii="Times New Roman" w:hAnsi="Times New Roman"/>
          <w:sz w:val="20"/>
        </w:rPr>
        <w:t xml:space="preserve">” has the meaning set forth in </w:t>
      </w:r>
      <w:r>
        <w:rPr>
          <w:rFonts w:ascii="Times New Roman" w:hAnsi="Times New Roman"/>
          <w:sz w:val="20"/>
          <w:u w:val="single"/>
        </w:rPr>
        <w:t>Section 3.31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Privacy Statements</w:t>
      </w:r>
      <w:r>
        <w:rPr>
          <w:rFonts w:ascii="Times New Roman" w:hAnsi="Times New Roman"/>
          <w:sz w:val="20"/>
        </w:rPr>
        <w:t xml:space="preserve">” has the meaning set forth in </w:t>
      </w:r>
      <w:r>
        <w:rPr>
          <w:rFonts w:ascii="Times New Roman" w:hAnsi="Times New Roman"/>
          <w:sz w:val="20"/>
          <w:u w:val="single"/>
        </w:rPr>
        <w:t>Section 3.31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Process</w:t>
      </w:r>
      <w:r>
        <w:rPr>
          <w:rFonts w:ascii="Times New Roman" w:hAnsi="Times New Roman"/>
          <w:sz w:val="20"/>
        </w:rPr>
        <w:t>” or “</w:t>
      </w:r>
      <w:r>
        <w:rPr>
          <w:rFonts w:ascii="Times New Roman" w:hAnsi="Times New Roman"/>
          <w:b/>
          <w:sz w:val="20"/>
        </w:rPr>
        <w:t>Processing</w:t>
      </w:r>
      <w:r>
        <w:rPr>
          <w:rFonts w:ascii="Times New Roman" w:hAnsi="Times New Roman"/>
          <w:sz w:val="20"/>
        </w:rPr>
        <w:t xml:space="preserve">” has the meaning set forth in </w:t>
      </w:r>
      <w:r>
        <w:rPr>
          <w:rFonts w:ascii="Times New Roman" w:hAnsi="Times New Roman"/>
          <w:sz w:val="20"/>
          <w:u w:val="single"/>
        </w:rPr>
        <w:t>Section 3.31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Registration Rights Agreement</w:t>
      </w:r>
      <w:r>
        <w:rPr>
          <w:rFonts w:ascii="Times New Roman" w:hAnsi="Times New Roman"/>
          <w:sz w:val="20"/>
        </w:rPr>
        <w:t xml:space="preserve">” has the meaning set forth in </w:t>
      </w:r>
      <w:r>
        <w:rPr>
          <w:rFonts w:ascii="Times New Roman" w:hAnsi="Times New Roman"/>
          <w:sz w:val="20"/>
          <w:u w:val="single"/>
        </w:rPr>
        <w:t>the recitals</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Regulatory Agencies</w:t>
      </w:r>
      <w:r>
        <w:rPr>
          <w:rFonts w:ascii="Times New Roman" w:hAnsi="Times New Roman"/>
          <w:sz w:val="20"/>
        </w:rPr>
        <w:t xml:space="preserve">” has the meaning set forth in </w:t>
      </w:r>
      <w:r>
        <w:rPr>
          <w:rFonts w:ascii="Times New Roman" w:hAnsi="Times New Roman"/>
          <w:sz w:val="20"/>
          <w:u w:val="single"/>
        </w:rPr>
        <w:t xml:space="preserve">Section 3.20 </w:t>
      </w:r>
      <w:r>
        <w:rPr>
          <w:rFonts w:ascii="Times New Roman" w:hAnsi="Times New Roman"/>
          <w:sz w:val="20"/>
        </w:rPr>
        <w:t xml:space="preserve">hereof.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promulgated by the SEC pursuant to the Securities Act, as such rule may be amended from time to time, or any similar rule or regulation hereafter adopted by the SEC having substantially the same effect as such rule.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Share Price</w:t>
      </w:r>
      <w:r>
        <w:rPr>
          <w:rFonts w:ascii="Times New Roman" w:hAnsi="Times New Roman"/>
          <w:sz w:val="20"/>
        </w:rPr>
        <w:t xml:space="preserve">” means an amount equal to (i) the Caldera Equity Value (as defined in the Merger Agreement), divided by (ii) the number of Caldera Outstanding Shares (as defined in the Merger Agreement but excluding the Shares being issued hereunder) as of immediately prior to the Closing. </w:t>
      </w:r>
    </w:p>
    <w:p>
      <w:pPr>
        <w:pStyle w:val="TextBody"/>
        <w:bidi w:val="0"/>
        <w:spacing w:before="240" w:after="0"/>
        <w:jc w:val="left"/>
        <w:rPr/>
      </w:pPr>
      <w:r>
        <w:rPr/>
        <w:t>“</w:t>
      </w:r>
      <w:r>
        <w:rPr>
          <w:rFonts w:ascii="Times New Roman" w:hAnsi="Times New Roman"/>
          <w:b/>
          <w:sz w:val="20"/>
        </w:rPr>
        <w:t>Shares</w:t>
      </w:r>
      <w:r>
        <w:rPr>
          <w:rFonts w:ascii="Times New Roman" w:hAnsi="Times New Roman"/>
          <w:sz w:val="20"/>
        </w:rPr>
        <w:t xml:space="preserve">” means the shares of Common Stock issued or issuable to the Investors pursuant to this Agreement. </w:t>
      </w:r>
    </w:p>
    <w:p>
      <w:pPr>
        <w:pStyle w:val="TextBody"/>
        <w:bidi w:val="0"/>
        <w:spacing w:before="240" w:after="0"/>
        <w:jc w:val="left"/>
        <w:rPr/>
      </w:pPr>
      <w:r>
        <w:rPr/>
        <w:t>“</w:t>
      </w:r>
      <w:r>
        <w:rPr>
          <w:rFonts w:ascii="Times New Roman" w:hAnsi="Times New Roman"/>
          <w:b/>
          <w:sz w:val="20"/>
        </w:rPr>
        <w:t>Short Sales</w:t>
      </w:r>
      <w:r>
        <w:rPr>
          <w:rFonts w:ascii="Times New Roman" w:hAnsi="Times New Roman"/>
          <w:sz w:val="20"/>
        </w:rPr>
        <w:t xml:space="preserve">”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 </w:t>
      </w:r>
    </w:p>
    <w:p>
      <w:pPr>
        <w:pStyle w:val="TextBody"/>
        <w:bidi w:val="0"/>
        <w:spacing w:before="240" w:after="0"/>
        <w:jc w:val="left"/>
        <w:rPr/>
      </w:pPr>
      <w:r>
        <w:rPr/>
        <w:t>“</w:t>
      </w:r>
      <w:r>
        <w:rPr>
          <w:rFonts w:ascii="Times New Roman" w:hAnsi="Times New Roman"/>
          <w:b/>
          <w:sz w:val="20"/>
        </w:rPr>
        <w:t>Standard Settlement Period</w:t>
      </w:r>
      <w:r>
        <w:rPr>
          <w:rFonts w:ascii="Times New Roman" w:hAnsi="Times New Roman"/>
          <w:sz w:val="20"/>
        </w:rPr>
        <w:t xml:space="preserve">” means the standard settlement period, expressed in a number of trading days, on the Company’s primary National Exchange with respect to the Common Stock as in effect on the date of delivery of the applicable request to remove legends of Shares. </w:t>
      </w:r>
    </w:p>
    <w:p>
      <w:pPr>
        <w:pStyle w:val="TextBody"/>
        <w:bidi w:val="0"/>
        <w:spacing w:before="240" w:after="0"/>
        <w:jc w:val="left"/>
        <w:rPr/>
      </w:pPr>
      <w:r>
        <w:rPr/>
        <w:t>“</w:t>
      </w:r>
      <w:r>
        <w:rPr>
          <w:rFonts w:ascii="Times New Roman" w:hAnsi="Times New Roman"/>
          <w:b/>
          <w:sz w:val="20"/>
        </w:rPr>
        <w:t xml:space="preserve">Synlogic Merger Sub” </w:t>
      </w:r>
      <w:r>
        <w:rPr>
          <w:rFonts w:ascii="Times New Roman" w:hAnsi="Times New Roman"/>
          <w:sz w:val="20"/>
        </w:rPr>
        <w:t xml:space="preserve">has the meaning set forth in the recitals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Subsidiaries</w:t>
      </w:r>
      <w:r>
        <w:rPr>
          <w:rFonts w:ascii="Times New Roman" w:hAnsi="Times New Roman"/>
          <w:sz w:val="20"/>
        </w:rPr>
        <w:t xml:space="preserve">” has the meaning set forth in </w:t>
      </w:r>
      <w:r>
        <w:rPr>
          <w:rFonts w:ascii="Times New Roman" w:hAnsi="Times New Roman"/>
          <w:sz w:val="20"/>
          <w:u w:val="single"/>
        </w:rPr>
        <w:t>Section 3.1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or “</w:t>
      </w:r>
      <w:r>
        <w:rPr>
          <w:rFonts w:ascii="Times New Roman" w:hAnsi="Times New Roman"/>
          <w:b/>
          <w:sz w:val="20"/>
        </w:rPr>
        <w:t>Taxes</w:t>
      </w:r>
      <w:r>
        <w:rPr>
          <w:rFonts w:ascii="Times New Roman" w:hAnsi="Times New Roman"/>
          <w:sz w:val="20"/>
        </w:rPr>
        <w:t xml:space="preserve">”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 </w:t>
      </w:r>
    </w:p>
    <w:p>
      <w:pPr>
        <w:pStyle w:val="TextBody"/>
        <w:bidi w:val="0"/>
        <w:spacing w:before="240" w:after="0"/>
        <w:jc w:val="left"/>
        <w:rPr/>
      </w:pPr>
      <w:r>
        <w:rPr/>
        <w:t>“</w:t>
      </w:r>
      <w:r>
        <w:rPr>
          <w:rFonts w:ascii="Times New Roman" w:hAnsi="Times New Roman"/>
          <w:b/>
          <w:sz w:val="20"/>
        </w:rPr>
        <w:t>Tax Returns</w:t>
      </w:r>
      <w:r>
        <w:rPr>
          <w:rFonts w:ascii="Times New Roman" w:hAnsi="Times New Roman"/>
          <w:sz w:val="20"/>
        </w:rPr>
        <w:t xml:space="preserve">”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 </w:t>
      </w:r>
    </w:p>
    <w:p>
      <w:pPr>
        <w:pStyle w:val="TextBody"/>
        <w:bidi w:val="0"/>
        <w:spacing w:before="240" w:after="0"/>
        <w:jc w:val="left"/>
        <w:rPr/>
      </w:pPr>
      <w:r>
        <w:rPr/>
        <w:t>“</w:t>
      </w:r>
      <w:r>
        <w:rPr>
          <w:rFonts w:ascii="Times New Roman" w:hAnsi="Times New Roman"/>
          <w:b/>
          <w:sz w:val="20"/>
        </w:rPr>
        <w:t>Transaction Agreements</w:t>
      </w:r>
      <w:r>
        <w:rPr>
          <w:rFonts w:ascii="Times New Roman" w:hAnsi="Times New Roman"/>
          <w:sz w:val="20"/>
        </w:rPr>
        <w:t xml:space="preserve">” means this Agreement, the Registration Rights Agreement and any other documents or agreements explicitly contemplated hereunder.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with respect to the Common Stock, such financial institution that provides transfer agent services as the Company may engage from time to time and with respect to Parent Common Stock, such financial institution that as of the Closing provides transfer agent services as Parent may engage from time to time. </w:t>
      </w:r>
    </w:p>
    <w:p>
      <w:pPr>
        <w:pStyle w:val="TextBody"/>
        <w:bidi w:val="0"/>
        <w:spacing w:before="240" w:after="0"/>
        <w:jc w:val="left"/>
        <w:rPr/>
      </w:pPr>
      <w:r>
        <w:rPr/>
        <w:t>“</w:t>
      </w:r>
      <w:r>
        <w:rPr>
          <w:rFonts w:ascii="Times New Roman" w:hAnsi="Times New Roman"/>
          <w:b/>
          <w:sz w:val="20"/>
        </w:rPr>
        <w:t>Transfer Taxes</w:t>
      </w:r>
      <w:r>
        <w:rPr>
          <w:rFonts w:ascii="Times New Roman" w:hAnsi="Times New Roman"/>
          <w:sz w:val="20"/>
        </w:rPr>
        <w:t xml:space="preserve">” means all real property transfer, sales, use, value added, stamp, documentary, recording, registration, conveyance, stock transfer, intangible property transfer, personal property transfer, gross receipts, registration, duty, securities transactions or similar fees or Taxes (together with any interest, penalty, or addition thereto) incurred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 Purchase and Sale of Securities.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Purchase and Sale</w:t>
      </w:r>
      <w:r>
        <w:rPr>
          <w:rFonts w:ascii="Times New Roman" w:hAnsi="Times New Roman"/>
          <w:sz w:val="20"/>
        </w:rPr>
        <w:t>. Upon the terms and subject to the conditions contained herein, the Company agrees to sell and issue to each Investor, and each Investor agrees, severally and not jointly, to purchase from the Company, at a closing to take place remotely via exchange of executed documents (the “</w:t>
      </w:r>
      <w:r>
        <w:rPr>
          <w:rFonts w:ascii="Times New Roman" w:hAnsi="Times New Roman"/>
          <w:b/>
          <w:sz w:val="20"/>
        </w:rPr>
        <w:t>Closing</w:t>
      </w:r>
      <w:r>
        <w:rPr>
          <w:rFonts w:ascii="Times New Roman" w:hAnsi="Times New Roman"/>
          <w:sz w:val="20"/>
        </w:rPr>
        <w:t>” and the date of the Closing, the “</w:t>
      </w:r>
      <w:r>
        <w:rPr>
          <w:rFonts w:ascii="Times New Roman" w:hAnsi="Times New Roman"/>
          <w:b/>
          <w:sz w:val="20"/>
        </w:rPr>
        <w:t>Closing Date</w:t>
      </w:r>
      <w:r>
        <w:rPr>
          <w:rFonts w:ascii="Times New Roman" w:hAnsi="Times New Roman"/>
          <w:sz w:val="20"/>
        </w:rPr>
        <w:t>”), that number of Shares equal to (rounded down to the nearest whole Share) (i) the aggregate commitment amount set forth under the heading “</w:t>
      </w:r>
      <w:r>
        <w:rPr>
          <w:rFonts w:ascii="Times New Roman" w:hAnsi="Times New Roman"/>
          <w:b/>
          <w:i/>
          <w:sz w:val="20"/>
        </w:rPr>
        <w:t>Commitment Amount</w:t>
      </w:r>
      <w:r>
        <w:rPr>
          <w:rFonts w:ascii="Times New Roman" w:hAnsi="Times New Roman"/>
          <w:sz w:val="20"/>
        </w:rPr>
        <w:t xml:space="preserve">” and opposite such Investor’s name on the Schedule of Investors set forth on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sz w:val="20"/>
        </w:rPr>
        <w:t>Aggregate Purchase Amount</w:t>
      </w:r>
      <w:r>
        <w:rPr>
          <w:rFonts w:ascii="Times New Roman" w:hAnsi="Times New Roman"/>
          <w:sz w:val="20"/>
        </w:rPr>
        <w:t xml:space="preserve">”) divided by (ii) the Share Price (in each case, subject to adjustment for any stock split, reverse split or similar recapitalization transaction effected after the Effective Date and prior to the Closing, in accordance with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satisfaction or waiver of the conditions set forth in </w:t>
      </w:r>
      <w:r>
        <w:rPr>
          <w:rFonts w:ascii="Times New Roman" w:hAnsi="Times New Roman"/>
          <w:sz w:val="20"/>
          <w:u w:val="single"/>
        </w:rPr>
        <w:t>Section 6</w:t>
      </w:r>
      <w:r>
        <w:rPr>
          <w:rFonts w:ascii="Times New Roman" w:hAnsi="Times New Roman"/>
          <w:sz w:val="20"/>
        </w:rPr>
        <w:t>, Closing shall occur at such time as agreed to by the Company and a Majority in Interest of the Investors. At least three (3) business days prior to the anticipated Closing Date, the Company shall provide written notice to the Investors (the “</w:t>
      </w:r>
      <w:r>
        <w:rPr>
          <w:rFonts w:ascii="Times New Roman" w:hAnsi="Times New Roman"/>
          <w:b/>
          <w:sz w:val="20"/>
        </w:rPr>
        <w:t>Funding Notice</w:t>
      </w:r>
      <w:r>
        <w:rPr>
          <w:rFonts w:ascii="Times New Roman" w:hAnsi="Times New Roman"/>
          <w:sz w:val="20"/>
        </w:rPr>
        <w:t xml:space="preserve">”) of the anticipated Closing Date, the Share Price, the number of Shares to be purchased by each Investor, and the wire instructions for delivery of the Aggregate Purchase Amount. At the Closing, the Shares shall be issued and registered in the name of such Investor, or in such nominee name(s) as designated by such Investor, against payment, in full, of such Investor’s Aggregate Purchase Amount by wire transfer to the Company of immediately available funds, at or prior to the Closing, in accordance with wire instructions provided by the Company to the Investors in the Funding Notice. </w:t>
      </w:r>
    </w:p>
    <w:p>
      <w:pPr>
        <w:pStyle w:val="TextBody"/>
        <w:bidi w:val="0"/>
        <w:spacing w:before="240" w:after="0"/>
        <w:jc w:val="left"/>
        <w:rPr>
          <w:rFonts w:ascii="Times New Roman" w:hAnsi="Times New Roman"/>
          <w:sz w:val="20"/>
        </w:rPr>
      </w:pPr>
      <w:r>
        <w:rPr>
          <w:rFonts w:ascii="Times New Roman" w:hAnsi="Times New Roman"/>
          <w:sz w:val="20"/>
        </w:rPr>
        <w:t xml:space="preserve">(b) On the Closing Date, the Company will cause the Transfer Agent to issue the Shares in book-entry form, free and clear of all restrictive and other legends (except as expressly provided in </w:t>
      </w:r>
      <w:r>
        <w:rPr>
          <w:rFonts w:ascii="Times New Roman" w:hAnsi="Times New Roman"/>
          <w:sz w:val="20"/>
          <w:u w:val="single"/>
        </w:rPr>
        <w:t>Section 4.10</w:t>
      </w:r>
      <w:r>
        <w:rPr>
          <w:rFonts w:ascii="Times New Roman" w:hAnsi="Times New Roman"/>
          <w:sz w:val="20"/>
        </w:rPr>
        <w:t xml:space="preserve"> hereof) and the Company shall provide evidence of such issuance from the Transfer Agent as soon as reasonably practical following the Closing Date to each Investor. If the Closing has not occurred within two (2) Business Days after the anticipated Closing Date, unless otherwise agreed by the Company and such Investor, the Company shall promptly (but no later than one (1) Business Day thereafter) return the previously wired Aggregate Purchase Amount to each respective Investor by wire transfer of United States dollars in immediately available funds to the account specified by each Investor, and any book entries for the Shares shall be deemed cancelled; </w:t>
      </w:r>
      <w:r>
        <w:rPr>
          <w:rFonts w:ascii="Times New Roman" w:hAnsi="Times New Roman"/>
          <w:sz w:val="20"/>
          <w:u w:val="single"/>
        </w:rPr>
        <w:t>provided</w:t>
      </w:r>
      <w:r>
        <w:rPr>
          <w:rFonts w:ascii="Times New Roman" w:hAnsi="Times New Roman"/>
          <w:sz w:val="20"/>
        </w:rPr>
        <w:t xml:space="preserve"> that, unless this Agreement has been terminated pursuant to </w:t>
      </w:r>
      <w:r>
        <w:rPr>
          <w:rFonts w:ascii="Times New Roman" w:hAnsi="Times New Roman"/>
          <w:sz w:val="20"/>
          <w:u w:val="single"/>
        </w:rPr>
        <w:t>Section 7</w:t>
      </w:r>
      <w:r>
        <w:rPr>
          <w:rFonts w:ascii="Times New Roman" w:hAnsi="Times New Roman"/>
          <w:sz w:val="20"/>
        </w:rPr>
        <w:t xml:space="preserve">, such return of funds shall not terminate this Agreement or relieve such Investor of its obligation to purchase, or the Company of its obligation to issue and sell, the Shares at the Closing. Notwithstanding the foregoing and anything in this Agreement to the contrary, as may be agreed to among the Company and one or more Investors, if an Investor is (a) an investment company registered under the Investment Company Act of 1940, as amended, (b) advised by an investment adviser subject to regulation under the Investment Advisers Act of 1940, as amended, or (c) otherwise subject to internal policies and/or procedures relating to the timing of funding and issuance of securities, such Investor shall not be required to wire its Aggregate Purchase Amount until it confirms receipt of evidence of the issuance of such Investor’s Shares from the Transfer Agent in form and substance reasonably acceptable to the Investor (and the Company shall use reasonable best efforts to cause the Transfer Agent to deliver such evidence). </w:t>
      </w:r>
    </w:p>
    <w:p>
      <w:pPr>
        <w:pStyle w:val="TextBody"/>
        <w:bidi w:val="0"/>
        <w:spacing w:before="240" w:after="0"/>
        <w:jc w:val="left"/>
        <w:rPr>
          <w:rFonts w:ascii="Times New Roman" w:hAnsi="Times New Roman"/>
          <w:sz w:val="20"/>
        </w:rPr>
      </w:pPr>
      <w:r>
        <w:rPr>
          <w:rFonts w:ascii="Times New Roman" w:hAnsi="Times New Roman"/>
          <w:sz w:val="20"/>
        </w:rPr>
        <w:t xml:space="preserve">(c) Following the Closing Date, the Company shall register for resale the Registrable Securities (as defined in the Registration Rights Agreement) as provided for in, and in accordance with the timeframes, terms and conditions of,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hereby represents and warrants to each of the Investors and the Placement Agents that the statements contained in this </w:t>
      </w:r>
      <w:r>
        <w:rPr>
          <w:rFonts w:ascii="Times New Roman" w:hAnsi="Times New Roman"/>
          <w:sz w:val="20"/>
          <w:u w:val="single"/>
        </w:rPr>
        <w:t>Section 3</w:t>
      </w:r>
      <w:r>
        <w:rPr>
          <w:rFonts w:ascii="Times New Roman" w:hAnsi="Times New Roman"/>
          <w:sz w:val="20"/>
        </w:rPr>
        <w:t xml:space="preserve"> are true and correct as of the date of this Agreement and as of the Closing Date (except for the representations and warranties that speak as of a specific date, which shall be made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and Power</w:t>
      </w:r>
      <w:r>
        <w:rPr>
          <w:rFonts w:ascii="Times New Roman" w:hAnsi="Times New Roman"/>
          <w:sz w:val="20"/>
        </w:rPr>
        <w:t xml:space="preserve">. The Company is a corporation duly organized, validly existing and in good standing under the laws of the State of Delaware, has the requisite power and authority to own, lease and operate its properties and to carry on its business as now conducted and is qualified to do business in each jurisdiction in which the character of its properties or the nature of its business requires such qualification, except where such failure to be in good standing or to have such power and authority or to so qualify has not had and would not reasonably be expected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to have a Material Adverse Effect. Each of the Company’s subsidiaries (collectively, the “</w:t>
      </w:r>
      <w:r>
        <w:rPr>
          <w:rFonts w:ascii="Times New Roman" w:hAnsi="Times New Roman"/>
          <w:b/>
          <w:sz w:val="20"/>
        </w:rPr>
        <w:t>Subsidiaries</w:t>
      </w:r>
      <w:r>
        <w:rPr>
          <w:rFonts w:ascii="Times New Roman" w:hAnsi="Times New Roman"/>
          <w:sz w:val="20"/>
        </w:rPr>
        <w:t xml:space="preserve">”) is wholly owned by the Company. Each of the Subsidiaries is duly incorporated or organized, as applicable, and validly existing and in good standing under the laws of the jurisdiction of its incorporation or formation, as applicable, and has the requisite power and authority to carry on their business as now conducted and to own or lease its properties. Each of the Subsidiaries is duly qualified to do business as a foreign corporation and is in good standing in each jurisdiction in which such qualification is required unless the failure to so qualify has not had and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Capitalization</w:t>
      </w:r>
      <w:r>
        <w:rPr>
          <w:rFonts w:ascii="Times New Roman" w:hAnsi="Times New Roman"/>
          <w:sz w:val="20"/>
        </w:rPr>
        <w:t>. As of the date hereof, the authorized capital stock of the Company consists of 151,561,000 shares of Common Stock and 101,785,713 shares of preferred stock, par value $0.00001 per share. As of the date hereof, (A) 75,000,00 shares have been designated Caldera Series A Preferred Stock, of which all shares are issued and are outstanding (collectively, the “</w:t>
      </w:r>
      <w:r>
        <w:rPr>
          <w:rFonts w:ascii="Times New Roman" w:hAnsi="Times New Roman"/>
          <w:b/>
          <w:sz w:val="20"/>
        </w:rPr>
        <w:t>Preferred Stock</w:t>
      </w:r>
      <w:r>
        <w:rPr>
          <w:rFonts w:ascii="Times New Roman" w:hAnsi="Times New Roman"/>
          <w:sz w:val="20"/>
        </w:rPr>
        <w:t xml:space="preserve">”), and (B) 26,785,713 shares have been designated Caldera Series A-1 Preferred Stock, of which all shares are issued and are outstanding. All of the issued and outstanding shares of Common Stock and Preferred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As of the date of this Agreement,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 There are no securities or instruments issued by or to which the Company is a party containing anti-dilution, rights of first refusal, rights of participation or similar provisions that will be triggered (which, for the avoidance of doubt, excludes any such anti-dilution, rights of first refusal, rights of participation or similar provision that will be waived in connection with the transactions contemplated by this Agreement and the Merger Agreement) by the issuance of the Shares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Registration Rights</w:t>
      </w:r>
      <w:r>
        <w:rPr>
          <w:rFonts w:ascii="Times New Roman" w:hAnsi="Times New Roman"/>
          <w:sz w:val="20"/>
        </w:rPr>
        <w:t xml:space="preserve">. Except as set forth in the Transaction Agreements and the Merger Agreement,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Authorization</w:t>
      </w:r>
      <w:r>
        <w:rPr>
          <w:rFonts w:ascii="Times New Roman" w:hAnsi="Times New Roman"/>
          <w:sz w:val="20"/>
        </w:rPr>
        <w:t xml:space="preserve">. The Company has all requisite corporate power and authority to enter into the Transaction Agreements and the Merger Agreement and to carry out and perform its obligations under the terms of the Transaction Agreements and the Merger Agreement, including the issuance and sale of the Shares. All corporate action on the part of the Company, its officers, directors and stockholders necessary for the authorization of the Shares, the authorization, execution, delivery and performance of the Transaction Agreements and the Merger Agreement and the consummation of the transactions contemplated herein and therein, including the issuance and sale of the Shares, as applicable, has been taken, including, without limitation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the approval of the Board of Directors (or a committee thereof) in accordance with Section 144(a)(1) or 144(b)(1) of the DGCL. This Agreement has been duly executed and delivered by the Company and assuming the due authorization, execution and delivery by each Investor and that this Agreement constitutes the legal, valid and binding agreement of each Investor, this Agreement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Parent and the other parties thereto and assuming that it constitutes legal, valid and binding agreements of the other parties thereto, the Registration Rights Agreement will constitute a legal, valid and binding obligation of the Company and Parent, enforceable against the Company and Parent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Valid Issuance</w:t>
      </w:r>
      <w:r>
        <w:rPr>
          <w:rFonts w:ascii="Times New Roman" w:hAnsi="Times New Roman"/>
          <w:sz w:val="20"/>
        </w:rPr>
        <w:t xml:space="preserve">. The Shares being purchased by the Investors hereunder have been duly and validly authorized and, upon issuance pursuant to the terms hereof, against full payment therefor in accordance with the terms of this Agreement, will be duly and validly issued, fully paid and non-assessable and will be issued free and clear of any liens or other restrictions (other than restrictions on transfer under applicable state and federal securities laws) and the holder of the Shares shall be entitled to all rights accorded to a holder of Common Stock. Subject to the accuracy of the representations and warranties made by the Investors in Section 4 hereof, the offer and sale of the Shares to the Investors is and will be in compliance with applicable exemptions from (i) the registration and prospectus delivery requirements of the Securities Act and (ii) the registration and qualification requirements of applicable securities laws of the states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No Conflict</w:t>
      </w:r>
      <w:r>
        <w:rPr>
          <w:rFonts w:ascii="Times New Roman" w:hAnsi="Times New Roman"/>
          <w:sz w:val="20"/>
        </w:rPr>
        <w:t xml:space="preserve">. Subject to approval of the Nasdaq Listing Application (as defined in the Merger Agreement), the execution, delivery and performance of the Transaction Agreements and the Merger Agreement by the Company, the issuance and sale of the Shares and the consummation of the other transactions contemplated by the Transaction Agreements and the Merger Agreement do not and will not (i) violate any provision of the Certificate of Incorporation or Bylaws of the Company, (ii) conflict with or result in a violation of or default (with or without notice or lapse of time, or the giving of consent or waiver,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Subsidiary or their respective properties or assets, (iii) result in a violation of any law, rule, regulation, order, judgment, injunction, decree or other restriction of any court or governmental authority to which the Company or any Subsidiary is subject (including federal and state securities laws and regulations) and the rules and regulations of any self-regulatory organization to which the Company or its securities are or will be subject, or by which any property or asset of the Company or any Subsidiary is bound or affected, or (iv) conflict with, result in a breach of, or require any consent, approval, authorization or waiver under the Merger Agreement that has not been obtained or made, except, in the case of clauses (ii) and (iii), as has not and would not, individually or in the aggregate, be reasonably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Consents</w:t>
      </w:r>
      <w:r>
        <w:rPr>
          <w:rFonts w:ascii="Times New Roman" w:hAnsi="Times New Roman"/>
          <w:sz w:val="20"/>
        </w:rPr>
        <w:t xml:space="preserve">. Assuming the accuracy of the representations and warranties of the Investors in </w:t>
      </w:r>
      <w:r>
        <w:rPr>
          <w:rFonts w:ascii="Times New Roman" w:hAnsi="Times New Roman"/>
          <w:sz w:val="20"/>
          <w:u w:val="single"/>
        </w:rPr>
        <w:t>Section 4</w:t>
      </w:r>
      <w:r>
        <w:rPr>
          <w:rFonts w:ascii="Times New Roman" w:hAnsi="Times New Roman"/>
          <w:sz w:val="20"/>
        </w:rPr>
        <w:t xml:space="preserve">, no consent, approval, authorization, filing with or order of or registration with, any court or governmental agency or body or other Person is required in connection with the authorization, execution or delivery by the Company of the Transaction Agreements and the Merger Agreement, the issuance and sale of the Shares and the performance by the Company of its other obligations under the Transaction Agreements and the Merger Agreement, except (a) as have been or will be obtained or made under the Securities Act or the Exchange Act, (b) the filing of any requisite notices and/or application(s) to the National Exchange for the issuance and sale of the Shares and the listing of the Shares for trading or quotation, as the case may be, thereon in the time and manner required thereby, (c) customary post-closing filings with the SEC or pursuant to state securities laws in connection with the offer and sale of the Shares by the Company in the manner contemplated herein, which will be filed on a timely basis, (d) the filing of a registration statement required to be filed by the Registration Rights Agreement, (e) the Nasdaq Listing Application or (f) such that the failure of which to obtain has not had and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Absence of Changes</w:t>
      </w:r>
      <w:r>
        <w:rPr>
          <w:rFonts w:ascii="Times New Roman" w:hAnsi="Times New Roman"/>
          <w:sz w:val="20"/>
        </w:rPr>
        <w:t xml:space="preserve">. Except for the execution and performance of this Agreement and the discussions, negotiations and transactions related thereto, including the Merger Agreement and transactions related thereto, since December 31, 2025: (a) the Company has conducted its business only in the ordinary course of business and there have been no material transactions entered into by the Company or its Subsidiaries; (b) no material change to any material contract or arrangement by which the Company or its Subsidiaries is bound or to which any of its assets or properties is subject has been entered into that has not been disclosed in writing to the Investors and the Placement Agents; and (c) there has not been any other event or condition of any character that has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Absence of Litigation</w:t>
      </w:r>
      <w:r>
        <w:rPr>
          <w:rFonts w:ascii="Times New Roman" w:hAnsi="Times New Roman"/>
          <w:sz w:val="20"/>
        </w:rPr>
        <w:t xml:space="preserve">. There is no action, suit, proceeding, arbitration, claim, investigation, charge, complaint or inquiry pending or, to the Company’s knowledge, threatened against the Company or any Subsidiary which, individually or in the aggregate, has had or would reasonably be expected to have a Material Adverse Effect, nor are there any orders, writs, injunctions, judgments or decrees outstanding of any court or government agency or instrumentality and binding upon the Company or any Subsidiary that have had or would reasonably be expected to have a Material Adverse Effect. Neither the Company nor any Subsidiary, nor to the knowledge of the Company, any director or officer of the Company or any Subsidiary, is, or within the last ten (10) years has been, the subject of any action involving a claim of violation of or liability under federal or state securities laws relating to the Company or such Subsidiary or a claim of breach of fiduciary duty relating to the Company or such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Compliance with Law; Permits</w:t>
      </w:r>
      <w:r>
        <w:rPr>
          <w:rFonts w:ascii="Times New Roman" w:hAnsi="Times New Roman"/>
          <w:sz w:val="20"/>
        </w:rPr>
        <w:t>. None of the Company or any Subsidiary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hAnsi="Times New Roman"/>
          <w:b/>
          <w:sz w:val="20"/>
        </w:rPr>
        <w:t>Governmental Authorizations</w:t>
      </w:r>
      <w:r>
        <w:rPr>
          <w:rFonts w:ascii="Times New Roman" w:hAnsi="Times New Roman"/>
          <w:sz w:val="20"/>
        </w:rPr>
        <w:t xml:space="preserve">”)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None of the Company 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Employee Benefits</w:t>
      </w:r>
      <w:r>
        <w:rPr>
          <w:rFonts w:ascii="Times New Roman" w:hAnsi="Times New Roman"/>
          <w:sz w:val="20"/>
        </w:rPr>
        <w:t xml:space="preserve">.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Taxes</w:t>
      </w:r>
      <w:r>
        <w:rPr>
          <w:rFonts w:ascii="Times New Roman" w:hAnsi="Times New Roman"/>
          <w:sz w:val="20"/>
        </w:rPr>
        <w:t xml:space="preserve">.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The Company, at all times since its inception,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Environmental Laws</w:t>
      </w:r>
      <w:r>
        <w:rPr>
          <w:rFonts w:ascii="Times New Roman" w:hAnsi="Times New Roman"/>
          <w:sz w:val="20"/>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(ii) have received all permits and other Governmental Authorizations required under applicable Environmental Laws to conduct its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have not had and would not, individually or in the aggregate, reasonably be expected to have a Material Adverse Effect. None of the Company or any Subsidiary has received since December 31, 2025,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with any Environmental Law in the future, except where such failure to comply has not had and would not reasonably be expected to have a Material Adverse Effect. To the knowledge of the Company: (i) no current or (during the time a prior property was leased or controlled by the Company) prior property leased or controlled by the Company or any Subsidiary has received since December 31, 2025,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Title</w:t>
      </w:r>
      <w:r>
        <w:rPr>
          <w:rFonts w:ascii="Times New Roman" w:hAnsi="Times New Roman"/>
          <w:sz w:val="20"/>
        </w:rPr>
        <w:t xml:space="preserve">.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materially and adversely interfere with the use made and proposed to be made of such property and buildings by the Company or its Subsidiaries, as the case may be. The Company does not own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Insurance</w:t>
      </w:r>
      <w:r>
        <w:rPr>
          <w:rFonts w:ascii="Times New Roman" w:hAnsi="Times New Roman"/>
          <w:sz w:val="20"/>
        </w:rPr>
        <w:t xml:space="preserve">. The Company carries or is entitled to the benefits of insurance in such amounts and covering such risks that is customary for comparably situated companies and is adequate for the conduct of its and its Subsidiaries’ businesses and the value of its and its Subsidiaries’ properties (owned or leased) and assets, and each of such insurance policies is in full force and effect and the Company is in compliance in all material respects with the terms thereof. Other than customary end of policy notifications from insurance carriers, since December 31, 2025, the Company has not received any notice or other communication regarding any actual or possible: (i) cancellation or invalidation of any insurance policy or (ii) refusal or denial of any coverage, reservation of rights or rejection of any material claim under any insurance policy. </w:t>
      </w:r>
    </w:p>
    <w:p>
      <w:pPr>
        <w:pStyle w:val="TextBody"/>
        <w:bidi w:val="0"/>
        <w:spacing w:before="240" w:after="0"/>
        <w:jc w:val="left"/>
        <w:rPr>
          <w:rFonts w:ascii="Times New Roman" w:hAnsi="Times New Roman"/>
          <w:sz w:val="20"/>
        </w:rPr>
      </w:pPr>
      <w:r>
        <w:rPr>
          <w:rFonts w:ascii="Times New Roman" w:hAnsi="Times New Roman"/>
          <w:sz w:val="20"/>
        </w:rPr>
        <w:t>3.18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Solvency</w:t>
      </w:r>
      <w:r>
        <w:rPr>
          <w:rFonts w:ascii="Times New Roman" w:hAnsi="Times New Roman"/>
          <w:sz w:val="20"/>
        </w:rPr>
        <w:t xml:space="preserve">. The Company is not as of the date hereof and, after giving effect to the transactions contemplated hereby to occur at the Closing, will not be Insolvent.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Clinical Data and Regulatory Compliance</w:t>
      </w:r>
      <w:r>
        <w:rPr>
          <w:rFonts w:ascii="Times New Roman" w:hAnsi="Times New Roman"/>
          <w:sz w:val="20"/>
        </w:rPr>
        <w:t>. Except as would not reasonably be expected to result in a Material Adverse Effect: (i) the preclinical tests and clinical trials, and other studies used to support regulatory approval (collectively, “</w:t>
      </w:r>
      <w:r>
        <w:rPr>
          <w:rFonts w:ascii="Times New Roman" w:hAnsi="Times New Roman"/>
          <w:b/>
          <w:sz w:val="20"/>
        </w:rPr>
        <w:t>studies</w:t>
      </w:r>
      <w:r>
        <w:rPr>
          <w:rFonts w:ascii="Times New Roman" w:hAnsi="Times New Roman"/>
          <w:sz w:val="20"/>
        </w:rPr>
        <w:t>”) being conducted by or on behalf of, or sponsored by, the Company or its Subsidiaries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is accurate and complete in all material respects and fairly presents the data derived from such studies; (iii) the Company and its Subsidiaries have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hAnsi="Times New Roman"/>
          <w:b/>
          <w:sz w:val="20"/>
        </w:rPr>
        <w:t>Regulatory Agencies</w:t>
      </w:r>
      <w:r>
        <w:rPr>
          <w:rFonts w:ascii="Times New Roman" w:hAnsi="Times New Roman"/>
          <w:sz w:val="20"/>
        </w:rPr>
        <w:t xml:space="preserve">”) for the conduct of its business; (iv) neither the Company nor any of its Subsidiaries has received any notice of, or correspondence from, any Regulatory Agency requiring the termination or suspension of or imposing any clinical hold on any clinical trials; and (v) the Company and its Subsidiaries have each operated and currently are in compliance in all material respects with all applicable rules, regulations and policies of the Regulatory Agencies.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Compliance with Health Care Laws</w:t>
      </w:r>
      <w:r>
        <w:rPr>
          <w:rFonts w:ascii="Times New Roman" w:hAnsi="Times New Roman"/>
          <w:sz w:val="20"/>
        </w:rPr>
        <w:t>. The Company and its Subsidiaries are in compliance in all material respects with all Health Care Laws to the extent applicable to the Company’s current business and research use only products. For purposes of this Agreement, “</w:t>
      </w:r>
      <w:r>
        <w:rPr>
          <w:rFonts w:ascii="Times New Roman" w:hAnsi="Times New Roman"/>
          <w:b/>
          <w:sz w:val="20"/>
        </w:rPr>
        <w:t>Health Care Laws</w:t>
      </w:r>
      <w:r>
        <w:rPr>
          <w:rFonts w:ascii="Times New Roman" w:hAnsi="Times New Roman"/>
          <w:sz w:val="20"/>
        </w:rPr>
        <w:t>” means: (i) 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the Health Insurance Portability and Accountability Act of 1996, as amended by the Health Information Technology for Economic and Clinical Health Act (collectively, “</w:t>
      </w:r>
      <w:r>
        <w:rPr>
          <w:rFonts w:ascii="Times New Roman" w:hAnsi="Times New Roman"/>
          <w:b/>
          <w:sz w:val="20"/>
        </w:rPr>
        <w:t>HIPAA</w:t>
      </w:r>
      <w:r>
        <w:rPr>
          <w:rFonts w:ascii="Times New Roman" w:hAnsi="Times New Roman"/>
          <w:sz w:val="20"/>
        </w:rPr>
        <w:t>”); (iv) the Patient Protection and Affordable Care Act of 2010, as amended by the Health Care and Education Reconciliation Act of 2010; (v) the European Union (“</w:t>
      </w:r>
      <w:r>
        <w:rPr>
          <w:rFonts w:ascii="Times New Roman" w:hAnsi="Times New Roman"/>
          <w:b/>
          <w:sz w:val="20"/>
        </w:rPr>
        <w:t>EU</w:t>
      </w:r>
      <w:r>
        <w:rPr>
          <w:rFonts w:ascii="Times New Roman" w:hAnsi="Times New Roman"/>
          <w:sz w:val="20"/>
        </w:rPr>
        <w:t xml:space="preserve">”)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CFIUS</w:t>
      </w:r>
      <w:r>
        <w:rPr>
          <w:rFonts w:ascii="Times New Roman" w:hAnsi="Times New Roman"/>
          <w:sz w:val="20"/>
        </w:rPr>
        <w:t xml:space="preserve">. The Company does not engage in (i) the design, fabrication, development, testing, production or manufacture of one or more “critical technologies” within the meaning of the Defense Production Act of 1950, as amended, including all implementing regulations thereof (the “DPA”); (ii) the performance of the functions of ownership, operation, maintenance, supply, manufacture, or servicing of “covered investment critical infrastructure” within the meaning of the DPA; or (iii) the maintenance or collection, directly or indirectly, of “sensitive personal data” of United States citizens that may be exploited in a manner that threatens national security, in each case within the meaning of the DPA. The Company is not a “TID U.S. business” as defined in 31 C.F.R. § 800.248. Accordingly, the purchase and sale of the Shares and the consummation of the other transactions contemplated by the Transaction Agreements do not constitute a “covered transaction” within the meaning of the DPA and 31 C.F.R. Part 800 that is subject to the jurisdiction of the Committee on Foreign Investment in the United States (“CFIUS”), and no mandatory declaration or notice with respect thereto is required under 31 C.F.R. § 800.401. </w:t>
      </w:r>
    </w:p>
    <w:p>
      <w:pPr>
        <w:pStyle w:val="TextBody"/>
        <w:bidi w:val="0"/>
        <w:spacing w:before="240" w:after="0"/>
        <w:jc w:val="left"/>
        <w:rPr>
          <w:rFonts w:ascii="Times New Roman" w:hAnsi="Times New Roman"/>
          <w:sz w:val="20"/>
        </w:rPr>
      </w:pPr>
      <w:r>
        <w:rPr>
          <w:rFonts w:ascii="Times New Roman" w:hAnsi="Times New Roman"/>
          <w:sz w:val="20"/>
        </w:rPr>
        <w:t>3.23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Investment Company Act</w:t>
      </w:r>
      <w:r>
        <w:rPr>
          <w:rFonts w:ascii="Times New Roman" w:hAnsi="Times New Roman"/>
          <w:sz w:val="20"/>
        </w:rPr>
        <w:t xml:space="preserve">. The Company is not, and immediately after receipt of payment for the Shares will not be, an “investment company” within the meaning of the U.S.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3.25 </w:t>
      </w:r>
      <w:r>
        <w:rPr>
          <w:rFonts w:ascii="Times New Roman" w:hAnsi="Times New Roman"/>
          <w:sz w:val="20"/>
          <w:u w:val="single"/>
        </w:rPr>
        <w:t>General Solicitation; No Integration or Aggregation</w:t>
      </w:r>
      <w:r>
        <w:rPr>
          <w:rFonts w:ascii="Times New Roman" w:hAnsi="Times New Roman"/>
          <w:sz w:val="20"/>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the Shares pursuant to this Agreement. The Company has not, directly or indirectly, sold, offered for sale, solicited offers to buy or otherwise negotiated in respect of, any security (as defined in the Securities Act) which, to its knowledge, is or will be integrated with the offer and sale of the Shares pursuant to this Agreement for purposes of the Securities Act. Assuming the accuracy of the representations and warranties of the Investors set forth in </w:t>
      </w:r>
      <w:r>
        <w:rPr>
          <w:rFonts w:ascii="Times New Roman" w:hAnsi="Times New Roman"/>
          <w:sz w:val="20"/>
          <w:u w:val="single"/>
        </w:rPr>
        <w:t>Section 4</w:t>
      </w:r>
      <w:r>
        <w:rPr>
          <w:rFonts w:ascii="Times New Roman" w:hAnsi="Times New Roman"/>
          <w:sz w:val="20"/>
        </w:rPr>
        <w:t xml:space="preserve">,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and/or Regulation D promulgated thereunder for the exemption from registration for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3.26 </w:t>
      </w:r>
      <w:r>
        <w:rPr>
          <w:rFonts w:ascii="Times New Roman" w:hAnsi="Times New Roman"/>
          <w:sz w:val="20"/>
          <w:u w:val="single"/>
        </w:rPr>
        <w:t>Brokers and Finders</w:t>
      </w:r>
      <w:r>
        <w:rPr>
          <w:rFonts w:ascii="Times New Roman" w:hAnsi="Times New Roman"/>
          <w:sz w:val="20"/>
        </w:rPr>
        <w:t xml:space="preserve">. Other than the Placement Agents, neither the Company nor any other Person authorized by the Company to act on its behalf has retained, utilized or been represented by any broker or finder in connection with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3.27 </w:t>
      </w:r>
      <w:r>
        <w:rPr>
          <w:rFonts w:ascii="Times New Roman" w:hAnsi="Times New Roman"/>
          <w:sz w:val="20"/>
          <w:u w:val="single"/>
        </w:rPr>
        <w:t>Reliance by the Investors</w:t>
      </w:r>
      <w:r>
        <w:rPr>
          <w:rFonts w:ascii="Times New Roman" w:hAnsi="Times New Roman"/>
          <w:sz w:val="20"/>
        </w:rPr>
        <w:t xml:space="preserve">. The Company has a reasonable basis for making each of the representations set forth in this </w:t>
      </w:r>
      <w:r>
        <w:rPr>
          <w:rFonts w:ascii="Times New Roman" w:hAnsi="Times New Roman"/>
          <w:sz w:val="20"/>
          <w:u w:val="single"/>
        </w:rPr>
        <w:t>Section 3</w:t>
      </w:r>
      <w:r>
        <w:rPr>
          <w:rFonts w:ascii="Times New Roman" w:hAnsi="Times New Roman"/>
          <w:sz w:val="20"/>
        </w:rPr>
        <w:t xml:space="preserve">. The Company acknowledges that each of the Investors will rely upon the truth and accuracy of, and the Company’s compliance with, the representations, warranties, agreements, acknowledgements and understandings of the Company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3.28 </w:t>
      </w:r>
      <w:r>
        <w:rPr>
          <w:rFonts w:ascii="Times New Roman" w:hAnsi="Times New Roman"/>
          <w:sz w:val="20"/>
          <w:u w:val="single"/>
        </w:rPr>
        <w:t>No Additional Agreements</w:t>
      </w:r>
      <w:r>
        <w:rPr>
          <w:rFonts w:ascii="Times New Roman" w:hAnsi="Times New Roman"/>
          <w:sz w:val="20"/>
        </w:rPr>
        <w:t xml:space="preserve">. There are no agreements or understandings (including side letter agreements) between the Company, on one hand, and any Investor, on the other hand, with respect to the transactions contemplated by the Transaction Agreements other than as specified in the Transaction Agreements (other than confidentiality, nondisclosure, or similar agreements), including any agreements or understandings (including written summaries of any oral understandings) with any other Investor or potential investor with respect to the purchase of securities of the Company, and which do not contain terms (economic or otherwise) more favorable to such Investor. The Company will not redeem or repurchase any of the Shares unless such redemption or repurchase is on a pro-rata basis amongst the Investors. For clarification purposes, this provision constitutes a separate right granted to each Investor by the Company and negotiated separately by each Investor and shall not in any way be construed as the Investors acting in concert or as a group with respect to the purchase, disposition or voting of shares of Common Stock or otherwise. </w:t>
      </w:r>
    </w:p>
    <w:p>
      <w:pPr>
        <w:pStyle w:val="TextBody"/>
        <w:bidi w:val="0"/>
        <w:spacing w:before="240" w:after="0"/>
        <w:jc w:val="left"/>
        <w:rPr>
          <w:rFonts w:ascii="Times New Roman" w:hAnsi="Times New Roman"/>
          <w:sz w:val="20"/>
        </w:rPr>
      </w:pPr>
      <w:r>
        <w:rPr>
          <w:rFonts w:ascii="Times New Roman" w:hAnsi="Times New Roman"/>
          <w:sz w:val="20"/>
        </w:rPr>
        <w:t xml:space="preserve">3.29 </w:t>
      </w:r>
      <w:r>
        <w:rPr>
          <w:rFonts w:ascii="Times New Roman" w:hAnsi="Times New Roman"/>
          <w:sz w:val="20"/>
          <w:u w:val="single"/>
        </w:rPr>
        <w:t>Anti-Bribery and Anti-Money Laundering Laws; Sanctions</w:t>
      </w:r>
      <w:r>
        <w:rPr>
          <w:rFonts w:ascii="Times New Roman" w:hAnsi="Times New Roman"/>
          <w:sz w:val="20"/>
        </w:rPr>
        <w:t xml:space="preserve">.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 </w:t>
      </w:r>
    </w:p>
    <w:p>
      <w:pPr>
        <w:pStyle w:val="TextBody"/>
        <w:bidi w:val="0"/>
        <w:spacing w:before="240" w:after="0"/>
        <w:jc w:val="left"/>
        <w:rPr>
          <w:rFonts w:ascii="Times New Roman" w:hAnsi="Times New Roman"/>
          <w:sz w:val="20"/>
        </w:rPr>
      </w:pPr>
      <w:r>
        <w:rPr>
          <w:rFonts w:ascii="Times New Roman" w:hAnsi="Times New Roman"/>
          <w:sz w:val="20"/>
        </w:rPr>
        <w:t xml:space="preserve">3.30 </w:t>
      </w:r>
      <w:r>
        <w:rPr>
          <w:rFonts w:ascii="Times New Roman" w:hAnsi="Times New Roman"/>
          <w:sz w:val="20"/>
          <w:u w:val="single"/>
        </w:rPr>
        <w:t>Cybersecurity</w:t>
      </w:r>
      <w:r>
        <w:rPr>
          <w:rFonts w:ascii="Times New Roman" w:hAnsi="Times New Roman"/>
          <w:sz w:val="20"/>
        </w:rPr>
        <w:t>. The Company and its Subsidiaries’ information technology assets and equipment, computers, systems, networks, hardware, software, websites, applications, and databases (collectively, “</w:t>
      </w:r>
      <w:r>
        <w:rPr>
          <w:rFonts w:ascii="Times New Roman" w:hAnsi="Times New Roman"/>
          <w:b/>
          <w:sz w:val="20"/>
        </w:rPr>
        <w:t>IT Systems</w:t>
      </w:r>
      <w:r>
        <w:rPr>
          <w:rFonts w:ascii="Times New Roman" w:hAnsi="Times New Roman"/>
          <w:sz w:val="20"/>
        </w:rPr>
        <w:t xml:space="preserve">”)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maintained commercially reasonable physical, technical and administrative controls designed to maintain and protect the confidentiality, integrity, availability, privacy and security of all sensitive, confidential or regulated data (“</w:t>
      </w:r>
      <w:r>
        <w:rPr>
          <w:rFonts w:ascii="Times New Roman" w:hAnsi="Times New Roman"/>
          <w:b/>
          <w:sz w:val="20"/>
        </w:rPr>
        <w:t>Confidential Data</w:t>
      </w:r>
      <w:r>
        <w:rPr>
          <w:rFonts w:ascii="Times New Roman" w:hAnsi="Times New Roman"/>
          <w:sz w:val="20"/>
        </w:rPr>
        <w:t>”) used or maintained in connection with their businesses and Personal Data (defined below), and the integrity, availability continuous operation, redundancy and security of all IT Systems. “</w:t>
      </w:r>
      <w:r>
        <w:rPr>
          <w:rFonts w:ascii="Times New Roman" w:hAnsi="Times New Roman"/>
          <w:b/>
          <w:sz w:val="20"/>
        </w:rPr>
        <w:t>Personal Data</w:t>
      </w:r>
      <w:r>
        <w:rPr>
          <w:rFonts w:ascii="Times New Roman" w:hAnsi="Times New Roman"/>
          <w:sz w:val="20"/>
        </w:rPr>
        <w:t xml:space="preserve">”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HIPAA;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3.31 </w:t>
      </w:r>
      <w:r>
        <w:rPr>
          <w:rFonts w:ascii="Times New Roman" w:hAnsi="Times New Roman"/>
          <w:sz w:val="20"/>
          <w:u w:val="single"/>
        </w:rPr>
        <w:t>Compliance with Data Privacy Laws</w:t>
      </w:r>
      <w:r>
        <w:rPr>
          <w:rFonts w:ascii="Times New Roman" w:hAnsi="Times New Roman"/>
          <w:sz w:val="20"/>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hAnsi="Times New Roman"/>
          <w:b/>
          <w:sz w:val="20"/>
        </w:rPr>
        <w:t>Process</w:t>
      </w:r>
      <w:r>
        <w:rPr>
          <w:rFonts w:ascii="Times New Roman" w:hAnsi="Times New Roman"/>
          <w:sz w:val="20"/>
        </w:rPr>
        <w:t>” or “</w:t>
      </w:r>
      <w:r>
        <w:rPr>
          <w:rFonts w:ascii="Times New Roman" w:hAnsi="Times New Roman"/>
          <w:b/>
          <w:sz w:val="20"/>
        </w:rPr>
        <w:t>Processing</w:t>
      </w:r>
      <w:r>
        <w:rPr>
          <w:rFonts w:ascii="Times New Roman" w:hAnsi="Times New Roman"/>
          <w:sz w:val="20"/>
        </w:rPr>
        <w:t>”) of Personal Data, including without limitation HIPAA, the EU General Data Protection Regulation (“</w:t>
      </w:r>
      <w:r>
        <w:rPr>
          <w:rFonts w:ascii="Times New Roman" w:hAnsi="Times New Roman"/>
          <w:b/>
          <w:sz w:val="20"/>
        </w:rPr>
        <w:t>GDPR</w:t>
      </w:r>
      <w:r>
        <w:rPr>
          <w:rFonts w:ascii="Times New Roman" w:hAnsi="Times New Roman"/>
          <w:sz w:val="20"/>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hAnsi="Times New Roman"/>
          <w:b/>
          <w:sz w:val="20"/>
        </w:rPr>
        <w:t>Privacy Laws</w:t>
      </w:r>
      <w:r>
        <w:rPr>
          <w:rFonts w:ascii="Times New Roman" w:hAnsi="Times New Roman"/>
          <w:sz w:val="20"/>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hAnsi="Times New Roman"/>
          <w:b/>
          <w:sz w:val="20"/>
        </w:rPr>
        <w:t>Privacy Statements</w:t>
      </w:r>
      <w:r>
        <w:rPr>
          <w:rFonts w:ascii="Times New Roman" w:hAnsi="Times New Roman"/>
          <w:sz w:val="20"/>
        </w:rPr>
        <w:t xml:space="preserve">”). The Company and its Subsidiaries have, except as would not reasonably be expected, individually or in the aggregate, to result in a Material Adverse Effect, at all times since inception provided accurate notice of its Privacy Statements then in effect to its customers, employees, third party vendors and representatives. None of such disclosures made or contained in any Privacy Statements have been materially inaccurate, misleading, incomplete, or in material violation of any Privacy Laws. </w:t>
      </w:r>
    </w:p>
    <w:p>
      <w:pPr>
        <w:pStyle w:val="TextBody"/>
        <w:bidi w:val="0"/>
        <w:spacing w:before="240" w:after="0"/>
        <w:jc w:val="left"/>
        <w:rPr>
          <w:rFonts w:ascii="Times New Roman" w:hAnsi="Times New Roman"/>
          <w:sz w:val="20"/>
        </w:rPr>
      </w:pPr>
      <w:r>
        <w:rPr>
          <w:rFonts w:ascii="Times New Roman" w:hAnsi="Times New Roman"/>
          <w:sz w:val="20"/>
        </w:rPr>
        <w:t xml:space="preserve">3.32 </w:t>
      </w:r>
      <w:r>
        <w:rPr>
          <w:rFonts w:ascii="Times New Roman" w:hAnsi="Times New Roman"/>
          <w:sz w:val="20"/>
          <w:u w:val="single"/>
        </w:rPr>
        <w:t>Disclosures</w:t>
      </w:r>
      <w:r>
        <w:rPr>
          <w:rFonts w:ascii="Times New Roman" w:hAnsi="Times New Roman"/>
          <w:sz w:val="20"/>
        </w:rPr>
        <w:t xml:space="preserve">. The information supplied or to be supplied by or on behalf of the Company for inclusion or incorporation by reference in the Merger Registration Statement, or supplied or to be supplied by or on behalf of the Company for inclusion in any filing pursuant to Rule 165 and Rule 425 under the Securities Act or Rule 14a-12 under the Exchange Act (each a “Regulation M-A Filing”), will not, as of the time the Merger Registration Statement or any such Regulation M-A Filing is filed with the SEC, at any time it is amended or supplemented or at the time the Merger Registration Statement is declared effective by the SEC, as applicable, contain any untrue statement of a material fact, or omit to state any material fact required to be stated therein or necessary in order to make the statements made in the Merger Registration Statement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3.33 </w:t>
      </w:r>
      <w:r>
        <w:rPr>
          <w:rFonts w:ascii="Times New Roman" w:hAnsi="Times New Roman"/>
          <w:sz w:val="20"/>
          <w:u w:val="single"/>
        </w:rPr>
        <w:t>Additional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and as of the Closing Date, (i) the representations and warranties of the Company contained in Article III of the Merger Agreement and in any certificate or other writing delivered by the Company pursuant thereto are true and correct in all material respects (or, if any such representations or warranties are qualified by materiality, material adverse effect or similar language, true and correct in all respects), (ii) to the Company’s knowledge after conducting reasonable due diligence with respect to Synlogic and its business, the representations and warranties of Synlogic contained in Article IV of the Merger Agreement (as qualified therein and in the disclosure schedules thereto) and in any certificate or other writing delivered by Synlogic pursuant thereto were, true and correct as though given in accordance with Article IV of the Merger Agreement (or, if any such representations or warranties are qualified by materiality, material adverse effect or similar language, true and correct in all respects), and (iii) to the Company’s knowledge, the representations and warranties of Parent contained in Article V of the Merger Agreement (as qualified therein and in the disclosure schedules thereto) were true and correct in all material respects (or, if any such representations or warranties are qualified by materiality, material adverse effect or similar language, true and correct in all respects). All necessary corporate action has been duly and validly taken by the Company, Parent, Synlogic (to the Company’s knowledge), Synlogic Merger Sub and Caldera Merger Sub to authorize the execution, delivery and performance of the Merger Agreement. The Merger Agreement has been duly and validly authorized, executed and delivered by the Company, Parent, Synlogic (to the Company’s knowledge), Synlogic Merger Sub and Caldera Merger Sub and, assuming due authorization, execution and delivery by the other parties thereto, constitutes a valid and binding agreement of the Company, Parent, Synlogic (to the Company’s knowledge), Synlogic Merger Sub and Caldera Merger Sub, enforceable against the Company, Parent, Synlogic (to the Company’s knowledge), Synlogic Merger Sub and Caldera Merger Sub in accordance with its terms, except as enforceability may be limited by applicable bankruptcy, insolvency or similar laws affecting the enforcement of creditors’ rights generally or by equitable principles relating to enforceability. The Company has furnished or otherwise made available to each Investor a true and complete executed copy of the Merger Agreement as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(b) For the avoidance of doubt, the Company’s representations and warranties set forth in Sections 3.7 (Financial Statements), 3.9 (Absence of Undisclosed Liabilities), 3.12 (Intellectual Property), 3.14 (Compliance; Permits; Restrictions) and 3.17 (Employee and Labor Matters; Benefit Plans) of the Merger Agreement, are hereby incorporated by reference and made by the Company, as qualified by the disclosures in the Caldera Disclosure Schedule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3.34 </w:t>
      </w:r>
      <w:r>
        <w:rPr>
          <w:rFonts w:ascii="Times New Roman" w:hAnsi="Times New Roman"/>
          <w:sz w:val="20"/>
          <w:u w:val="single"/>
        </w:rPr>
        <w:t>Disclosure</w:t>
      </w:r>
      <w:r>
        <w:rPr>
          <w:rFonts w:ascii="Times New Roman" w:hAnsi="Times New Roman"/>
          <w:sz w:val="20"/>
        </w:rPr>
        <w:t xml:space="preserve">. The Company confirms that it has not provided, and to the Company’s knowledge, none of its officers or directors nor any other Person acting on its or their behalf (including, without limitation, the Placement Agents) has provided, and it has not authorized the Placement Agents to provide, any Investor or its respective agents or counsel with any information that it believes constitutes material, non-public information except insofar as the existence, provisions and terms of the Transaction Agreements, the Merger Agreement, and the proposed transactions hereunder and thereunder may constitute such information, all of which will be disclosed by the Company in the Disclosure Document as contemplated by Section 5.3 hereof. The Company understands and confirms that the Investors will rely on the foregoing representations in effecting transactions in securities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Each Investor</w:t>
      </w:r>
      <w:r>
        <w:rPr>
          <w:rFonts w:ascii="Times New Roman" w:hAnsi="Times New Roman"/>
          <w:sz w:val="20"/>
        </w:rPr>
        <w:t xml:space="preserve">. Each Investor, severally for itself and not jointly with any other Investor, represents and warrants to the Company and the Placement Agents that the statements contained in this </w:t>
      </w:r>
      <w:r>
        <w:rPr>
          <w:rFonts w:ascii="Times New Roman" w:hAnsi="Times New Roman"/>
          <w:sz w:val="20"/>
          <w:u w:val="single"/>
        </w:rPr>
        <w:t>Section 4</w:t>
      </w:r>
      <w:r>
        <w:rPr>
          <w:rFonts w:ascii="Times New Roman" w:hAnsi="Times New Roman"/>
          <w:sz w:val="20"/>
        </w:rPr>
        <w:t xml:space="preserve"> are true and correct as of the date hereof (except for the representations and warranties that speak as of a specific date, which shall be made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w:t>
      </w:r>
      <w:r>
        <w:rPr>
          <w:rFonts w:ascii="Times New Roman" w:hAnsi="Times New Roman"/>
          <w:sz w:val="20"/>
        </w:rPr>
        <w:t xml:space="preserve">. Such Investor is duly organized, validly existing and in good standing under the laws of the jurisdiction of its organization and has the requisite power and authority to own, lease and operate its properties and to carry on its business as now conducted.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Authorization</w:t>
      </w:r>
      <w:r>
        <w:rPr>
          <w:rFonts w:ascii="Times New Roman" w:hAnsi="Times New Roman"/>
          <w:sz w:val="20"/>
        </w:rPr>
        <w:t xml:space="preserve">. Such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herein has been taken. The signature of the Investor on this Agreement is genuine and the signatory to this Agreement, if the Investor is an individual, has the legal competence and capacity to execute the same or, if the Investor is not an individual, the signatory has been duly authorized to execute the same on behalf of the Investor.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No Conflicts</w:t>
      </w:r>
      <w:r>
        <w:rPr>
          <w:rFonts w:ascii="Times New Roman" w:hAnsi="Times New Roman"/>
          <w:sz w:val="20"/>
        </w:rPr>
        <w:t xml:space="preserve">. The execution, delivery and performance of the Transaction Agreements by such Investor, the purchase of the Shares in accordance with their terms and the consummation by such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such Investor to perform its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Residency</w:t>
      </w:r>
      <w:r>
        <w:rPr>
          <w:rFonts w:ascii="Times New Roman" w:hAnsi="Times New Roman"/>
          <w:sz w:val="20"/>
        </w:rPr>
        <w:t xml:space="preserve">. Such Investor’s residence (if an individual) or offices in which its investment decision with respect to the Shares was made (if an entity) are located at the address immediately below such Investor’s name on </w:t>
      </w:r>
      <w:r>
        <w:rPr>
          <w:rFonts w:ascii="Times New Roman" w:hAnsi="Times New Roman"/>
          <w:sz w:val="20"/>
          <w:u w:val="single"/>
        </w:rPr>
        <w:t>Exhibit A</w:t>
      </w:r>
      <w:r>
        <w:rPr>
          <w:rFonts w:ascii="Times New Roman" w:hAnsi="Times New Roman"/>
          <w:sz w:val="20"/>
        </w:rPr>
        <w:t xml:space="preserve">, except as otherwise communicated by such Investor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Brokers and Finders</w:t>
      </w:r>
      <w:r>
        <w:rPr>
          <w:rFonts w:ascii="Times New Roman" w:hAnsi="Times New Roman"/>
          <w:sz w:val="20"/>
        </w:rPr>
        <w:t xml:space="preserve">. Such Investor has not retained or been represented by any broker or finder in connection with the transactions contemplated by this Agreement whose fees the Company would be required to pay.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Investment Representations and Warranties</w:t>
      </w:r>
      <w:r>
        <w:rPr>
          <w:rFonts w:ascii="Times New Roman" w:hAnsi="Times New Roman"/>
          <w:sz w:val="20"/>
        </w:rPr>
        <w:t xml:space="preserve">. Each Investor hereby represents and warrants that, it (i) as of the date hereof is, if an entity, a “qualified institutional buyer” (as defined in Rule 144A under the Securities Act) or an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Shares. Each Investor further represents and warrants that (x) it is capable of evaluating the merits and risk of such investment, and (y) that it has not been organized for the purpose of acquiring the Shares and is an “institutional account” as defined by FINRA Rule 4512(c). Such Investor understands and agrees that the offering and sale of the Shares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Investor’s representations as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Intent</w:t>
      </w:r>
      <w:r>
        <w:rPr>
          <w:rFonts w:ascii="Times New Roman" w:hAnsi="Times New Roman"/>
          <w:sz w:val="20"/>
        </w:rPr>
        <w:t xml:space="preserve">. Each Investor is purchasing the Shares solely for investment purposes, for such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such Investor is purchasing the Shares as a fiduciary or agent for one or more investor accounts, such Investor has full investment discretion with respect to each such account, and the full power and authority to make the acknowledgements, representations and agreements herein on behalf of each owner of each such account. Each Investor has no present arrangement to sell the Shares to or through any Person or entity. Each Investor understands that the Shares must be held indefinitely unless such securities are resold pursuant to a registration statement under the Securities Act or an exemption from registration is available. Nothing contained herein shall be deemed a representation or warranty by such Investor to hold the Shares for any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Investment Experience; Ability to Protect Its Own Interests and Bear Economic Risks</w:t>
      </w:r>
      <w:r>
        <w:rPr>
          <w:rFonts w:ascii="Times New Roman" w:hAnsi="Times New Roman"/>
          <w:sz w:val="20"/>
        </w:rPr>
        <w:t xml:space="preserve">. Each Investor acknowledges that it can bear the economic risk and complete loss of its investment in the Shares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such Investor has considered necessary to make an informed investment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Investor acknowledges that such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Shares. Each Investor acknowledges that such Investor is aware that there are substantial risks incident to the purchase and ownership of the Shares. Alone, or together with any professional advisor(s), such Investor has adequately analyzed and fully considered the risks of an investment in the Shares and determined that the Shares are a suitable investment for the Investor. Each Investor is, at this time and in the foreseeable future, able to afford the loss of such Investor’s entire investment in the Shares and such Investor acknowledges specifically that a possibility of total loss exists.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Independent Investment Decision</w:t>
      </w:r>
      <w:r>
        <w:rPr>
          <w:rFonts w:ascii="Times New Roman" w:hAnsi="Times New Roman"/>
          <w:sz w:val="20"/>
        </w:rPr>
        <w:t xml:space="preserve">. Such Investor understands that nothing in the Transaction Agreements or any other materials presented by or on behalf of the Company or Synlogic to such Investor in connection with the purchase of the Shares constitutes legal, tax or investment advice. Such Investor has consulted such legal, tax and investment advisors as it, in its sole discretion, has deemed necessary or appropriate in connection with its purchase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Securities Not Registered; Legends</w:t>
      </w:r>
      <w:r>
        <w:rPr>
          <w:rFonts w:ascii="Times New Roman" w:hAnsi="Times New Roman"/>
          <w:sz w:val="20"/>
        </w:rPr>
        <w:t xml:space="preserve">. Such Investor acknowledges and agrees that the Shares are being offered in a transaction not involving any public offering within the meaning of the Securities Act, and such Investor understands that the Shares have not been registered under the Securities Act, by reason of their issuance by the Company in a transaction exempt from the registration requirements of the Securities Act, and that the Shares must continue to be held and may not be offered, resold, transferred, pledged or otherwise disposed of by such Investor unless a subsequent disposition thereof is registered under the Securities Act or is exempt from such registration and in each case in accordance with any applicable securities laws of any state of the United States. Such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such Investor’s control and which the Company may not be able to satisfy, and that, if applicable, Rule 144 may afford the basis for sales only in limited amounts. Such Investor acknowledges and agrees that it has been advised to consult legal counsel prior to making any offer, resale, transfer, pledge or disposition of any of the Shares. Such Investor acknowledges that no federal or state agency has passed upon or endorsed the merits of the offering of the Shares or made any findings or determination as to the fairness of this investment. </w:t>
      </w:r>
    </w:p>
    <w:p>
      <w:pPr>
        <w:pStyle w:val="TextBody"/>
        <w:bidi w:val="0"/>
        <w:spacing w:before="240" w:after="0"/>
        <w:jc w:val="left"/>
        <w:rPr>
          <w:rFonts w:ascii="Times New Roman" w:hAnsi="Times New Roman"/>
          <w:sz w:val="20"/>
        </w:rPr>
      </w:pPr>
      <w:r>
        <w:rPr>
          <w:rFonts w:ascii="Times New Roman" w:hAnsi="Times New Roman"/>
          <w:sz w:val="20"/>
        </w:rPr>
        <w:t xml:space="preserve">Each Investor understands that until the Shares are exchanged for the Exchange Shares under the Merger Registration Statement, any book-entry notations evidencing the Shares may bear the following legend: </w:t>
      </w:r>
    </w:p>
    <w:p>
      <w:pPr>
        <w:pStyle w:val="TextBody"/>
        <w:bidi w:val="0"/>
        <w:spacing w:before="120" w:after="0"/>
        <w:jc w:val="left"/>
        <w:rPr/>
      </w:pPr>
      <w:r>
        <w:rPr/>
        <w:t>“</w:t>
      </w:r>
      <w:r>
        <w:rPr>
          <w:rFonts w:ascii="Times New Roman" w:hAnsi="Times New Roman"/>
          <w:sz w:val="20"/>
        </w:rPr>
        <w:t xml:space="preserve">THE OFFER AND SALE OF THE SECURITIES REPRESENTED HEREBY HAVE NOT BEEN REGISTERED UNDER THE SECURITIES ACT OF 1933, AS AMENDED, OR THE SECURITIES LAWS OF ANY STATE OF THE UNITED STATES. THE SECURITIES MAY NOT BE SOLD, OFFERED FOR SALE, PLEDGED, HYPOTHECATED, TRANSFERRED OR ASSIGNED IN THE ABSENCE OF AN EFFECTIVE REGISTRATION STATEMENT FOR THE SECURITIES UNDER APPLICABLE SECURITIES LAWS, OR UNLESS OFFERED, SOLD, PLEDGED, HYPOTHECATED OR TRANSFERRED PURSUANT TO AN AVAILABLE EXEMPTION FROM THE REGISTRATION REQUIREMENTS OF THOSE LAWS. NOTWITHSTANDING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FOREGOING, THE SECURITIES MAY BE TRANSFERRED TO AN AFFILIATE OF SUCH HOLDER OR A CUSTODIAL NOMINEE. NOTWITHSTANDING THE FOREGOING, THE SECURITIES MAY BE PLEDGED IN CONNECTION WITH A BONA FIDE MARGIN ACCOUNT OR OTHER LOAN OR FINANCING ARRANGEMENT SECURED BY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Shares may contain a legend regarding affiliate status of the Investor, if applicable, provided that the Company will notify the Investor in advance of Closing if such a legend is to be placed on its Shares.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Placement Agents</w:t>
      </w:r>
      <w:r>
        <w:rPr>
          <w:rFonts w:ascii="Times New Roman" w:hAnsi="Times New Roman"/>
          <w:sz w:val="20"/>
        </w:rPr>
        <w:t xml:space="preserve">. Each Investor hereby acknowledges and agrees that (a) the Placement Agents are acting solely as Placement Agents in connection with the execution, delivery and performance of the Transaction Agreements and the issuance of the Shares to the Investor and neither the Placement Agents nor any of its Affiliates have acted as an underwriter or in any other capacity and are not and shall not be construed as a fiduciary or financial advisor for such Investor, the Company, Synlogic or any other Person or entity in connection with the execution, delivery and performance of the Transaction Agreements and the issuance and purchase of the Shares, (b) the Placement Agents have not made and do not make any representation or warranty, whether express or implied, of any kind or character, and the Placement Agents have not provided any advice or recommendation in connection with the execution, delivery and performance of the Transaction Agreements or with respect to the Shares, nor is such information or advice necessary or desired, (c) the Placement Agents will not have any responsibility with respect to (i) any representations, warranties or agreements made by any Person or entity under or in connection with the execution, delivery and performance of the Transaction Agreements, or the execution, legality, validity or enforceability (with respect to any Person) thereof, or (ii) the business, affairs, financial condition, operations, properties or prospects of, or any other matter concerning the Company or Synlogic, and (d) the Placement Agents will not have any liability or obligation (including without limitation, for or with respect to any losses, claims, damages, obligations, penalties, judgments, awards, liabilities, costs, expenses or disbursements incurred by such Investor, the Company, Synlogic or any other Person or entity), whether in contract, tort or otherwise, to such Investor, or to any Person claiming through it, in respect of the execution, delivery and performance of the Transaction Agreements, except in each case for such party’s own gross negligence, willful misconduct or bad faith. No disclosure or offering document has been prepared by the Placement Agents or any of their respective Affiliates in connection with the offer and sale of the Shares. Neither the Placement Agents nor any of its Affiliates have made or make any representation as to the quality or value of the Shares and the Placement Agents and its Affiliates may have acquired non-public information with respect to the Company or Synlogic which the Investor agrees need not be provided to it.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No General Solicitation</w:t>
      </w:r>
      <w:r>
        <w:rPr>
          <w:rFonts w:ascii="Times New Roman" w:hAnsi="Times New Roman"/>
          <w:sz w:val="20"/>
        </w:rPr>
        <w:t xml:space="preserve">. Each Investor acknowledges and agrees that the Investor is purchasing the Shares directly from the Company. Such Investor became aware of this offering of the Shares solely by means of direct contact from the Placement Agents or directly from Synlogic or the Company as a result of a pre-existing, substantive relationship with Synlogic, the Company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persons. The Shares were offered to such Investor solely by direct contact between such Investor, on the one hand, and Synlogic, the Company, the Placement Agents and/or their respective representatives, on the other hand. Such Investor did not become aware of this offering of the Shares, nor were the Shares offered to such Investor, by any other means, and none of Synlogic, the Company, the Placement Agents and/or their respective representatives acted as investment advisor, broker or dealer to such Investor. The Investor is not purchasing the Shares as a result of any advertisement, article, notice or other communication regarding the Shares published in any newspaper, magazine or similar media or broadcast over television, radio or the internet or presented at any seminar or any other general solicitation or general advertisement, within the meaning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Access to Information</w:t>
      </w:r>
      <w:r>
        <w:rPr>
          <w:rFonts w:ascii="Times New Roman" w:hAnsi="Times New Roman"/>
          <w:sz w:val="20"/>
        </w:rPr>
        <w:t xml:space="preserve">. In making its decision to purchase the Shares, each Investor has relied solely upon independent investigation made by such Investor, and upon the representations, warranties and covenants of the Company set forth herein. Such Investor acknowledges and agrees that such Investor and such Investor’s professional advisor(s), if any, have had the opportunity to ask such questions, receive such answers and obtain such information from Synlogic and the Company regarding Synlogic, the Company, their respective businesses and the terms and conditions of the offering of the Shares as such Investor and such Investor’s professional advisor(s), if any, have deemed necessary to make an investment decision with respect to the Shares and that such Investor has independently made its own analysis and decision to invest in the Company. Neither such inquiries nor any other due diligence investigation conducted by such Investor shall modify, limit or otherwise affect such Investor’s right to rely on the Company’s representations and warranties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Certain Trading Activities</w:t>
      </w:r>
      <w:r>
        <w:rPr>
          <w:rFonts w:ascii="Times New Roman" w:hAnsi="Times New Roman"/>
          <w:sz w:val="20"/>
        </w:rPr>
        <w:t xml:space="preserve">. Other than consummating the transaction contemplated hereby, such Investor has not, nor has any Person acting on behalf of or pursuant to any understanding with such Investor, directly or indirectly executed any purchases or sales, including Short Sales, of the securities of Synlogic during the period commencing as of the time that such Investor was first contacted by the Company or any other Person regarding the transaction contemplated hereby and ending immediately prior to execution of this Agreement. Notwithstanding the foregoing, (i)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Shares covered by this Agreement and (ii) in the case of an Investor whose investment adviser utilized an information barrier with respect to the information regarding the transactions contemplated hereunder after first being contacted by the Company, Synlogic or such other Person representing the Company or Synlogic, the representation set forth above shall only apply after the point in time when the portfolio manager who manages such Investor’s assets was informed of the information regarding the transactions contemplated hereunder and, with respect to the Investor’s investment adviser, the representation set forth above shall only apply with respect to any purchases or sales, including Short Sales, of the securities of Synlogic on behalf of other funds or investment vehicles for which the Investor’s investment adviser is also an investment adviser or subadviser after the point in time when the portfolio manager who manages the assets of such other funds or investment vehicles for which the Investor’s investment adviser is also an investment adviser or sub-adviser was informed of the information regarding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contemplated hereunder. Other than to other Persons party to this Agreement and to its advisors and agents who had a need to know such information,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 </w:t>
      </w:r>
    </w:p>
    <w:p>
      <w:pPr>
        <w:pStyle w:val="TextBody"/>
        <w:bidi w:val="0"/>
        <w:spacing w:before="240" w:after="0"/>
        <w:jc w:val="left"/>
        <w:rPr>
          <w:rFonts w:ascii="Times New Roman" w:hAnsi="Times New Roman"/>
          <w:sz w:val="20"/>
        </w:rPr>
      </w:pPr>
      <w:r>
        <w:rPr>
          <w:rFonts w:ascii="Times New Roman" w:hAnsi="Times New Roman"/>
          <w:sz w:val="20"/>
        </w:rPr>
        <w:t>4.15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Further Assurances</w:t>
      </w:r>
      <w:r>
        <w:rPr>
          <w:rFonts w:ascii="Times New Roman" w:hAnsi="Times New Roman"/>
          <w:sz w:val="20"/>
        </w:rPr>
        <w:t xml:space="preserve">. Prior to the Closing date,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hereof and compliance with applicable law, including taking reasonable action to facilitate the filing of any document or the taking of reasonable action to assist the other parties hereto in complying with the terms hereof. Each Investor acknowledges that the Company and the Placement Agents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hAnsi="Times New Roman"/>
          <w:sz w:val="20"/>
          <w:u w:val="single"/>
        </w:rPr>
        <w:t>Section 4</w:t>
      </w:r>
      <w:r>
        <w:rPr>
          <w:rFonts w:ascii="Times New Roman" w:hAnsi="Times New Roman"/>
          <w:sz w:val="20"/>
        </w:rPr>
        <w:t xml:space="preserve"> of this Agreement are no longer accurate, and the Company agrees to promptly notify each Investor if any of the acknowledgments, understandings, agreements, representations and warranties set forth in Section 3 of this Agreement are no longer accurate.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Disclosure of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shall, by 9:00 a.m., New York City time, on the first (1st) Business Day immediately following the date hereof (</w:t>
      </w:r>
      <w:r>
        <w:rPr>
          <w:rFonts w:ascii="Times New Roman" w:hAnsi="Times New Roman"/>
          <w:sz w:val="20"/>
          <w:u w:val="single"/>
        </w:rPr>
        <w:t>provided</w:t>
      </w:r>
      <w:r>
        <w:rPr>
          <w:rFonts w:ascii="Times New Roman" w:hAnsi="Times New Roman"/>
          <w:sz w:val="20"/>
        </w:rPr>
        <w:t xml:space="preserve"> that, if this Agreement is executed between midnight and 9:00 a.m., New York City time on any Business Day, no later than 9:01 a.m. on the date hereof), issue a press release and/or cause Synlogic to substantially contemporaneously file with the SEC a Current Report on Form 8-K (including all exhibits thereto, the “</w:t>
      </w:r>
      <w:r>
        <w:rPr>
          <w:rFonts w:ascii="Times New Roman" w:hAnsi="Times New Roman"/>
          <w:b/>
          <w:i/>
          <w:sz w:val="20"/>
        </w:rPr>
        <w:t>Disclosure Document</w:t>
      </w:r>
      <w:r>
        <w:rPr>
          <w:rFonts w:ascii="Times New Roman" w:hAnsi="Times New Roman"/>
          <w:sz w:val="20"/>
        </w:rPr>
        <w:t>” and the actual filing of such press release and/or Current Report on Form 8-K, the “</w:t>
      </w:r>
      <w:r>
        <w:rPr>
          <w:rFonts w:ascii="Times New Roman" w:hAnsi="Times New Roman"/>
          <w:b/>
          <w:i/>
          <w:sz w:val="20"/>
        </w:rPr>
        <w:t>Disclosure Time</w:t>
      </w:r>
      <w:r>
        <w:rPr>
          <w:rFonts w:ascii="Times New Roman" w:hAnsi="Times New Roman"/>
          <w:sz w:val="20"/>
        </w:rPr>
        <w:t xml:space="preserve">”) disclosing (i) all other material terms of the transactions contemplated hereby and by the other Transaction Agreements and the Merger Agreement and attaching this Agreement, the other Transaction Agreements and the Merger Agreement as exhibits to such Disclosure Document, and (ii) all material non-public information concerning the Company, Synlogic, the transactions contemplated hereby or the transactions contemplated by the Merger Agreement disclosed to the Investors prior to the Disclosure Time. The Company represents and warrants that following the Disclosure Time, no Investor shall be in possession of any material non-public information received from the Company, Synlogic, their respective Subsidiaries or any of their respective officers, directors, employees or agents (including the Placement Agents). The Company understands and confirms that the Investors will rely on the foregoing representation in effecting securities transactions. Without limiting the terms of the Registration Rights Agreement, from and after the issuance of the Disclosure Document, the Company shall not provide material non-public information to any Investor, or their respective affiliates, attorneys, agents or representatives, unless otherwise specifically agreed in writing by such Investor prior to any such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anything in this Agreement to the contrary, the Company shall not publicly disclose the name of any Investor or any of its Affiliates or advisors, or include the name of any Investor or any of its Affiliates or advisors in any marketing materials (whether or not made publicly available), press release, public announcement or filing with the SEC (other than any registration statement contemplated by the Merger Agreement or the Registration Rights Agreement, the latter of which shall be subject to review of the Investors in accordance with the terms of the Registration Rights Agreement) or any regulatory agency, without the prior written consent of such Investor, except (i) as required by the federal securities law in connection with (A) any registration statement contemplated by the Merger Agreement or the Registration Rights Agreement, which shall be subject to the Investors’ review in accordance with the term of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Nasdaq; provided, that the Company shall use commercially reasonable efforts to provide Investors with prior written notice of and a reasonable opportunity to review such disclosure permitted under foregoing clauses (i) and (ii).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Integration</w:t>
      </w:r>
      <w:r>
        <w:rPr>
          <w:rFonts w:ascii="Times New Roman" w:hAnsi="Times New Roman"/>
          <w:sz w:val="20"/>
        </w:rPr>
        <w:t xml:space="preserve">. The Company shall not, and shall use its reasonable best efforts to ensure that no Affiliate of the Company shall, sell, offer for sale or solicit offers to buy or otherwise negotiate in respect of any security (as defined in Section 2 of the Securities Act) that will be integrated with the offer or sale of the Shares in a manner that would require the registration under the Securities Act of the sale of the Shares to the Investors, or that will be integrated with the offer or sale of the Shares for purposes of the rules and regulations of any National Exchange such that it would require stockholder approval prior to the closing of such other transaction unless stockholder approval is obtained before the closing of such subsequent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Removal of Legends</w:t>
      </w:r>
      <w:r>
        <w:rPr>
          <w:rFonts w:ascii="Times New Roman" w:hAnsi="Times New Roman"/>
          <w:sz w:val="20"/>
        </w:rPr>
        <w:t xml:space="preserve">. (a) In connection with any sale, assignment, transfer or other disposition of the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instruct the Transfer Agent to remove any restrictive legends related to the book entry account holding such Shares and make a new, unlegended entry for such book entry Shares sold or disposed of without restrictive legends as soon as reasonably practicable following any such request therefor from the Investor, provided that the Company has timely received from the Investor customary representations as may be reasonably required in accordance with applicable law, by the Company’s transfer agent and by the Company’s counsel in connection with any opinion to be delivered in connection therewith. Any shares subject to legend removal under this Section 5.5 may be transmitted by the Transfer Agent to the Investor by crediting the account of the Investor’s prime broker with the DTC System as directed by such Investor. The Company shall be responsible for the fees of the Transfer Agent, DTC and its legal counsel associated with such legend removal.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addition, without limiting Section 5.5(a), and subject to receipt from the Investor by the Company and the Transfer Agent of customary representations as may reasonably be required in accordance with applicable law in connection therewith, upon the earliest of such time as the Shares (i) have been registered under the Securities Act pursuant to an effective registration statement, (ii) have been sold pursuant to Rule 144 (in which case the provisions of Section 5.5(a) shall apply), or (iii) are eligible for resale under Rule 144(b)(1) without the requirement for the Company to be in compliance with the current public information requirements under Rule 144(c)(1) (or any successor provision), the Company shall, as soon as reasonably practicable following any request therefor from an Investor accompanied by such customary and reasonably acceptable documentation referred to above,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 Any shares subject to legend removal under this Section 5.5 may be transmitted by the Transfer Agent to the Investor by crediting the account of the Investor’s prime broker with the DTC System as directed by such Investor. The Company shall be responsible for the fees of the Transfer Agent, DTC and its legal counsel associated with such legend removal.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Withholding Taxes</w:t>
      </w:r>
      <w:r>
        <w:rPr>
          <w:rFonts w:ascii="Times New Roman" w:hAnsi="Times New Roman"/>
          <w:sz w:val="20"/>
        </w:rPr>
        <w:t xml:space="preserve">. Each Investor agrees to furnish the Company with any information, representations and forms as shall reasonably be requested by the Company from time to time to assist the Company in complying with any applicable tax law (including any withholding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Fees</w:t>
      </w:r>
      <w:r>
        <w:rPr>
          <w:rFonts w:ascii="Times New Roman" w:hAnsi="Times New Roman"/>
          <w:sz w:val="20"/>
        </w:rPr>
        <w:t xml:space="preserve">.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Agents.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No Conflicting Agreements</w:t>
      </w:r>
      <w:r>
        <w:rPr>
          <w:rFonts w:ascii="Times New Roman" w:hAnsi="Times New Roman"/>
          <w:sz w:val="20"/>
        </w:rPr>
        <w:t xml:space="preserve">. The Company will not take any action, enter into any agreement or make any commitment that would conflict or interfere in any material respect with the Company’s obligations to the Investors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agrees to indemnify and hold harmless each Investor and its Affiliates, and their respective directors, officers, trustees, members, managers, employees, investment advisers and agents (collectively, the “</w:t>
      </w:r>
      <w:r>
        <w:rPr>
          <w:rFonts w:ascii="Times New Roman" w:hAnsi="Times New Roman"/>
          <w:b/>
          <w:i/>
          <w:sz w:val="20"/>
        </w:rPr>
        <w:t>Indemnified Persons</w:t>
      </w:r>
      <w:r>
        <w:rPr>
          <w:rFonts w:ascii="Times New Roman" w:hAnsi="Times New Roman"/>
          <w:sz w:val="20"/>
        </w:rPr>
        <w:t xml:space="preserve">”),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the Transaction Agreements or (ii) as a result of or arising out of any action, claim or proceeding, pending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threatened, against an Indemnified Person in any capacity by any stockholder of the Company (which, for the avoidance of doubt, shall include all stockholders of Parent following the Mergers) (whether directly or in a derivative capacity) who is not an Affiliate of the Indemnified Person with respect to the transactions contemplated by the Transaction Agreements or the Merger Agreement, and, in each case, will reimburse any such Indemnified Person for all such amounts as they are incurred by such Indemnified Person except to the extent such amounts have been finally judicially determined to have resulted from such Indemnified Person’s fraud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Concurrent Financing Restructuring</w:t>
      </w:r>
      <w:r>
        <w:rPr>
          <w:rFonts w:ascii="Times New Roman" w:hAnsi="Times New Roman"/>
          <w:sz w:val="20"/>
        </w:rPr>
        <w:t xml:space="preserve">. In the event the structure of the Concurrent Financing (as defined in the Merger Agreement) either violates applicable Law (as defined in the Merger Agreement) or materially and adversely affects Synlogic’s ability to cause the Registration Statement to become effective in a timely manner, and in any event 60 days prior to the Outside Date (as defined in, and as may be extended in accordance with, the Merger Agreement), then the Company and Investors shall cooperate and use commercially reasonable efforts to cause the Concurrent Financing to be amended, modified and/or restructured such that such investment occurs as a direct acquisition of shares of Synlogic Common Stock and/or Parent Common Stock (as defined in the Merger Agreement) substantially contemporaneously with the Closing 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manner which preserves to the extent possible, the amount of funds ultimately received by the Company, and the number of shares of Parent Common Stock ultimately held by each Investor in respect of such amounts as though the Concurrent Financing and the Merger pursuant to the Merger Agreement have been consummated according to their respective terms. For the avoidance of doubt, any restructuring of the financing shall not result in any increase to the amount the Investor is required to fund under this Agreement without such Investor’s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Form S-4</w:t>
      </w:r>
      <w:r>
        <w:rPr>
          <w:rFonts w:ascii="Times New Roman" w:hAnsi="Times New Roman"/>
          <w:sz w:val="20"/>
        </w:rPr>
        <w:t xml:space="preserve">. From the date hereof until the Closing Date, the Company shall use commercially reasonable efforts to ensure the Merger Registration Statement will register the issuance of the shares of Parent Common Stock to be issued, subject to and in accordance with the terms of the Merger Agreement, in exchange for the Shares.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Reservation of Common Stock</w:t>
      </w:r>
      <w:r>
        <w:rPr>
          <w:rFonts w:ascii="Times New Roman" w:hAnsi="Times New Roman"/>
          <w:sz w:val="20"/>
        </w:rPr>
        <w:t xml:space="preserve">. As of the date hereof, the Company has reserved and the Company shall continue to reserve and keep available at all times, free of preemptive rights, a sufficient number of shares of Common Stock for the purpose of enabling the Company to issue the Shares.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No Amendment or Waiver of Merger Agreement Terms</w:t>
      </w:r>
      <w:r>
        <w:rPr>
          <w:rFonts w:ascii="Times New Roman" w:hAnsi="Times New Roman"/>
          <w:sz w:val="20"/>
        </w:rPr>
        <w:t xml:space="preserve">. The Company shall not, between the date hereof and the Closing Date, and shall not permit any of its Subsidiaries to, amend, modify, supplement, terminate or waive (or fail to contest an action regarding a breach of or agree to amend, modify, supplement, terminate or waive) any provision of the Merger Agreement or any other Transaction Agreement in a manner that would reasonably be expected to materially and adversely affect the benefits that an Investor would reasonably expect to receive pursuant to this Agreement without the prior written consent of a Majority in Interest of the Investors, it being agreed that any amendment or modification to the definitions of “Exchange Ratio,” “Caldera Equity Value” or “Caldera Outstanding Shares” or any other definition or provision that affects any of the foregoing defined terms shall be deemed to materially and adversely affect the benefits that the Investors would reasonably expect to receive under this Agreement. In seeking any such consent, the Company shall not disclose any material nonpublic information pertaining to the Company, Parent, Synlogic or their respective operations. </w:t>
      </w:r>
    </w:p>
    <w:p>
      <w:pPr>
        <w:pStyle w:val="TextBody"/>
        <w:bidi w:val="0"/>
        <w:spacing w:before="240" w:after="0"/>
        <w:jc w:val="left"/>
        <w:rPr>
          <w:rFonts w:ascii="Times New Roman" w:hAnsi="Times New Roman"/>
          <w:sz w:val="20"/>
        </w:rPr>
      </w:pPr>
      <w:r>
        <w:rPr>
          <w:rFonts w:ascii="Times New Roman" w:hAnsi="Times New Roman"/>
          <w:sz w:val="20"/>
        </w:rPr>
        <w:t xml:space="preserve">5.15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5.16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5.17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5.18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5.19 </w:t>
      </w:r>
      <w:r>
        <w:rPr>
          <w:rFonts w:ascii="Times New Roman" w:hAnsi="Times New Roman"/>
          <w:sz w:val="20"/>
          <w:u w:val="single"/>
        </w:rPr>
        <w:t>Blue Sky</w:t>
      </w:r>
      <w:r>
        <w:rPr>
          <w:rFonts w:ascii="Times New Roman" w:hAnsi="Times New Roman"/>
          <w:sz w:val="20"/>
        </w:rPr>
        <w:t xml:space="preserve">. The Company, on or before the Closing Date, shall take such action as the Company shall reasonably determine is necessary in order to obtain an exemption for or to qualify the Shares and Exchange Shares for sale and/or issuance to the Investors under applicable securities or “Blue Sky” laws of the states of the United States (or to obtain an exemption from such qualification) and shall provide evidence of such actions promptly upon the written request of any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Conditions to the Obligation of the Investors</w:t>
      </w:r>
      <w:r>
        <w:rPr>
          <w:rFonts w:ascii="Times New Roman" w:hAnsi="Times New Roman"/>
          <w:sz w:val="20"/>
        </w:rPr>
        <w:t xml:space="preserve">. The several obligations of each Investor to consummate the transactions to be consummated at the Closing, and to purchase and pay for the Shares being purchased by it at the Closing pursuant to this Agreement, are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the Company contained herein shall be true and correct in all material respects, except for the Fundamental Representations and those representations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the Fundamental Representations and those representations and warranties qualified by materiality or Material Adverse Effect, which shall be true and correct in all respects as of such earlier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The Company shall have performed in all material respects the obligations and conditions herein required to be performed or observed by the Company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w:t>
      </w:r>
      <w:r>
        <w:rPr>
          <w:rFonts w:ascii="Times New Roman" w:hAnsi="Times New Roman"/>
          <w:sz w:val="20"/>
        </w:rPr>
        <w:t xml:space="preserve">. The purchase of and payment for the Shares by each Investor shall not be prohibited or enjoined by any law or governmental or court order or regulation and no such prohibition shall have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Consents</w:t>
      </w:r>
      <w:r>
        <w:rPr>
          <w:rFonts w:ascii="Times New Roman" w:hAnsi="Times New Roman"/>
          <w:sz w:val="20"/>
        </w:rPr>
        <w:t xml:space="preserve">. The Company shall have obtained any and all consents, permits, approvals, registrations and waivers necessary for the consummation of the purchase and sale of the Shares, all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Transfer Agent</w:t>
      </w:r>
      <w:r>
        <w:rPr>
          <w:rFonts w:ascii="Times New Roman" w:hAnsi="Times New Roman"/>
          <w:sz w:val="20"/>
        </w:rPr>
        <w:t xml:space="preserve">. The Company shall have furnished all required materials to the Transfer Agent to reflect the issuance of the Shares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Adverse Changes</w:t>
      </w:r>
      <w:r>
        <w:rPr>
          <w:rFonts w:ascii="Times New Roman" w:hAnsi="Times New Roman"/>
          <w:sz w:val="20"/>
        </w:rPr>
        <w:t xml:space="preserve">. Since the date hereof, no event or series of events shall have occurred that has had or would reasonably be expected to have a Material Adverse Effect, a Synlogic Material Adverse Effect or a Caldera Material Adverse Effect (each,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Opinion of Company Counsel</w:t>
      </w:r>
      <w:r>
        <w:rPr>
          <w:rFonts w:ascii="Times New Roman" w:hAnsi="Times New Roman"/>
          <w:sz w:val="20"/>
        </w:rPr>
        <w:t xml:space="preserve">. The Company shall have delivered to the Investors and the Placement Agents the opinion of Fenwick &amp; West LLP, dated as of the Closing Date, in customary form and substance to be reasonably agreed upon with the Majority in Interest of the Investors, the Placement Agents and addressing such legal matters as a Majority in Interest of the Investors, the Placement Agents and the Company reasonably agree.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Compliance Certificate</w:t>
      </w:r>
      <w:r>
        <w:rPr>
          <w:rFonts w:ascii="Times New Roman" w:hAnsi="Times New Roman"/>
          <w:sz w:val="20"/>
        </w:rPr>
        <w:t xml:space="preserve">. An authorized officer of the Company shall have delivered to the Investors at the Closing Date a certificate certifying that the conditions specified in </w:t>
      </w:r>
      <w:r>
        <w:rPr>
          <w:rFonts w:ascii="Times New Roman" w:hAnsi="Times New Roman"/>
          <w:sz w:val="20"/>
          <w:u w:val="single"/>
        </w:rPr>
        <w:t>Sections 6.1(a)</w:t>
      </w:r>
      <w:r>
        <w:rPr>
          <w:rFonts w:ascii="Times New Roman" w:hAnsi="Times New Roman"/>
          <w:sz w:val="20"/>
        </w:rPr>
        <w:t xml:space="preserve"> (Representations and Warranties), </w:t>
      </w:r>
      <w:r>
        <w:rPr>
          <w:rFonts w:ascii="Times New Roman" w:hAnsi="Times New Roman"/>
          <w:sz w:val="20"/>
          <w:u w:val="single"/>
        </w:rPr>
        <w:t>6.1(b)</w:t>
      </w:r>
      <w:r>
        <w:rPr>
          <w:rFonts w:ascii="Times New Roman" w:hAnsi="Times New Roman"/>
          <w:sz w:val="20"/>
        </w:rPr>
        <w:t xml:space="preserve"> (Performance), </w:t>
      </w:r>
      <w:r>
        <w:rPr>
          <w:rFonts w:ascii="Times New Roman" w:hAnsi="Times New Roman"/>
          <w:sz w:val="20"/>
          <w:u w:val="single"/>
        </w:rPr>
        <w:t>6.1(c)</w:t>
      </w:r>
      <w:r>
        <w:rPr>
          <w:rFonts w:ascii="Times New Roman" w:hAnsi="Times New Roman"/>
          <w:sz w:val="20"/>
        </w:rPr>
        <w:t xml:space="preserve"> (No Injunction), </w:t>
      </w:r>
      <w:r>
        <w:rPr>
          <w:rFonts w:ascii="Times New Roman" w:hAnsi="Times New Roman"/>
          <w:sz w:val="20"/>
          <w:u w:val="single"/>
        </w:rPr>
        <w:t>6.1(d)</w:t>
      </w:r>
      <w:r>
        <w:rPr>
          <w:rFonts w:ascii="Times New Roman" w:hAnsi="Times New Roman"/>
          <w:sz w:val="20"/>
        </w:rPr>
        <w:t xml:space="preserve"> (Consents), </w:t>
      </w:r>
      <w:r>
        <w:rPr>
          <w:rFonts w:ascii="Times New Roman" w:hAnsi="Times New Roman"/>
          <w:sz w:val="20"/>
          <w:u w:val="single"/>
        </w:rPr>
        <w:t>6.1(f)</w:t>
      </w:r>
      <w:r>
        <w:rPr>
          <w:rFonts w:ascii="Times New Roman" w:hAnsi="Times New Roman"/>
          <w:sz w:val="20"/>
        </w:rPr>
        <w:t xml:space="preserve"> (Adverse Changes), </w:t>
      </w:r>
      <w:r>
        <w:rPr>
          <w:rFonts w:ascii="Times New Roman" w:hAnsi="Times New Roman"/>
          <w:sz w:val="20"/>
          <w:u w:val="single"/>
        </w:rPr>
        <w:t>6.1(k)</w:t>
      </w:r>
      <w:r>
        <w:rPr>
          <w:rFonts w:ascii="Times New Roman" w:hAnsi="Times New Roman"/>
          <w:sz w:val="20"/>
        </w:rPr>
        <w:t xml:space="preserve"> (Listing Requirements), </w:t>
      </w:r>
      <w:r>
        <w:rPr>
          <w:rFonts w:ascii="Times New Roman" w:hAnsi="Times New Roman"/>
          <w:sz w:val="20"/>
          <w:u w:val="single"/>
        </w:rPr>
        <w:t>6.1(l)</w:t>
      </w:r>
      <w:r>
        <w:rPr>
          <w:rFonts w:ascii="Times New Roman" w:hAnsi="Times New Roman"/>
          <w:sz w:val="20"/>
        </w:rPr>
        <w:t xml:space="preserve"> (Minimum Financing Amount), </w:t>
      </w:r>
      <w:r>
        <w:rPr>
          <w:rFonts w:ascii="Times New Roman" w:hAnsi="Times New Roman"/>
          <w:sz w:val="20"/>
          <w:u w:val="single"/>
        </w:rPr>
        <w:t>6.1(m)</w:t>
      </w:r>
      <w:r>
        <w:rPr>
          <w:rFonts w:ascii="Times New Roman" w:hAnsi="Times New Roman"/>
          <w:sz w:val="20"/>
        </w:rPr>
        <w:t xml:space="preserve"> (Mergers), 6.1(n) (Sonic Stockholder Approval) and 6.1(o) (Merger Registration Statement; No Stop Orders) of this Agreement have been fulfilled.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Secretary’s Certificate</w:t>
      </w:r>
      <w:r>
        <w:rPr>
          <w:rFonts w:ascii="Times New Roman" w:hAnsi="Times New Roman"/>
          <w:sz w:val="20"/>
        </w:rPr>
        <w:t xml:space="preserve">. The Secretary of the Company shall have delivered to the Investors at the Closing Date a certificate certifying (i) the Certificate of Incorporation, (ii) the Bylaws, and (iii) resolutions of the Company’s Board of Directors (or an authorized committee thereof) approving this Agreement, the other Transaction Agreements, the transactions contemplated by this Agreement and the issuance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Registration Rights Agreement</w:t>
      </w:r>
      <w:r>
        <w:rPr>
          <w:rFonts w:ascii="Times New Roman" w:hAnsi="Times New Roman"/>
          <w:sz w:val="20"/>
        </w:rPr>
        <w:t xml:space="preserve">. The Company shall have executed and delivered the Registration Rights Agreement in the form attached hereto as </w:t>
      </w:r>
      <w:r>
        <w:rPr>
          <w:rFonts w:ascii="Times New Roman" w:hAnsi="Times New Roman"/>
          <w:sz w:val="20"/>
          <w:u w:val="single"/>
        </w:rPr>
        <w:t>Exhibit B</w:t>
      </w:r>
      <w:r>
        <w:rPr>
          <w:rFonts w:ascii="Times New Roman" w:hAnsi="Times New Roman"/>
          <w:sz w:val="20"/>
        </w:rPr>
        <w:t xml:space="preserve"> to the Investors.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Listing Requirements</w:t>
      </w:r>
      <w:r>
        <w:rPr>
          <w:rFonts w:ascii="Times New Roman" w:hAnsi="Times New Roman"/>
          <w:sz w:val="20"/>
        </w:rPr>
        <w:t xml:space="preserve">. Parent shall have received approval from the Nasdaq Stock Market LLC that the shares of Parent Common Stock shall have been approved for listing (subject to official notice of issuance) on one of this listing markets of the Nasdaq Stock Market LLC, and the Company shall have filed, or shall have caused Parent to file, with Nasdaq the Nasdaq Listing Application and Nasdaq shall have raised no objection to the transactions contemplated in this Agreement, the other Transaction Agreements or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 Injunction</w:t>
      </w:r>
      <w:r>
        <w:rPr>
          <w:rFonts w:ascii="Times New Roman" w:hAnsi="Times New Roman"/>
          <w:sz w:val="20"/>
        </w:rPr>
        <w:t xml:space="preserve">. No judgment, writ, order, injunction, award or decree of or by any court, or judge, justice or magistrate, including any bankruptcy court or judge, or any order of or by any governmental entity, shall have been issued, and no action or proceeding shall have been instituted by any governmental entity, enjoining or preventing the consummation of the transactions contemplated hereby or in the other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Minimum Financing Amount</w:t>
      </w:r>
      <w:r>
        <w:rPr>
          <w:rFonts w:ascii="Times New Roman" w:hAnsi="Times New Roman"/>
          <w:sz w:val="20"/>
        </w:rPr>
        <w:t xml:space="preserve">. The Company shall receive at Closing aggregate proceeds from the purchase of Shares pursuant to this Agreement of not less than $200,000,000.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Mergers</w:t>
      </w:r>
      <w:r>
        <w:rPr>
          <w:rFonts w:ascii="Times New Roman" w:hAnsi="Times New Roman"/>
          <w:sz w:val="20"/>
        </w:rPr>
        <w:t xml:space="preserve">. All conditions to the closing of the Mergers shall have been satisfied or waived (other than the Closing hereunder and other than those conditions which, by their nature, are to be satisfied at the closing of the transactions contemplated by the Merger Agreement), and the closing of the Mergers shall be set to occur substantially concurrently with the Closing hereunder. The Merger Agreement shall not have been amended or modified, and the Company shall not have waived any provision thereunder, in contravention of Section 5.14.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Synlogic Stockholder Approval</w:t>
      </w:r>
      <w:r>
        <w:rPr>
          <w:rFonts w:ascii="Times New Roman" w:hAnsi="Times New Roman"/>
          <w:sz w:val="20"/>
        </w:rPr>
        <w:t xml:space="preserve">. Synlogic shall have obtained Required Synlogic Stockholder Vote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Merger Registration Statement; No Stop Orders</w:t>
      </w:r>
      <w:r>
        <w:rPr>
          <w:rFonts w:ascii="Times New Roman" w:hAnsi="Times New Roman"/>
          <w:sz w:val="20"/>
        </w:rPr>
        <w:t xml:space="preserve">. The Merger Registration Statement shall have become effective under the Securities Act and no stop order suspending the effectiveness of the Merger Registration Statement shall have been issued and no proceeding for that purpose, and no similar proceeding with respect to the Merger Registration Statement shall have been initiated or threatened in writing by the SEC or its staff.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Conditions to the Obligation of the Company</w:t>
      </w:r>
      <w:r>
        <w:rPr>
          <w:rFonts w:ascii="Times New Roman" w:hAnsi="Times New Roman"/>
          <w:sz w:val="20"/>
        </w:rPr>
        <w:t xml:space="preserve">. The obligation of the Company to consummate the transactions to be consummated at the Closing, and to issue and sell to each Investor the Shares to be purchased by it at the Closing pursuant to this Agreement, is subject to the satisfaction or waiver in writing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each Investor in </w:t>
      </w:r>
      <w:r>
        <w:rPr>
          <w:rFonts w:ascii="Times New Roman" w:hAnsi="Times New Roman"/>
          <w:sz w:val="20"/>
          <w:u w:val="single"/>
        </w:rPr>
        <w:t>Section 4</w:t>
      </w:r>
      <w:r>
        <w:rPr>
          <w:rFonts w:ascii="Times New Roman" w:hAnsi="Times New Roman"/>
          <w:sz w:val="20"/>
        </w:rPr>
        <w:t xml:space="preserve"> hereto shall be true and correct in all material respects, except for those representations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warranties qualified by materiality or Material Adverse Effect, which shall be true and correct in all respects, on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material respects, except for those representations and warranties qualified by materiality or Material Adverse Effect, which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Each Investor shall have performed or complied with in all material respects all obligations and conditions herein required to be performed or observed by such Investor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Injunction</w:t>
      </w:r>
      <w:r>
        <w:rPr>
          <w:rFonts w:ascii="Times New Roman" w:hAnsi="Times New Roman"/>
          <w:sz w:val="20"/>
        </w:rPr>
        <w:t xml:space="preserve">. The purchase of and payment for the Shares by each Investor shall not be prohibited or enjoined by any law or governmental or court order or regulation.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Registration Rights Agreement</w:t>
      </w:r>
      <w:r>
        <w:rPr>
          <w:rFonts w:ascii="Times New Roman" w:hAnsi="Times New Roman"/>
          <w:sz w:val="20"/>
        </w:rPr>
        <w:t xml:space="preserve">. Each Investor shall have executed and delivered the Registration Rights Agreement to the Company in the form attached as </w:t>
      </w:r>
      <w:r>
        <w:rPr>
          <w:rFonts w:ascii="Times New Roman" w:hAnsi="Times New Roman"/>
          <w:sz w:val="20"/>
          <w:u w:val="single"/>
        </w:rPr>
        <w:t xml:space="preserve">Exhibit </w:t>
      </w:r>
      <w:r>
        <w:rPr>
          <w:rFonts w:ascii="Times New Roman" w:hAnsi="Times New Roman"/>
          <w:sz w:val="20"/>
        </w:rPr>
        <w:t xml:space="preserve">B.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w:t>
      </w:r>
      <w:r>
        <w:rPr>
          <w:rFonts w:ascii="Times New Roman" w:hAnsi="Times New Roman"/>
          <w:sz w:val="20"/>
        </w:rPr>
        <w:t xml:space="preserve">. Except as may be agreed to among the Company and such Investor in accordance with </w:t>
      </w:r>
      <w:r>
        <w:rPr>
          <w:rFonts w:ascii="Times New Roman" w:hAnsi="Times New Roman"/>
          <w:sz w:val="20"/>
          <w:u w:val="single"/>
        </w:rPr>
        <w:t>Section 2.2</w:t>
      </w:r>
      <w:r>
        <w:rPr>
          <w:rFonts w:ascii="Times New Roman" w:hAnsi="Times New Roman"/>
          <w:sz w:val="20"/>
        </w:rPr>
        <w:t xml:space="preserve">, the Company shall have received payment, by wire transfer of immediately available funds, in the full amount of the purchase price for the number of Shares being purchased by each Investor at the Closing as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Termination</w:t>
      </w:r>
      <w:r>
        <w:rPr>
          <w:rFonts w:ascii="Times New Roman" w:hAnsi="Times New Roman"/>
          <w:sz w:val="20"/>
        </w:rPr>
        <w:t xml:space="preserve">. The obligations of the Company, on the one hand, and each Investor, on the other hand, to effect the Closing shall terminate as follows: </w:t>
      </w:r>
    </w:p>
    <w:p>
      <w:pPr>
        <w:pStyle w:val="TextBody"/>
        <w:bidi w:val="0"/>
        <w:spacing w:before="120" w:after="0"/>
        <w:jc w:val="left"/>
        <w:rPr>
          <w:rFonts w:ascii="Times New Roman" w:hAnsi="Times New Roman"/>
          <w:sz w:val="20"/>
        </w:rPr>
      </w:pPr>
      <w:r>
        <w:rPr>
          <w:rFonts w:ascii="Times New Roman" w:hAnsi="Times New Roman"/>
          <w:sz w:val="20"/>
        </w:rPr>
        <w:t xml:space="preserve">(i) Upon the mutual written consent of the Company and a Majority in Interest of the Investors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(ii) By the Company, if any of the conditions set forth in </w:t>
      </w:r>
      <w:r>
        <w:rPr>
          <w:rFonts w:ascii="Times New Roman" w:hAnsi="Times New Roman"/>
          <w:sz w:val="20"/>
          <w:u w:val="single"/>
        </w:rPr>
        <w:t>Section 6.2</w:t>
      </w:r>
      <w:r>
        <w:rPr>
          <w:rFonts w:ascii="Times New Roman" w:hAnsi="Times New Roman"/>
          <w:sz w:val="20"/>
        </w:rPr>
        <w:t xml:space="preserve"> shall have become incapable of fulfillment and shall not have been waived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By an Investor, solely as to itself, if any of the conditions set forth in </w:t>
      </w:r>
      <w:r>
        <w:rPr>
          <w:rFonts w:ascii="Times New Roman" w:hAnsi="Times New Roman"/>
          <w:sz w:val="20"/>
          <w:u w:val="single"/>
        </w:rPr>
        <w:t>Section 6.1</w:t>
      </w:r>
      <w:r>
        <w:rPr>
          <w:rFonts w:ascii="Times New Roman" w:hAnsi="Times New Roman"/>
          <w:sz w:val="20"/>
        </w:rPr>
        <w:t xml:space="preserve"> shall have become incapable of fulfillment and shall not have been waived by such Investor; or </w:t>
      </w:r>
    </w:p>
    <w:p>
      <w:pPr>
        <w:pStyle w:val="TextBody"/>
        <w:bidi w:val="0"/>
        <w:spacing w:before="240" w:after="0"/>
        <w:jc w:val="left"/>
        <w:rPr>
          <w:rFonts w:ascii="Times New Roman" w:hAnsi="Times New Roman"/>
          <w:sz w:val="20"/>
        </w:rPr>
      </w:pPr>
      <w:r>
        <w:rPr>
          <w:rFonts w:ascii="Times New Roman" w:hAnsi="Times New Roman"/>
          <w:sz w:val="20"/>
        </w:rPr>
        <w:t xml:space="preserve">(iv) By either the Company or an Investor, solely as to itself, if the Closing has not occurred on or before January 28, 2027, provided that if the “Outside Date” as defined in the Merger Agreement is extended by an additional 30 days pursuant to the terms thereof, the date set forth in this 7.1(iv) shall also be extended;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clauses (ii) through (iv)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w:t>
      </w:r>
      <w:r>
        <w:rPr>
          <w:rFonts w:ascii="Times New Roman" w:hAnsi="Times New Roman"/>
          <w:sz w:val="20"/>
        </w:rPr>
        <w:t xml:space="preserve">. In the event of termination pursuant to </w:t>
      </w:r>
      <w:r>
        <w:rPr>
          <w:rFonts w:ascii="Times New Roman" w:hAnsi="Times New Roman"/>
          <w:sz w:val="20"/>
          <w:u w:val="single"/>
        </w:rPr>
        <w:t>Section 7.1</w:t>
      </w:r>
      <w:r>
        <w:rPr>
          <w:rFonts w:ascii="Times New Roman" w:hAnsi="Times New Roman"/>
          <w:sz w:val="20"/>
        </w:rPr>
        <w:t xml:space="preserve">, written notice thereof shall be given to each other Investor by the Company. Nothing in this </w:t>
      </w:r>
      <w:r>
        <w:rPr>
          <w:rFonts w:ascii="Times New Roman" w:hAnsi="Times New Roman"/>
          <w:sz w:val="20"/>
          <w:u w:val="single"/>
        </w:rPr>
        <w:t>Section 7</w:t>
      </w:r>
      <w:r>
        <w:rPr>
          <w:rFonts w:ascii="Times New Roman" w:hAnsi="Times New Roman"/>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Public Statements or Releases</w:t>
      </w:r>
      <w:r>
        <w:rPr>
          <w:rFonts w:ascii="Times New Roman" w:hAnsi="Times New Roman"/>
          <w:sz w:val="20"/>
        </w:rPr>
        <w:t xml:space="preserve">. Except as set forth in </w:t>
      </w:r>
      <w:r>
        <w:rPr>
          <w:rFonts w:ascii="Times New Roman" w:hAnsi="Times New Roman"/>
          <w:sz w:val="20"/>
          <w:u w:val="single"/>
        </w:rPr>
        <w:t>Section 5.3</w:t>
      </w:r>
      <w:r>
        <w:rPr>
          <w:rFonts w:ascii="Times New Roman" w:hAnsi="Times New Roman"/>
          <w:sz w:val="20"/>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Interpretation</w:t>
      </w:r>
      <w:r>
        <w:rPr>
          <w:rFonts w:ascii="Times New Roman" w:hAnsi="Times New Roman"/>
          <w:sz w:val="20"/>
        </w:rPr>
        <w:t xml:space="preserve">.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 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References to agreements, policies, standards, guidelines or instruments, or to statutes or regulations, are to such agreements, policies, standards, guidelines or instruments, or statutes or regulations, as amended or supplemented from time to time (or to successors thereto).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 </w:t>
      </w:r>
    </w:p>
    <w:p>
      <w:pPr>
        <w:pStyle w:val="TextBody"/>
        <w:bidi w:val="0"/>
        <w:spacing w:before="120" w:after="0"/>
        <w:jc w:val="left"/>
        <w:rPr>
          <w:rFonts w:ascii="Times New Roman" w:hAnsi="Times New Roman"/>
          <w:sz w:val="20"/>
        </w:rPr>
      </w:pPr>
      <w:r>
        <w:rPr>
          <w:rFonts w:ascii="Times New Roman" w:hAnsi="Times New Roman"/>
          <w:sz w:val="20"/>
        </w:rPr>
        <w:t xml:space="preserve">(a) If to the Company,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Caldera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300 Technology Square, 8th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0" w:after="0"/>
        <w:jc w:val="left"/>
        <w:rPr>
          <w:rFonts w:ascii="Times New Roman" w:hAnsi="Times New Roman"/>
          <w:sz w:val="20"/>
        </w:rPr>
      </w:pPr>
      <w:r>
        <w:rPr>
          <w:rFonts w:ascii="Times New Roman" w:hAnsi="Times New Roman"/>
          <w:sz w:val="20"/>
        </w:rPr>
        <w:t xml:space="preserve">Attention: President and Principal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Email Address: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Fenwick &amp; West LLP </w:t>
      </w:r>
    </w:p>
    <w:p>
      <w:pPr>
        <w:pStyle w:val="TextBody"/>
        <w:bidi w:val="0"/>
        <w:spacing w:before="0" w:after="0"/>
        <w:jc w:val="left"/>
        <w:rPr>
          <w:rFonts w:ascii="Times New Roman" w:hAnsi="Times New Roman"/>
          <w:sz w:val="20"/>
        </w:rPr>
      </w:pPr>
      <w:r>
        <w:rPr>
          <w:rFonts w:ascii="Times New Roman" w:hAnsi="Times New Roman"/>
          <w:sz w:val="20"/>
        </w:rPr>
        <w:t xml:space="preserve">401 Union St, 5th Floor </w:t>
      </w:r>
    </w:p>
    <w:p>
      <w:pPr>
        <w:pStyle w:val="TextBody"/>
        <w:bidi w:val="0"/>
        <w:spacing w:before="0" w:after="0"/>
        <w:jc w:val="left"/>
        <w:rPr>
          <w:rFonts w:ascii="Times New Roman" w:hAnsi="Times New Roman"/>
          <w:sz w:val="20"/>
        </w:rPr>
      </w:pPr>
      <w:r>
        <w:rPr>
          <w:rFonts w:ascii="Times New Roman" w:hAnsi="Times New Roman"/>
          <w:sz w:val="20"/>
        </w:rPr>
        <w:t xml:space="preserve">Seattle, WA 98101 </w:t>
      </w:r>
    </w:p>
    <w:p>
      <w:pPr>
        <w:pStyle w:val="TextBody"/>
        <w:bidi w:val="0"/>
        <w:spacing w:before="0" w:after="0"/>
        <w:jc w:val="left"/>
        <w:rPr>
          <w:rFonts w:ascii="Times New Roman" w:hAnsi="Times New Roman"/>
          <w:sz w:val="20"/>
        </w:rPr>
      </w:pPr>
      <w:r>
        <w:rPr>
          <w:rFonts w:ascii="Times New Roman" w:hAnsi="Times New Roman"/>
          <w:sz w:val="20"/>
        </w:rPr>
        <w:t xml:space="preserve">Attention: Amanda Rose and Ryan Mitteness </w:t>
      </w:r>
    </w:p>
    <w:p>
      <w:pPr>
        <w:pStyle w:val="TextBody"/>
        <w:bidi w:val="0"/>
        <w:spacing w:before="0" w:after="0"/>
        <w:jc w:val="left"/>
        <w:rPr>
          <w:rFonts w:ascii="Times New Roman" w:hAnsi="Times New Roman"/>
          <w:sz w:val="20"/>
        </w:rPr>
      </w:pPr>
      <w:r>
        <w:rPr>
          <w:rFonts w:ascii="Times New Roman" w:hAnsi="Times New Roman"/>
          <w:sz w:val="20"/>
        </w:rPr>
        <w:t xml:space="preserve">Email Address: [***]; [***] </w:t>
      </w:r>
    </w:p>
    <w:p>
      <w:pPr>
        <w:pStyle w:val="TextBody"/>
        <w:bidi w:val="0"/>
        <w:spacing w:before="240" w:after="0"/>
        <w:jc w:val="left"/>
        <w:rPr>
          <w:rFonts w:ascii="Times New Roman" w:hAnsi="Times New Roman"/>
          <w:sz w:val="20"/>
        </w:rPr>
      </w:pPr>
      <w:r>
        <w:rPr>
          <w:rFonts w:ascii="Times New Roman" w:hAnsi="Times New Roman"/>
          <w:sz w:val="20"/>
        </w:rPr>
        <w:t xml:space="preserve">(b) If to any Investor, at each of its email addresses set forth on </w:t>
      </w:r>
      <w:r>
        <w:rPr>
          <w:rFonts w:ascii="Times New Roman" w:hAnsi="Times New Roman"/>
          <w:sz w:val="20"/>
          <w:u w:val="single"/>
        </w:rPr>
        <w:t>Exhibit A</w:t>
      </w:r>
      <w:r>
        <w:rPr>
          <w:rFonts w:ascii="Times New Roman" w:hAnsi="Times New Roman"/>
          <w:sz w:val="20"/>
        </w:rPr>
        <w:t xml:space="preserve"> or to such e-mail addresses or addresses as subsequently modified by written notice given in accordance with this </w:t>
      </w:r>
      <w:r>
        <w:rPr>
          <w:rFonts w:ascii="Times New Roman" w:hAnsi="Times New Roman"/>
          <w:sz w:val="20"/>
          <w:u w:val="single"/>
        </w:rPr>
        <w:t>Section 8.3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Consent to Electronic Notice</w:t>
      </w:r>
      <w:r>
        <w:rPr>
          <w:rFonts w:ascii="Times New Roman" w:hAnsi="Times New Roman"/>
          <w:sz w:val="20"/>
        </w:rPr>
        <w:t xml:space="preserve">. From the date hereof until the Closing Date, each Investor consents to the delivery of any stockholder notice pursuant to Section 232 of the Delaware General Corporation Law, as amended or superseded from time to time, at the e-mail address set forth below the Investor’s name on the signature page or </w:t>
      </w:r>
      <w:r>
        <w:rPr>
          <w:rFonts w:ascii="Times New Roman" w:hAnsi="Times New Roman"/>
          <w:sz w:val="20"/>
          <w:u w:val="single"/>
        </w:rPr>
        <w:t>Exhibit A</w:t>
      </w:r>
      <w:r>
        <w:rPr>
          <w:rFonts w:ascii="Times New Roman" w:hAnsi="Times New Roman"/>
          <w:sz w:val="20"/>
        </w:rPr>
        <w:t xml:space="preserve">,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Severability</w:t>
      </w:r>
      <w:r>
        <w:rPr>
          <w:rFonts w:ascii="Times New Roman" w:hAnsi="Times New Roman"/>
          <w:sz w:val="20"/>
        </w:rPr>
        <w:t xml:space="preserve">.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Governing Law; Submission to Jurisdiction; Venue; Waiver of Trial by Jury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Delaware without regard to choice of laws or conflicts of laws provisions thereof that would require the application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each of the Investors hereby irrevocably and unconditionally: </w:t>
      </w:r>
    </w:p>
    <w:p>
      <w:pPr>
        <w:pStyle w:val="TextBody"/>
        <w:bidi w:val="0"/>
        <w:spacing w:before="120" w:after="0"/>
        <w:jc w:val="left"/>
        <w:rPr>
          <w:rFonts w:ascii="Times New Roman" w:hAnsi="Times New Roman"/>
          <w:sz w:val="20"/>
        </w:rPr>
      </w:pPr>
      <w:r>
        <w:rPr>
          <w:rFonts w:ascii="Times New Roman" w:hAnsi="Times New Roman"/>
          <w:sz w:val="20"/>
        </w:rPr>
        <w:t xml:space="preserve">(i) (i) submits for itself and its property in any legal action or proceeding relating solely to this Agreement or the transactions contemplated hereby, to the general jurisdiction of the any state court or United States Federal court sitting in the City of Wilmington in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hAnsi="Times New Roman"/>
          <w:sz w:val="20"/>
          <w:u w:val="single"/>
        </w:rPr>
        <w:t>Section 8.3</w:t>
      </w:r>
      <w:r>
        <w:rPr>
          <w:rFonts w:ascii="Times New Roman" w:hAnsi="Times New Roman"/>
          <w:sz w:val="20"/>
        </w:rPr>
        <w:t xml:space="preserve">, </w:t>
      </w:r>
      <w:r>
        <w:rPr>
          <w:rFonts w:ascii="Times New Roman" w:hAnsi="Times New Roman"/>
          <w:sz w:val="20"/>
          <w:u w:val="single"/>
        </w:rPr>
        <w:t>Exhibit A</w:t>
      </w:r>
      <w:r>
        <w:rPr>
          <w:rFonts w:ascii="Times New Roman" w:hAnsi="Times New Roman"/>
          <w:sz w:val="20"/>
        </w:rPr>
        <w:t xml:space="preserve"> or at such other address of which the other party shall have been notified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 </w:t>
      </w:r>
    </w:p>
    <w:p>
      <w:pPr>
        <w:pStyle w:val="TextBody"/>
        <w:bidi w:val="0"/>
        <w:spacing w:before="240" w:after="0"/>
        <w:jc w:val="left"/>
        <w:rPr>
          <w:rFonts w:ascii="Times New Roman" w:hAnsi="Times New Roman"/>
          <w:sz w:val="20"/>
        </w:rPr>
      </w:pPr>
      <w:r>
        <w:rPr>
          <w:rFonts w:ascii="Times New Roman" w:hAnsi="Times New Roman"/>
          <w:sz w:val="20"/>
        </w:rPr>
        <w:t xml:space="preserve">(vii) irrevocably and unconditionally waives trial by jury in any legal action or proceeding in relation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Waiver</w:t>
      </w:r>
      <w:r>
        <w:rPr>
          <w:rFonts w:ascii="Times New Roman" w:hAnsi="Times New Roman"/>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Expenses</w:t>
      </w:r>
      <w:r>
        <w:rPr>
          <w:rFonts w:ascii="Times New Roman" w:hAnsi="Times New Roman"/>
          <w:sz w:val="20"/>
        </w:rPr>
        <w:t xml:space="preserve">.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Shares and the consummation of the transactions contemplated thereby; provided, however, that the Company shall pay all Transfer Agent fees (including, without limitation, any fees required for same-day processing of any instruction letter delivered by the Company), Transfer Taxes, stamp taxes and other taxes (other than income taxes) and duties levied in connection with the delivery of any Shares or Exchange Shares to the Investors. </w:t>
      </w:r>
    </w:p>
    <w:p>
      <w:pPr>
        <w:pStyle w:val="TextBody"/>
        <w:bidi w:val="0"/>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Assignment</w:t>
      </w:r>
      <w:r>
        <w:rPr>
          <w:rFonts w:ascii="Times New Roman" w:hAnsi="Times New Roman"/>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w:t>
      </w:r>
      <w:r>
        <w:rPr>
          <w:rFonts w:ascii="Times New Roman" w:hAnsi="Times New Roman"/>
          <w:sz w:val="20"/>
          <w:u w:val="single"/>
        </w:rPr>
        <w:t>provided</w:t>
      </w:r>
      <w:r>
        <w:rPr>
          <w:rFonts w:ascii="Times New Roman" w:hAnsi="Times New Roman"/>
          <w:sz w:val="20"/>
        </w:rPr>
        <w:t xml:space="preserve"> that an Investor may, without the prior consent of the Company, (i) assign its rights to purchase the Shares hereunder to any of its Affiliates or to any other investment funds or accounts managed or advised by the investment manager who acts on behalf of such Investor (</w:t>
      </w:r>
      <w:r>
        <w:rPr>
          <w:rFonts w:ascii="Times New Roman" w:hAnsi="Times New Roman"/>
          <w:sz w:val="20"/>
          <w:u w:val="single"/>
        </w:rPr>
        <w:t>provided</w:t>
      </w:r>
      <w:r>
        <w:rPr>
          <w:rFonts w:ascii="Times New Roman" w:hAnsi="Times New Roman"/>
          <w:sz w:val="20"/>
        </w:rPr>
        <w:t xml:space="preserve"> each such assignee agrees to be bound by the terms of this Agreement as an Investor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hereunder and makes the same representations and warranties set forth in </w:t>
      </w:r>
      <w:r>
        <w:rPr>
          <w:rFonts w:ascii="Times New Roman" w:hAnsi="Times New Roman"/>
          <w:sz w:val="20"/>
          <w:u w:val="single"/>
        </w:rPr>
        <w:t>Section 4</w:t>
      </w:r>
      <w:r>
        <w:rPr>
          <w:rFonts w:ascii="Times New Roman" w:hAnsi="Times New Roman"/>
          <w:sz w:val="20"/>
        </w:rPr>
        <w:t xml:space="preserve"> hereof) or (ii) assign its rights hereunder to a permitted transferee of its Shares following the Closing (other than with respect to transfers pursuant to a registration statement or Rule 144)</w:t>
      </w:r>
      <w:r>
        <w:rPr>
          <w:rFonts w:ascii="Times New Roman" w:hAnsi="Times New Roman"/>
          <w:sz w:val="20"/>
          <w:u w:val="single"/>
        </w:rPr>
        <w:t xml:space="preserve"> (provided</w:t>
      </w:r>
      <w:r>
        <w:rPr>
          <w:rFonts w:ascii="Times New Roman" w:hAnsi="Times New Roman"/>
          <w:sz w:val="20"/>
        </w:rPr>
        <w:t xml:space="preserve"> each such assignee agrees to be bound by the terms of this Agreement applicable to the Investor).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 xml:space="preserve">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(a) Each Investor covenants that until the earliest of (i) such time as the transactions contemplated by this Agreement and any material non-public information provided to such Investor are publicly disclosed by the Company in accordance with </w:t>
      </w:r>
      <w:r>
        <w:rPr>
          <w:rFonts w:ascii="Times New Roman" w:hAnsi="Times New Roman"/>
          <w:sz w:val="20"/>
          <w:u w:val="single"/>
        </w:rPr>
        <w:t>Section 5.3</w:t>
      </w:r>
      <w:r>
        <w:rPr>
          <w:rFonts w:ascii="Times New Roman" w:hAnsi="Times New Roman"/>
          <w:sz w:val="20"/>
        </w:rPr>
        <w:t xml:space="preserve"> (ii) such time the foregoing is required to be disclosed under </w:t>
      </w:r>
      <w:r>
        <w:rPr>
          <w:rFonts w:ascii="Times New Roman" w:hAnsi="Times New Roman"/>
          <w:sz w:val="20"/>
          <w:u w:val="single"/>
        </w:rPr>
        <w:t>Section 5.3</w:t>
      </w:r>
      <w:r>
        <w:rPr>
          <w:rFonts w:ascii="Times New Roman" w:hAnsi="Times New Roman"/>
          <w:sz w:val="20"/>
        </w:rPr>
        <w:t xml:space="preserve"> and (iii) the termination of this Agreement,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applicable law or regulation or at the request of any governmental or regulatory authority having jurisdiction over such Investor. Each Investor may identify its investment in the Company and the value of such Investor’s security holdings in the Company in accordance with applicable investment reporting and disclosure regulations and respond to examinations, demands, requests or reporting requirements of a regulatory authority without prior notice to or consent from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request from the Investors such reasonable and customary additional information as the Company may deem necessary to evaluate the eligibility of the Investor to acquire the Shares,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the Nasdaq Global Market or another National Exchange, in which case, the Company will use commercially reasonable efforts to notify the applicable Investor and provide such Investor the opportunity to review such disclosure. Each Investor acknowledges that the Company may file a form of this Agreement and the Registration Rights Agreement with the SEC as exhibits to a periodic report or a registration statement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Acknowledgments Regarding, Reliance by and Exculpation of Placement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Investor agrees for the express benefit of the Placement Agents, any of its Affiliates and representatives that (i) neither the Placement Agents nor any of its Affiliates or their representatives have made and will not make any representations or warranties with respect to the Company, Synlogic or the offer and sale of the Shares, and such Investor will not rely on any statements made by the Placement Agents, orally or in writing, to the contrary, (ii) the Placement Agents are acting solely as the agent of the Company in this placement of the Shares and is not acting as underwriter or in any other capacity and is not and shall not be construed as fiduciary for the Investor, the Company, Synlogic or any other person or entity in connection with this placement of the Shares, (iii) such Investor will be responsible for conducting its own due diligence investigation with respect to the Company, Synlogic and the offer and sale of the Shares, (iv) such Investor will be purchasing Shares based on the results of its own due diligence investigation of the Company and Synlogic, and the Placement Agents and each of their respective directors, officers, employees, representatives, and controlling persons have made no independent investigation with respect to the Company, Synlogic, the Shares, or the accuracy, completeness, or adequacy of any information supplied to the Investor by the Company or Synlogic, (v) such Investor has negotiated the offer and sale of the Shares directly with the Company and the Placement Agents will not be responsible for the ultimate success of any such investment and (vi) the decision to invest in the Company will involve a significant degree of risk, including a risk of total loss of such investment. Each Investor further represents and warrants to the Placement Agents that it, including any fund or funds that it manages or advises that participates in the offer and sale of the Shares,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 w:hAnsi="Times New Roman"/>
          <w:sz w:val="20"/>
          <w:u w:val="single"/>
        </w:rPr>
        <w:t>Section 8.11</w:t>
      </w:r>
      <w:r>
        <w:rPr>
          <w:rFonts w:ascii="Times New Roman" w:hAnsi="Times New Roman"/>
          <w:sz w:val="20"/>
        </w:rPr>
        <w:t xml:space="preserve"> shall survive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agrees and acknowledges that the Placement Agents may rely on its representations, warranties, agreements and covenants contained in this Agreement and each Investor agrees that the Placement Agents may rely on such Investor’s representations and warranties contained in this Agreement as if such representations and warranties, as applicable, were made directly to the Placement Agents. </w:t>
      </w:r>
    </w:p>
    <w:p>
      <w:pPr>
        <w:pStyle w:val="TextBody"/>
        <w:bidi w:val="0"/>
        <w:spacing w:before="240" w:after="0"/>
        <w:jc w:val="left"/>
        <w:rPr>
          <w:rFonts w:ascii="Times New Roman" w:hAnsi="Times New Roman"/>
          <w:sz w:val="20"/>
        </w:rPr>
      </w:pPr>
      <w:r>
        <w:rPr>
          <w:rFonts w:ascii="Times New Roman" w:hAnsi="Times New Roman"/>
          <w:sz w:val="20"/>
        </w:rPr>
        <w:t xml:space="preserve">(c) Neither the Placement Agents nor any of their respective Affiliates or representatives (1) shall be liable for any improper payment made in accordance with the information provided by the Company or Synlogic; (2) makes any representation or warranty, or has any responsibilities as to the validity, enforceability, accuracy, value or genuineness of any information, certificates or documentation delivered by or on behalf of the Company or Synlogic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them by the Transaction Agreements or (y) for anything which any of them may do or refrain from doing in connection with the Transaction Agreements, except in each case for such party’s own gross negligence, willful misconduct or bad faith.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agrees that the Placement Agents and its respective Affiliates and representatives shall be entitled to (1) rely on, and shall be protected in acting upon, any certificate, instrument, notice, letter or any other document or security delivered to any of them by or on behalf of the Company or Synlogic, and (2) be indemnified by the Company for acting as the Placement Agents hereunder pursuant to the indemnification provisions set forth in the applicable letter agreement(s) between the Company and the Placement Agents.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Each Investor acknowledges that each of the Placement Agents is acting as a placement agent on a “best efforts” basis for the Shares being offered hereby and will be compensated by the Company for acting in such capacity. Each Investor represents that such Investor was contacted regarding the sale of the Shares by a Placement Agent or the Company (or an authorized agent or representative thereof) with whom the Investor entered into a verbal or written confidentiality agreement. </w:t>
      </w:r>
    </w:p>
    <w:p>
      <w:pPr>
        <w:pStyle w:val="TextBody"/>
        <w:bidi w:val="0"/>
        <w:spacing w:before="240" w:after="0"/>
        <w:jc w:val="left"/>
        <w:rPr>
          <w:rFonts w:ascii="Times New Roman" w:hAnsi="Times New Roman"/>
          <w:sz w:val="20"/>
        </w:rPr>
      </w:pPr>
      <w:r>
        <w:rPr>
          <w:rFonts w:ascii="Times New Roman" w:hAnsi="Times New Roman"/>
          <w:sz w:val="20"/>
        </w:rPr>
        <w:t>(f) Each Investor represents that it is making this investment based on the results of its own due diligence investigation of the Company and has not relied on any information or advice furnished by or on behalf of either of the Placement Agents in connection with the transactions contemplated hereby. Each Investor acknowledges that neither of the Placement Agents has made, and will not make, any representations and warranties with respect to the Company or the transactions contemplated hereby, and the Investor will not rely on any statements made by either of the Placement Agents, orally or in writing, to the contrary.</w:t>
      </w:r>
    </w:p>
    <w:p>
      <w:pPr>
        <w:pStyle w:val="TextBody"/>
        <w:bidi w:val="0"/>
        <w:spacing w:before="24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Third Parties</w:t>
      </w:r>
      <w:r>
        <w:rPr>
          <w:rFonts w:ascii="Times New Roman" w:hAnsi="Times New Roman"/>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 (i) the Placement Agents are an intended third-party beneficiary of the representations and warranties of the Company set forth in </w:t>
      </w:r>
      <w:r>
        <w:rPr>
          <w:rFonts w:ascii="Times New Roman" w:hAnsi="Times New Roman"/>
          <w:sz w:val="20"/>
          <w:u w:val="single"/>
        </w:rPr>
        <w:t>Section 3</w:t>
      </w:r>
      <w:r>
        <w:rPr>
          <w:rFonts w:ascii="Times New Roman" w:hAnsi="Times New Roman"/>
          <w:sz w:val="20"/>
        </w:rPr>
        <w:t xml:space="preserve">, the representations and warranties of each Investor set forth in </w:t>
      </w:r>
      <w:r>
        <w:rPr>
          <w:rFonts w:ascii="Times New Roman" w:hAnsi="Times New Roman"/>
          <w:sz w:val="20"/>
          <w:u w:val="single"/>
        </w:rPr>
        <w:t>Section 4</w:t>
      </w:r>
      <w:r>
        <w:rPr>
          <w:rFonts w:ascii="Times New Roman" w:hAnsi="Times New Roman"/>
          <w:sz w:val="20"/>
        </w:rPr>
        <w:t xml:space="preserve">, </w:t>
      </w:r>
      <w:r>
        <w:rPr>
          <w:rFonts w:ascii="Times New Roman" w:hAnsi="Times New Roman"/>
          <w:sz w:val="20"/>
          <w:u w:val="single"/>
        </w:rPr>
        <w:t>Section 6.1(g)</w:t>
      </w:r>
      <w:r>
        <w:rPr>
          <w:rFonts w:ascii="Times New Roman" w:hAnsi="Times New Roman"/>
          <w:sz w:val="20"/>
        </w:rPr>
        <w:t xml:space="preserve"> and </w:t>
      </w:r>
      <w:r>
        <w:rPr>
          <w:rFonts w:ascii="Times New Roman" w:hAnsi="Times New Roman"/>
          <w:sz w:val="20"/>
          <w:u w:val="single"/>
        </w:rPr>
        <w:t>Section 8.11</w:t>
      </w:r>
      <w:r>
        <w:rPr>
          <w:rFonts w:ascii="Times New Roman" w:hAnsi="Times New Roman"/>
          <w:sz w:val="20"/>
        </w:rPr>
        <w:t xml:space="preserve"> of this Agreement, and (ii) the Indemnified Persons are intended third-party beneficiaries of </w:t>
      </w:r>
      <w:r>
        <w:rPr>
          <w:rFonts w:ascii="Times New Roman" w:hAnsi="Times New Roman"/>
          <w:sz w:val="20"/>
          <w:u w:val="single"/>
        </w:rPr>
        <w:t>Section 5.10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8.13 </w:t>
      </w:r>
      <w:r>
        <w:rPr>
          <w:rFonts w:ascii="Times New Roman" w:hAnsi="Times New Roman"/>
          <w:sz w:val="20"/>
          <w:u w:val="single"/>
        </w:rPr>
        <w:t>Independent Nature of Investors’ Obligations and Right.</w:t>
      </w:r>
      <w:r>
        <w:rPr>
          <w:rFonts w:ascii="Times New Roman" w:hAnsi="Times New Roman"/>
          <w:sz w:val="20"/>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Fenwick and West LLP has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8.14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8.15 </w:t>
      </w:r>
      <w:r>
        <w:rPr>
          <w:rFonts w:ascii="Times New Roman" w:hAnsi="Times New Roman"/>
          <w:sz w:val="20"/>
          <w:u w:val="single"/>
        </w:rPr>
        <w:t>Counterparts</w:t>
      </w:r>
      <w:r>
        <w:rPr>
          <w:rFonts w:ascii="Times New Roman" w:hAnsi="Times New Roman"/>
          <w:sz w:val="20"/>
        </w:rPr>
        <w:t xml:space="preserve">. This Agreement may be executed in three (3)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t>
      </w:r>
      <w:r>
        <w:rPr>
          <w:rFonts w:ascii="Times New Roman" w:hAnsi="Times New Roman"/>
          <w:i/>
          <w:sz w:val="20"/>
        </w:rPr>
        <w:t>www.docusign.com</w:t>
      </w:r>
      <w:r>
        <w:rPr>
          <w:rFonts w:ascii="Times New Roman" w:hAnsi="Times New Roman"/>
          <w:sz w:val="20"/>
        </w:rPr>
        <w:t xml:space="preserve">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240" w:after="0"/>
        <w:jc w:val="left"/>
        <w:rPr>
          <w:rFonts w:ascii="Times New Roman" w:hAnsi="Times New Roman"/>
          <w:sz w:val="20"/>
        </w:rPr>
      </w:pPr>
      <w:r>
        <w:rPr>
          <w:rFonts w:ascii="Times New Roman" w:hAnsi="Times New Roman"/>
          <w:sz w:val="20"/>
        </w:rPr>
        <w:t xml:space="preserve">8.16 </w:t>
      </w:r>
      <w:r>
        <w:rPr>
          <w:rFonts w:ascii="Times New Roman" w:hAnsi="Times New Roman"/>
          <w:sz w:val="20"/>
          <w:u w:val="single"/>
        </w:rPr>
        <w:t>Entire Agreement; Amendments</w:t>
      </w:r>
      <w:r>
        <w:rPr>
          <w:rFonts w:ascii="Times New Roman" w:hAnsi="Times New Roman"/>
          <w:sz w:val="20"/>
        </w:rPr>
        <w:t xml:space="preserve">.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waiver or change in any of the terms of this Agreement shall be valid or binding upon the parties hereto unless made in writing and duly executed by the Company and a Majority in Interest of the Investors; provided, further, that any amendment, modification, alteration, or change that disproportionately and adversely affects the rights and obligations of any Investor relative to the comparable rights and obligations of the other Investors shall require the prior written consent of such adversely affected Investor; provided, further, that any amendment to the definition of “Share Price” (or of any of the other terms included in such definition), any change in the type of security to be issued to the Investors, and any amendment to or waiver of Section 5.5 (Removal of Legends), Section 5.10 (Indemnification), Section 6.1 (Conditions to the Obligation of the Investors), Section 7.1 (Termination) or this Section 8.16 (Entire Agreement; Amendments) shall require the consent of each Investor; provided, further, that prior to the Closing the consent of all Investors shall be required.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hereof or any condition hereto to be performed, complied with or satisfied by such Investor or the Company, respectively. Notwithstanding the foregoing or anything else to the contrary, no amendment, modification, alteration, change or waiver of this </w:t>
      </w:r>
      <w:r>
        <w:rPr>
          <w:rFonts w:ascii="Times New Roman" w:hAnsi="Times New Roman"/>
          <w:sz w:val="20"/>
          <w:u w:val="single"/>
        </w:rPr>
        <w:t>Section 8.16</w:t>
      </w:r>
      <w:r>
        <w:rPr>
          <w:rFonts w:ascii="Times New Roman" w:hAnsi="Times New Roman"/>
          <w:sz w:val="20"/>
        </w:rPr>
        <w:t xml:space="preserve"> that is material and adverse to the Placement Agents shall be valid without the prior written consent of the Placement Agents, which consent may be granted or withheld in the sole discretion of the Placement Agents. In addition, no consideration shall be offered or paid to any Person to amend or consent to a waiver or modification of any provision of this Agreement unless the same consideration (other than the reimbursement of legal fees) also is offered to all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8.17 </w:t>
      </w:r>
      <w:r>
        <w:rPr>
          <w:rFonts w:ascii="Times New Roman" w:hAnsi="Times New Roman"/>
          <w:sz w:val="20"/>
          <w:u w:val="single"/>
        </w:rPr>
        <w:t>Survival</w:t>
      </w:r>
      <w:r>
        <w:rPr>
          <w:rFonts w:ascii="Times New Roman" w:hAnsi="Times New Roman"/>
          <w:sz w:val="20"/>
        </w:rPr>
        <w:t xml:space="preserve">. The covenants, representations and warranties made by each party hereto contained in this Agreement shall survive the Closing and the delivery of the Shares in accordance with their respective terms. Each Investor shall be responsible only for its own representations, warranties, agreements and covenants hereunder. </w:t>
      </w:r>
    </w:p>
    <w:p>
      <w:pPr>
        <w:pStyle w:val="TextBody"/>
        <w:bidi w:val="0"/>
        <w:spacing w:before="240" w:after="0"/>
        <w:jc w:val="left"/>
        <w:rPr>
          <w:rFonts w:ascii="Times New Roman" w:hAnsi="Times New Roman"/>
          <w:sz w:val="20"/>
        </w:rPr>
      </w:pPr>
      <w:r>
        <w:rPr>
          <w:rFonts w:ascii="Times New Roman" w:hAnsi="Times New Roman"/>
          <w:sz w:val="20"/>
        </w:rPr>
        <w:t xml:space="preserve">8.18 </w:t>
      </w:r>
      <w:r>
        <w:rPr>
          <w:rFonts w:ascii="Times New Roman" w:hAnsi="Times New Roman"/>
          <w:sz w:val="20"/>
          <w:u w:val="single"/>
        </w:rPr>
        <w:t>Mutual Drafting.</w:t>
      </w:r>
      <w:r>
        <w:rPr>
          <w:rFonts w:ascii="Times New Roman" w:hAnsi="Times New Roman"/>
          <w:sz w:val="20"/>
        </w:rPr>
        <w:t xml:space="preserve"> This Agreement is the joint product of each Investor and the Company and each provision hereof has been subject to the mutual consultation, negotiation and agreement of such parties and shall not be construed for or against any party hereto. </w:t>
      </w:r>
    </w:p>
    <w:p>
      <w:pPr>
        <w:pStyle w:val="TextBody"/>
        <w:bidi w:val="0"/>
        <w:spacing w:before="240" w:after="0"/>
        <w:jc w:val="left"/>
        <w:rPr>
          <w:rFonts w:ascii="Times New Roman" w:hAnsi="Times New Roman"/>
          <w:sz w:val="20"/>
        </w:rPr>
      </w:pPr>
      <w:r>
        <w:rPr>
          <w:rFonts w:ascii="Times New Roman" w:hAnsi="Times New Roman"/>
          <w:sz w:val="20"/>
        </w:rPr>
        <w:t xml:space="preserve">8.19 </w:t>
      </w:r>
      <w:r>
        <w:rPr>
          <w:rFonts w:ascii="Times New Roman" w:hAnsi="Times New Roman"/>
          <w:sz w:val="20"/>
          <w:u w:val="single"/>
        </w:rPr>
        <w:t>Arm’s Length Negotiations</w:t>
      </w:r>
      <w:r>
        <w:rPr>
          <w:rFonts w:ascii="Times New Roman" w:hAnsi="Times New Roman"/>
          <w:sz w:val="20"/>
        </w:rPr>
        <w:t xml:space="preserve">. For the avoidance of doubt, the parties acknowledge and confirm that the terms and conditions of the Shares were determined as a result of arm’s-length negotiations. </w:t>
      </w:r>
    </w:p>
    <w:p>
      <w:pPr>
        <w:pStyle w:val="TextBody"/>
        <w:bidi w:val="0"/>
        <w:spacing w:before="240" w:after="0"/>
        <w:jc w:val="left"/>
        <w:rPr>
          <w:rFonts w:ascii="Times New Roman" w:hAnsi="Times New Roman"/>
          <w:sz w:val="20"/>
        </w:rPr>
      </w:pPr>
      <w:r>
        <w:rPr>
          <w:rFonts w:ascii="Times New Roman" w:hAnsi="Times New Roman"/>
          <w:sz w:val="20"/>
        </w:rPr>
        <w:t xml:space="preserve">8.20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21"/>
        <w:gridCol w:w="60"/>
        <w:gridCol w:w="3301"/>
      </w:tblGrid>
      <w:tr>
        <w:trPr/>
        <w:tc>
          <w:tcPr>
            <w:tcW w:w="72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CALDERA THERAPEUTICS, INC.</w:t>
            </w:r>
          </w:p>
        </w:tc>
      </w:tr>
      <w:tr>
        <w:trPr>
          <w:trHeight w:val="240" w:hRule="atLeast"/>
        </w:trPr>
        <w:tc>
          <w:tcPr>
            <w:tcW w:w="721" w:type="dxa"/>
            <w:tcBorders/>
            <w:vAlign w:val="center"/>
          </w:tcPr>
          <w:p>
            <w:pPr>
              <w:pStyle w:val="TableContents"/>
              <w:bidi w:val="0"/>
              <w:spacing w:before="0" w:after="283"/>
              <w:jc w:val="left"/>
              <w:rPr>
                <w:sz w:val="4"/>
                <w:szCs w:val="4"/>
              </w:rPr>
            </w:pPr>
            <w:r>
              <w:rPr>
                <w:sz w:val="4"/>
                <w:szCs w:val="4"/>
              </w:rPr>
            </w:r>
          </w:p>
        </w:tc>
        <w:tc>
          <w:tcPr>
            <w:tcW w:w="3361" w:type="dxa"/>
            <w:gridSpan w:val="2"/>
            <w:tcBorders/>
            <w:vAlign w:val="center"/>
          </w:tcPr>
          <w:p>
            <w:pPr>
              <w:pStyle w:val="TableContents"/>
              <w:bidi w:val="0"/>
              <w:spacing w:before="0" w:after="283"/>
              <w:jc w:val="left"/>
              <w:rPr>
                <w:sz w:val="4"/>
                <w:szCs w:val="4"/>
              </w:rPr>
            </w:pPr>
            <w:r>
              <w:rPr>
                <w:sz w:val="4"/>
                <w:szCs w:val="4"/>
              </w:rPr>
            </w:r>
          </w:p>
        </w:tc>
      </w:tr>
      <w:tr>
        <w:trPr/>
        <w:tc>
          <w:tcPr>
            <w:tcW w:w="72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01" w:type="dxa"/>
            <w:tcBorders>
              <w:bottom w:val="single" w:sz="2" w:space="0" w:color="000000"/>
            </w:tcBorders>
            <w:tcMar>
              <w:bottom w:w="28" w:type="dxa"/>
            </w:tcMar>
          </w:tcPr>
          <w:p>
            <w:pPr>
              <w:pStyle w:val="TableContents"/>
              <w:bidi w:val="0"/>
              <w:spacing w:before="0" w:after="283"/>
              <w:jc w:val="left"/>
              <w:rPr/>
            </w:pPr>
            <w:r>
              <w:rPr/>
              <w:t> </w:t>
            </w:r>
          </w:p>
        </w:tc>
      </w:tr>
      <w:tr>
        <w:trPr/>
        <w:tc>
          <w:tcPr>
            <w:tcW w:w="72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01" w:type="dxa"/>
            <w:tcBorders/>
          </w:tcPr>
          <w:p>
            <w:pPr>
              <w:pStyle w:val="TableContents"/>
              <w:bidi w:val="0"/>
              <w:spacing w:before="0" w:after="283"/>
              <w:jc w:val="left"/>
              <w:rPr/>
            </w:pPr>
            <w:r>
              <w:rPr/>
              <w:t>Praveen Tipirneni</w:t>
            </w:r>
          </w:p>
        </w:tc>
      </w:tr>
      <w:tr>
        <w:trPr/>
        <w:tc>
          <w:tcPr>
            <w:tcW w:w="72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01" w:type="dxa"/>
            <w:tcBorders/>
          </w:tcPr>
          <w:p>
            <w:pPr>
              <w:pStyle w:val="TableContents"/>
              <w:bidi w:val="0"/>
              <w:spacing w:before="0" w:after="283"/>
              <w:jc w:val="left"/>
              <w:rPr/>
            </w:pPr>
            <w:r>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Securities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87"/>
        <w:gridCol w:w="84"/>
        <w:gridCol w:w="2711"/>
      </w:tblGrid>
      <w:tr>
        <w:trPr/>
        <w:tc>
          <w:tcPr>
            <w:tcW w:w="1287"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[NAME]</w:t>
            </w:r>
          </w:p>
        </w:tc>
      </w:tr>
      <w:tr>
        <w:trPr>
          <w:trHeight w:val="240" w:hRule="atLeast"/>
        </w:trPr>
        <w:tc>
          <w:tcPr>
            <w:tcW w:w="1287" w:type="dxa"/>
            <w:tcBorders/>
            <w:vAlign w:val="center"/>
          </w:tcPr>
          <w:p>
            <w:pPr>
              <w:pStyle w:val="TableContents"/>
              <w:bidi w:val="0"/>
              <w:spacing w:before="0" w:after="283"/>
              <w:jc w:val="left"/>
              <w:rPr>
                <w:sz w:val="4"/>
                <w:szCs w:val="4"/>
              </w:rPr>
            </w:pPr>
            <w:r>
              <w:rPr>
                <w:sz w:val="4"/>
                <w:szCs w:val="4"/>
              </w:rPr>
            </w:r>
          </w:p>
        </w:tc>
        <w:tc>
          <w:tcPr>
            <w:tcW w:w="2795" w:type="dxa"/>
            <w:gridSpan w:val="2"/>
            <w:tcBorders/>
            <w:vAlign w:val="center"/>
          </w:tcPr>
          <w:p>
            <w:pPr>
              <w:pStyle w:val="TableContents"/>
              <w:bidi w:val="0"/>
              <w:spacing w:before="0" w:after="283"/>
              <w:jc w:val="left"/>
              <w:rPr>
                <w:sz w:val="4"/>
                <w:szCs w:val="4"/>
              </w:rPr>
            </w:pPr>
            <w:r>
              <w:rPr>
                <w:sz w:val="4"/>
                <w:szCs w:val="4"/>
              </w:rPr>
            </w:r>
          </w:p>
        </w:tc>
      </w:tr>
      <w:tr>
        <w:trPr/>
        <w:tc>
          <w:tcPr>
            <w:tcW w:w="1287" w:type="dxa"/>
            <w:tcBorders/>
          </w:tcPr>
          <w:p>
            <w:pPr>
              <w:pStyle w:val="TableContents"/>
              <w:bidi w:val="0"/>
              <w:spacing w:before="0" w:after="283"/>
              <w:jc w:val="left"/>
              <w:rPr/>
            </w:pPr>
            <w:r>
              <w:rPr/>
              <w:t>By:</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2711" w:type="dxa"/>
            <w:tcBorders>
              <w:bottom w:val="single" w:sz="2" w:space="0" w:color="000000"/>
            </w:tcBorders>
            <w:tcMar>
              <w:bottom w:w="28" w:type="dxa"/>
            </w:tcMar>
          </w:tcPr>
          <w:p>
            <w:pPr>
              <w:pStyle w:val="TableContents"/>
              <w:bidi w:val="0"/>
              <w:spacing w:before="0" w:after="283"/>
              <w:jc w:val="left"/>
              <w:rPr/>
            </w:pPr>
            <w:r>
              <w:rPr/>
              <w:t> </w:t>
            </w:r>
          </w:p>
        </w:tc>
      </w:tr>
      <w:tr>
        <w:trPr/>
        <w:tc>
          <w:tcPr>
            <w:tcW w:w="1287" w:type="dxa"/>
            <w:tcBorders/>
          </w:tcPr>
          <w:p>
            <w:pPr>
              <w:pStyle w:val="TableContents"/>
              <w:bidi w:val="0"/>
              <w:spacing w:before="0" w:after="283"/>
              <w:jc w:val="left"/>
              <w:rPr/>
            </w:pPr>
            <w:r>
              <w:rPr/>
              <w:t>Name:</w:t>
            </w:r>
          </w:p>
        </w:tc>
        <w:tc>
          <w:tcPr>
            <w:tcW w:w="84" w:type="dxa"/>
            <w:tcBorders/>
            <w:vAlign w:val="bottom"/>
          </w:tcPr>
          <w:p>
            <w:pPr>
              <w:pStyle w:val="TableContents"/>
              <w:bidi w:val="0"/>
              <w:spacing w:before="0" w:after="283"/>
              <w:jc w:val="left"/>
              <w:rPr/>
            </w:pPr>
            <w:r>
              <w:rPr/>
              <w:t> </w:t>
            </w:r>
          </w:p>
        </w:tc>
        <w:tc>
          <w:tcPr>
            <w:tcW w:w="2711" w:type="dxa"/>
            <w:tcBorders/>
          </w:tcPr>
          <w:p>
            <w:pPr>
              <w:pStyle w:val="TableContents"/>
              <w:pBdr>
                <w:bottom w:val="single" w:sz="2" w:space="1" w:color="000000"/>
              </w:pBdr>
              <w:bidi w:val="0"/>
              <w:spacing w:before="0" w:after="20"/>
              <w:jc w:val="left"/>
              <w:rPr/>
            </w:pPr>
            <w:r>
              <w:rPr/>
              <w:t> </w:t>
            </w:r>
          </w:p>
        </w:tc>
      </w:tr>
      <w:tr>
        <w:trPr/>
        <w:tc>
          <w:tcPr>
            <w:tcW w:w="1287" w:type="dxa"/>
            <w:tcBorders/>
          </w:tcPr>
          <w:p>
            <w:pPr>
              <w:pStyle w:val="TableContents"/>
              <w:bidi w:val="0"/>
              <w:spacing w:before="0" w:after="283"/>
              <w:jc w:val="left"/>
              <w:rPr/>
            </w:pPr>
            <w:r>
              <w:rPr/>
              <w:t>Title:</w:t>
            </w:r>
          </w:p>
        </w:tc>
        <w:tc>
          <w:tcPr>
            <w:tcW w:w="84" w:type="dxa"/>
            <w:tcBorders/>
            <w:vAlign w:val="bottom"/>
          </w:tcPr>
          <w:p>
            <w:pPr>
              <w:pStyle w:val="TableContents"/>
              <w:bidi w:val="0"/>
              <w:spacing w:before="0" w:after="283"/>
              <w:jc w:val="left"/>
              <w:rPr/>
            </w:pPr>
            <w:r>
              <w:rPr/>
              <w:t> </w:t>
            </w:r>
          </w:p>
        </w:tc>
        <w:tc>
          <w:tcPr>
            <w:tcW w:w="2711" w:type="dxa"/>
            <w:tcBorders/>
          </w:tcPr>
          <w:p>
            <w:pPr>
              <w:pStyle w:val="TableContents"/>
              <w:pBdr>
                <w:bottom w:val="single" w:sz="2" w:space="1" w:color="000000"/>
              </w:pBdr>
              <w:bidi w:val="0"/>
              <w:spacing w:before="0" w:after="20"/>
              <w:jc w:val="left"/>
              <w:rPr/>
            </w:pPr>
            <w:r>
              <w:rPr/>
              <w:t> </w:t>
            </w:r>
          </w:p>
        </w:tc>
      </w:tr>
      <w:tr>
        <w:trPr>
          <w:trHeight w:val="240" w:hRule="atLeast"/>
        </w:trPr>
        <w:tc>
          <w:tcPr>
            <w:tcW w:w="1287" w:type="dxa"/>
            <w:tcBorders/>
            <w:vAlign w:val="center"/>
          </w:tcPr>
          <w:p>
            <w:pPr>
              <w:pStyle w:val="TableContents"/>
              <w:bidi w:val="0"/>
              <w:spacing w:before="0" w:after="283"/>
              <w:jc w:val="left"/>
              <w:rPr>
                <w:sz w:val="4"/>
                <w:szCs w:val="4"/>
              </w:rPr>
            </w:pPr>
            <w:r>
              <w:rPr>
                <w:sz w:val="4"/>
                <w:szCs w:val="4"/>
              </w:rPr>
            </w:r>
          </w:p>
        </w:tc>
        <w:tc>
          <w:tcPr>
            <w:tcW w:w="2795" w:type="dxa"/>
            <w:gridSpan w:val="2"/>
            <w:tcBorders/>
            <w:vAlign w:val="center"/>
          </w:tcPr>
          <w:p>
            <w:pPr>
              <w:pStyle w:val="TableContents"/>
              <w:bidi w:val="0"/>
              <w:spacing w:before="0" w:after="283"/>
              <w:jc w:val="left"/>
              <w:rPr>
                <w:sz w:val="4"/>
                <w:szCs w:val="4"/>
              </w:rPr>
            </w:pPr>
            <w:r>
              <w:rPr>
                <w:sz w:val="4"/>
                <w:szCs w:val="4"/>
              </w:rPr>
            </w:r>
          </w:p>
        </w:tc>
      </w:tr>
      <w:tr>
        <w:trPr/>
        <w:tc>
          <w:tcPr>
            <w:tcW w:w="1287" w:type="dxa"/>
            <w:tcBorders/>
          </w:tcPr>
          <w:p>
            <w:pPr>
              <w:pStyle w:val="TableContents"/>
              <w:bidi w:val="0"/>
              <w:spacing w:before="0" w:after="283"/>
              <w:jc w:val="left"/>
              <w:rPr/>
            </w:pPr>
            <w:r>
              <w:rPr/>
              <w:t>Address:</w:t>
            </w:r>
          </w:p>
        </w:tc>
        <w:tc>
          <w:tcPr>
            <w:tcW w:w="84" w:type="dxa"/>
            <w:tcBorders/>
            <w:vAlign w:val="bottom"/>
          </w:tcPr>
          <w:p>
            <w:pPr>
              <w:pStyle w:val="TableContents"/>
              <w:bidi w:val="0"/>
              <w:spacing w:before="0" w:after="283"/>
              <w:jc w:val="left"/>
              <w:rPr/>
            </w:pPr>
            <w:r>
              <w:rPr/>
              <w:t> </w:t>
            </w:r>
          </w:p>
        </w:tc>
        <w:tc>
          <w:tcPr>
            <w:tcW w:w="2711" w:type="dxa"/>
            <w:tcBorders/>
          </w:tcPr>
          <w:p>
            <w:pPr>
              <w:pStyle w:val="TableContents"/>
              <w:bidi w:val="0"/>
              <w:spacing w:before="0" w:after="283"/>
              <w:jc w:val="left"/>
              <w:rPr>
                <w:sz w:val="4"/>
                <w:szCs w:val="4"/>
              </w:rPr>
            </w:pPr>
            <w:r>
              <w:rPr>
                <w:sz w:val="4"/>
                <w:szCs w:val="4"/>
              </w:rPr>
            </w:r>
          </w:p>
        </w:tc>
      </w:tr>
      <w:tr>
        <w:trPr/>
        <w:tc>
          <w:tcPr>
            <w:tcW w:w="1287" w:type="dxa"/>
            <w:tcBorders/>
          </w:tcPr>
          <w:p>
            <w:pPr>
              <w:pStyle w:val="TableContents"/>
              <w:bidi w:val="0"/>
              <w:spacing w:before="0" w:after="283"/>
              <w:jc w:val="left"/>
              <w:rPr/>
            </w:pPr>
            <w:r>
              <w:rPr/>
              <w:t>[]</w:t>
            </w:r>
          </w:p>
        </w:tc>
        <w:tc>
          <w:tcPr>
            <w:tcW w:w="84" w:type="dxa"/>
            <w:tcBorders/>
            <w:vAlign w:val="bottom"/>
          </w:tcPr>
          <w:p>
            <w:pPr>
              <w:pStyle w:val="TableContents"/>
              <w:bidi w:val="0"/>
              <w:spacing w:before="0" w:after="283"/>
              <w:jc w:val="left"/>
              <w:rPr/>
            </w:pPr>
            <w:r>
              <w:rPr/>
              <w:t> </w:t>
            </w:r>
          </w:p>
        </w:tc>
        <w:tc>
          <w:tcPr>
            <w:tcW w:w="2711" w:type="dxa"/>
            <w:tcBorders/>
          </w:tcPr>
          <w:p>
            <w:pPr>
              <w:pStyle w:val="TableContents"/>
              <w:bidi w:val="0"/>
              <w:spacing w:before="0" w:after="283"/>
              <w:jc w:val="left"/>
              <w:rPr>
                <w:sz w:val="4"/>
                <w:szCs w:val="4"/>
              </w:rPr>
            </w:pPr>
            <w:r>
              <w:rPr>
                <w:sz w:val="4"/>
                <w:szCs w:val="4"/>
              </w:rPr>
            </w:r>
          </w:p>
        </w:tc>
      </w:tr>
      <w:tr>
        <w:trPr/>
        <w:tc>
          <w:tcPr>
            <w:tcW w:w="1287" w:type="dxa"/>
            <w:tcBorders/>
          </w:tcPr>
          <w:p>
            <w:pPr>
              <w:pStyle w:val="TableContents"/>
              <w:bidi w:val="0"/>
              <w:spacing w:before="0" w:after="283"/>
              <w:jc w:val="left"/>
              <w:rPr/>
            </w:pPr>
            <w:r>
              <w:rPr/>
              <w:t>Email: []</w:t>
            </w:r>
          </w:p>
        </w:tc>
        <w:tc>
          <w:tcPr>
            <w:tcW w:w="84" w:type="dxa"/>
            <w:tcBorders/>
            <w:vAlign w:val="bottom"/>
          </w:tcPr>
          <w:p>
            <w:pPr>
              <w:pStyle w:val="TableContents"/>
              <w:bidi w:val="0"/>
              <w:spacing w:before="0" w:after="283"/>
              <w:jc w:val="left"/>
              <w:rPr/>
            </w:pPr>
            <w:r>
              <w:rPr/>
              <w:t> </w:t>
            </w:r>
          </w:p>
        </w:tc>
        <w:tc>
          <w:tcPr>
            <w:tcW w:w="271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Securities Purchase Agreement] </w:t>
      </w:r>
    </w:p>
    <w:p>
      <w:pPr>
        <w:pStyle w:val="TextBody"/>
        <w:bidi w:val="0"/>
        <w:spacing w:before="0" w:after="0"/>
        <w:jc w:val="right"/>
        <w:rPr>
          <w:rFonts w:ascii="Times New Roman" w:hAnsi="Times New Roman"/>
          <w:b/>
          <w:sz w:val="20"/>
        </w:rPr>
      </w:pPr>
      <w:bookmarkStart w:id="12" w:name="d91010dex105.htm"/>
      <w:bookmarkStart w:id="13" w:name="ksd91010dex105"/>
      <w:bookmarkEnd w:id="12"/>
      <w:bookmarkEnd w:id="13"/>
      <w:r>
        <w:rPr>
          <w:rFonts w:ascii="Times New Roman" w:hAnsi="Times New Roman"/>
          <w:b/>
          <w:sz w:val="20"/>
        </w:rPr>
        <w:t xml:space="preserve">Exhibit 10.5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REGISTRATION RIGHTS AGREEMENT </w:t>
      </w:r>
    </w:p>
    <w:p>
      <w:pPr>
        <w:pStyle w:val="TextBody"/>
        <w:bidi w:val="0"/>
        <w:spacing w:before="240" w:after="0"/>
        <w:jc w:val="left"/>
        <w:rPr>
          <w:rFonts w:ascii="Times New Roman" w:hAnsi="Times New Roman"/>
          <w:sz w:val="20"/>
        </w:rPr>
      </w:pPr>
      <w:r>
        <w:rPr>
          <w:rFonts w:ascii="Times New Roman" w:hAnsi="Times New Roman"/>
          <w:b/>
          <w:sz w:val="20"/>
        </w:rPr>
        <w:t>THIS REGISTRATION RIGHTS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dated as of July 28, 2026, is entered into by and among Caldera Therapeutics, Inc., a Delaware corporation (the “</w:t>
      </w:r>
      <w:r>
        <w:rPr>
          <w:rFonts w:ascii="Times New Roman" w:hAnsi="Times New Roman"/>
          <w:b/>
          <w:sz w:val="20"/>
        </w:rPr>
        <w:t>Company</w:t>
      </w:r>
      <w:r>
        <w:rPr>
          <w:rFonts w:ascii="Times New Roman" w:hAnsi="Times New Roman"/>
          <w:sz w:val="20"/>
        </w:rPr>
        <w:t>”), Sonic Holdco, Inc., a Delaware corporation (“</w:t>
      </w:r>
      <w:r>
        <w:rPr>
          <w:rFonts w:ascii="Times New Roman" w:hAnsi="Times New Roman"/>
          <w:b/>
          <w:sz w:val="20"/>
        </w:rPr>
        <w:t>Parent</w:t>
      </w:r>
      <w:r>
        <w:rPr>
          <w:rFonts w:ascii="Times New Roman" w:hAnsi="Times New Roman"/>
          <w:sz w:val="20"/>
        </w:rPr>
        <w:t>”), and the several investors signatory hereto (individually as an “</w:t>
      </w:r>
      <w:r>
        <w:rPr>
          <w:rFonts w:ascii="Times New Roman" w:hAnsi="Times New Roman"/>
          <w:b/>
          <w:sz w:val="20"/>
        </w:rPr>
        <w:t>Investor</w:t>
      </w:r>
      <w:r>
        <w:rPr>
          <w:rFonts w:ascii="Times New Roman" w:hAnsi="Times New Roman"/>
          <w:sz w:val="20"/>
        </w:rPr>
        <w:t>” and collectively together with their respective permitted assigns, the “</w:t>
      </w:r>
      <w:r>
        <w:rPr>
          <w:rFonts w:ascii="Times New Roman" w:hAnsi="Times New Roman"/>
          <w:b/>
          <w:sz w:val="20"/>
        </w:rPr>
        <w:t>Investors</w:t>
      </w:r>
      <w:r>
        <w:rPr>
          <w:rFonts w:ascii="Times New Roman" w:hAnsi="Times New Roman"/>
          <w:sz w:val="20"/>
        </w:rPr>
        <w:t>”). Capitalized terms used herein and not otherwise defined herein shall have the respective meanings set forth in the Securities Purchase Agreement by and among the Company and the Investors party thereto, dated as of July 28, 2026 (as amended, restated, supplemented or otherwise modified from time to time, the “</w:t>
      </w:r>
      <w:r>
        <w:rPr>
          <w:rFonts w:ascii="Times New Roman" w:hAnsi="Times New Roman"/>
          <w:b/>
          <w:sz w:val="20"/>
        </w:rPr>
        <w:t>Purchase Agreement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WHEREAS: </w:t>
      </w:r>
    </w:p>
    <w:p>
      <w:pPr>
        <w:pStyle w:val="TextBody"/>
        <w:bidi w:val="0"/>
        <w:spacing w:before="240" w:after="0"/>
        <w:jc w:val="left"/>
        <w:rPr>
          <w:rFonts w:ascii="Times New Roman" w:hAnsi="Times New Roman"/>
          <w:sz w:val="20"/>
        </w:rPr>
      </w:pPr>
      <w:r>
        <w:rPr>
          <w:rFonts w:ascii="Times New Roman" w:hAnsi="Times New Roman"/>
          <w:sz w:val="20"/>
        </w:rPr>
        <w:t>A. The Company is party to that certain Agreement and Plan of Merger by and among the Company, Parent, Synlogic, Inc., a Delaware corporation (“</w:t>
      </w:r>
      <w:r>
        <w:rPr>
          <w:rFonts w:ascii="Times New Roman" w:hAnsi="Times New Roman"/>
          <w:b/>
          <w:sz w:val="20"/>
        </w:rPr>
        <w:t>Synlogic</w:t>
      </w:r>
      <w:r>
        <w:rPr>
          <w:rFonts w:ascii="Times New Roman" w:hAnsi="Times New Roman"/>
          <w:sz w:val="20"/>
        </w:rPr>
        <w:t>”), Yellowstone Merger Sub, Inc., a Delaware corporation and a direct, wholly owned subsidiary of Parent (“</w:t>
      </w:r>
      <w:r>
        <w:rPr>
          <w:rFonts w:ascii="Times New Roman" w:hAnsi="Times New Roman"/>
          <w:b/>
          <w:sz w:val="20"/>
        </w:rPr>
        <w:t>Caldera Merger Sub</w:t>
      </w:r>
      <w:r>
        <w:rPr>
          <w:rFonts w:ascii="Times New Roman" w:hAnsi="Times New Roman"/>
          <w:sz w:val="20"/>
        </w:rPr>
        <w:t>”), and Sonic Merger Sub, Inc., a Delaware corporation and a direct, wholly owned subsidiary of Parent (“</w:t>
      </w:r>
      <w:r>
        <w:rPr>
          <w:rFonts w:ascii="Times New Roman" w:hAnsi="Times New Roman"/>
          <w:b/>
          <w:sz w:val="20"/>
        </w:rPr>
        <w:t>Synlogic Merger Sub</w:t>
      </w:r>
      <w:r>
        <w:rPr>
          <w:rFonts w:ascii="Times New Roman" w:hAnsi="Times New Roman"/>
          <w:sz w:val="20"/>
        </w:rPr>
        <w:t>”), dated July 28, 2026 (as amended from time to time, the “</w:t>
      </w:r>
      <w:r>
        <w:rPr>
          <w:rFonts w:ascii="Times New Roman" w:hAnsi="Times New Roman"/>
          <w:b/>
          <w:sz w:val="20"/>
        </w:rPr>
        <w:t>Merger Agreement</w:t>
      </w:r>
      <w:r>
        <w:rPr>
          <w:rFonts w:ascii="Times New Roman" w:hAnsi="Times New Roman"/>
          <w:sz w:val="20"/>
        </w:rPr>
        <w:t>”), pursuant to which (i) Caldera Merger Sub will merge with and into the Company, with the Company surviving and becoming a wholly owned subsidiary of Parent (the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Merger</w:t>
      </w:r>
      <w:r>
        <w:rPr>
          <w:rFonts w:ascii="Times New Roman" w:hAnsi="Times New Roman"/>
          <w:sz w:val="20"/>
        </w:rPr>
        <w:t>”), and (ii) as soon as reasonably practicable following the effective time of the First Merger, Synlogic Merger Sub will merge with and into Synlogic, with Synlogic surviving and becoming a wholly owned subsidiary of Parent (the “</w:t>
      </w:r>
      <w:r>
        <w:rPr>
          <w:rFonts w:ascii="Times New Roman" w:hAnsi="Times New Roman"/>
          <w:b/>
          <w:sz w:val="20"/>
        </w:rPr>
        <w:t>Second Merger</w:t>
      </w:r>
      <w:r>
        <w:rPr>
          <w:rFonts w:ascii="Times New Roman" w:hAnsi="Times New Roman"/>
          <w:sz w:val="20"/>
        </w:rPr>
        <w:t>” and, together with the First Merger, the “</w:t>
      </w:r>
      <w:r>
        <w:rPr>
          <w:rFonts w:ascii="Times New Roman" w:hAnsi="Times New Roman"/>
          <w:b/>
          <w:sz w:val="20"/>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Upon the terms and subject to the conditions of the Purchase Agreement, the Company has agreed to issue to certain Investors, and such Investors have agreed to purchase, severally and not jointly, an aggregate of up to $278,000,000 of shares (the “</w:t>
      </w:r>
      <w:r>
        <w:rPr>
          <w:rFonts w:ascii="Times New Roman" w:hAnsi="Times New Roman"/>
          <w:b/>
          <w:sz w:val="20"/>
        </w:rPr>
        <w:t>Shares</w:t>
      </w:r>
      <w:r>
        <w:rPr>
          <w:rFonts w:ascii="Times New Roman" w:hAnsi="Times New Roman"/>
          <w:sz w:val="20"/>
        </w:rPr>
        <w:t xml:space="preserve">”) of Common Stock pursuant to the Purchase Agreement. </w:t>
      </w:r>
    </w:p>
    <w:p>
      <w:pPr>
        <w:pStyle w:val="TextBody"/>
        <w:bidi w:val="0"/>
        <w:spacing w:before="240" w:after="0"/>
        <w:jc w:val="left"/>
        <w:rPr>
          <w:rFonts w:ascii="Times New Roman" w:hAnsi="Times New Roman"/>
          <w:sz w:val="20"/>
        </w:rPr>
      </w:pPr>
      <w:r>
        <w:rPr>
          <w:rFonts w:ascii="Times New Roman" w:hAnsi="Times New Roman"/>
          <w:sz w:val="20"/>
        </w:rPr>
        <w:t>C. 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hAnsi="Times New Roman"/>
          <w:b/>
          <w:sz w:val="20"/>
        </w:rPr>
        <w:t>Securities Act</w:t>
      </w:r>
      <w:r>
        <w:rPr>
          <w:rFonts w:ascii="Times New Roman" w:hAnsi="Times New Roman"/>
          <w:sz w:val="20"/>
        </w:rPr>
        <w:t xml:space="preserve">”), and applicable state securities laws.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promises and the mutual covenants contained herein and other good and valuable consideration, the receipt and sufficiency of which are hereby acknowledged, the Company, Parent and the Investors hereby agree as follows: </w:t>
      </w:r>
    </w:p>
    <w:p>
      <w:pPr>
        <w:pStyle w:val="TextBody"/>
        <w:bidi w:val="0"/>
        <w:spacing w:before="360" w:after="0"/>
        <w:jc w:val="left"/>
        <w:rPr>
          <w:rFonts w:ascii="Times New Roman" w:hAnsi="Times New Roman"/>
          <w:b/>
          <w:sz w:val="20"/>
        </w:rPr>
      </w:pPr>
      <w:r>
        <w:rPr>
          <w:rFonts w:ascii="Times New Roman" w:hAnsi="Times New Roman"/>
          <w:b/>
          <w:sz w:val="20"/>
        </w:rPr>
        <w:t xml:space="preserve">1. DEFINITIONS.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Agreement,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Company</w:t>
      </w:r>
      <w:r>
        <w:rPr>
          <w:rFonts w:ascii="Times New Roman" w:hAnsi="Times New Roman"/>
          <w:sz w:val="20"/>
        </w:rPr>
        <w:t xml:space="preserve">” means Caldera Therapeutics, Inc. for all periods prior to the Caldera Effective Time (as defined in the Merger Agreement) and Parent for all periods following the Caldera Effective Time.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Filing Deadline</w:t>
      </w:r>
      <w:r>
        <w:rPr>
          <w:rFonts w:ascii="Times New Roman" w:hAnsi="Times New Roman"/>
          <w:sz w:val="20"/>
        </w:rPr>
        <w:t xml:space="preserve">” means, with respect to the Initial Registration Statement required hereunder, the 30th calendar day following the Closing Date (as defined in the Merger Agreement) and, with respect to any amendment to the Initial Registration Statement filed under </w:t>
      </w:r>
      <w:r>
        <w:rPr>
          <w:rFonts w:ascii="Times New Roman" w:hAnsi="Times New Roman"/>
          <w:sz w:val="20"/>
          <w:u w:val="single"/>
        </w:rPr>
        <w:t>Section 2(c)</w:t>
      </w:r>
      <w:r>
        <w:rPr>
          <w:rFonts w:ascii="Times New Roman" w:hAnsi="Times New Roman"/>
          <w:sz w:val="20"/>
        </w:rPr>
        <w:t xml:space="preserve"> of this Agreement or any New Registration Statements or other Registration Statement filed hereunder, the 30th calendar day following the later of (i) the date on which the Company is permitted by SEC Guidance to file such New Registration Statement related to the Registrable Securities and (ii) the date on which the Company becomes aware of the necessity of filing such amendment to the Initial Registration Statement or New Registration Statement related to the Registrable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b/>
          <w:sz w:val="20"/>
        </w:rPr>
        <w:t>Person</w:t>
      </w:r>
      <w:r>
        <w:rPr>
          <w:rFonts w:ascii="Times New Roman" w:hAnsi="Times New Roman"/>
          <w:sz w:val="20"/>
        </w:rPr>
        <w:t xml:space="preserve">” means any individual or entity including but not limited to any corporation, limited liability company, association, partnership, organization, business, individual, governmental or political subdivision or any governmental agency.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Register</w:t>
      </w:r>
      <w:r>
        <w:rPr>
          <w:rFonts w:ascii="Times New Roman" w:hAnsi="Times New Roman"/>
          <w:sz w:val="20"/>
        </w:rPr>
        <w:t>,” “</w:t>
      </w:r>
      <w:r>
        <w:rPr>
          <w:rFonts w:ascii="Times New Roman" w:hAnsi="Times New Roman"/>
          <w:b/>
          <w:sz w:val="20"/>
        </w:rPr>
        <w:t>Registered</w:t>
      </w:r>
      <w:r>
        <w:rPr>
          <w:rFonts w:ascii="Times New Roman" w:hAnsi="Times New Roman"/>
          <w:sz w:val="20"/>
        </w:rPr>
        <w:t>,” and “</w:t>
      </w:r>
      <w:r>
        <w:rPr>
          <w:rFonts w:ascii="Times New Roman" w:hAnsi="Times New Roman"/>
          <w:b/>
          <w:sz w:val="20"/>
        </w:rPr>
        <w:t>Registration</w:t>
      </w:r>
      <w:r>
        <w:rPr>
          <w:rFonts w:ascii="Times New Roman" w:hAnsi="Times New Roman"/>
          <w:sz w:val="20"/>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hAnsi="Times New Roman"/>
          <w:b/>
          <w:sz w:val="20"/>
        </w:rPr>
        <w:t>SEC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Registrable Securities</w:t>
      </w:r>
      <w:r>
        <w:rPr>
          <w:rFonts w:ascii="Times New Roman" w:hAnsi="Times New Roman"/>
          <w:sz w:val="20"/>
        </w:rPr>
        <w:t xml:space="preserve">” means (i) the Shares, (ii) any shares of Common Stock of Parent issued to an Investor and its Affiliates (as defined in the Merger Agreement) pursuant to the Merger Agreement, and (iii) any shares of Common Stock issued or issuable with respect to the foregoing as a result of any stock split or subdivision, stock dividend, recapitalization, exchange or similar event. Registrable Securities shall cease to be Registrable Securities (and the Company shall not be required to maintain the effectiveness of any, or file another, Registration Statement hereunder with respect thereto) upon the earliest to occur of (A) the date on which such Investor shall have resold such Registrable Securities covered by the Registration Statement pursuant to the Registration Statement, (B) such Registrable Securities have been previously sold by such Investor in accordance with Rule 144, (C) such Registrable Securities become eligible for resale by such Investor without volume or manner-of-sale restrictions pursuant to Rule 144 and without the requirement for the Company to be in compliance with the current public information requirement under Rule 144, and (D) with respect to Registrable Securities held by an Investor that is not an affiliate of the Company, upon exchange of such Registrable Securities for unrestricted shares under an effective registration statement on Form S-4, if available, or if unavailable, another appropriate form filed with the SEC.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sz w:val="20"/>
        </w:rPr>
        <w:t>Registration Expenses</w:t>
      </w:r>
      <w:r>
        <w:rPr>
          <w:rFonts w:ascii="Times New Roman" w:hAnsi="Times New Roman"/>
          <w:sz w:val="20"/>
        </w:rPr>
        <w:t xml:space="preserve">”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provided that in no event shall the Company be responsible for any Selling Expenses of any Investor or, except to the extent provided for in the Purchase Agreement, any legal fees or other costs of the Investors.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Registration Statement</w:t>
      </w:r>
      <w:r>
        <w:rPr>
          <w:rFonts w:ascii="Times New Roman" w:hAnsi="Times New Roman"/>
          <w:sz w:val="20"/>
        </w:rPr>
        <w:t xml:space="preserve">” means any registration statement of the Company filed with, or to be filed with, the SEC under the Securities Act, that Registers Registrable Securities, including the related preliminary or final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w:t>
      </w:r>
      <w:r>
        <w:rPr>
          <w:rFonts w:ascii="Times New Roman" w:hAnsi="Times New Roman"/>
          <w:b/>
          <w:sz w:val="20"/>
        </w:rPr>
        <w:t>Required Investors</w:t>
      </w:r>
      <w:r>
        <w:rPr>
          <w:rFonts w:ascii="Times New Roman" w:hAnsi="Times New Roman"/>
          <w:sz w:val="20"/>
        </w:rPr>
        <w:t xml:space="preserve">” means the Investors holding a majority of the Registrable Securities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sz w:val="20"/>
        </w:rPr>
        <w:t>SEC Guidance</w:t>
      </w:r>
      <w:r>
        <w:rPr>
          <w:rFonts w:ascii="Times New Roman" w:hAnsi="Times New Roman"/>
          <w:sz w:val="20"/>
        </w:rPr>
        <w:t xml:space="preserve">” means (i) any publicly available written or oral guidance of the SEC staff, or any comments, requirements or requests of the SEC staff (whether or not publicly available); provided, that any such oral guidance, comments, requirements or requests are reduced to writing by the SEC (and shared with the Investors upon request if not publicly available) and (ii) the Securities Act.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sz w:val="20"/>
        </w:rPr>
        <w:t>Selling Expenses</w:t>
      </w:r>
      <w:r>
        <w:rPr>
          <w:rFonts w:ascii="Times New Roman" w:hAnsi="Times New Roman"/>
          <w:sz w:val="20"/>
        </w:rPr>
        <w:t xml:space="preserve">” means all underwriting discounts and selling commissions applicable to the sale of Registrable Securities and all similar fees and commissions relating to an Investor’s disposition of its Registrable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2. REGISTRATION.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Mandatory Registration</w:t>
      </w:r>
      <w:r>
        <w:rPr>
          <w:rFonts w:ascii="Times New Roman" w:hAnsi="Times New Roman"/>
          <w:sz w:val="20"/>
        </w:rPr>
        <w:t>. The Company shall, as promptly as reasonably practicable and in any event no later than the Filing Deadline, prepare and file with the SEC an initial Registration Statement (the “</w:t>
      </w:r>
      <w:r>
        <w:rPr>
          <w:rFonts w:ascii="Times New Roman" w:hAnsi="Times New Roman"/>
          <w:b/>
          <w:sz w:val="20"/>
        </w:rPr>
        <w:t>Initial Registration Statement</w:t>
      </w:r>
      <w:r>
        <w:rPr>
          <w:rFonts w:ascii="Times New Roman" w:hAnsi="Times New Roman"/>
          <w:sz w:val="20"/>
        </w:rPr>
        <w:t xml:space="preserve">”) covering the resale of all Registrable Securities. Before filing the Registration Statement, the Company shall furnish to the Investors a copy of the Registration Statement. The Investors and their respective counsel shall have at least three (3) Business Days prior to the anticipated filing date of a Registration Statement to review and comment upon such Registration Statement and any amendment or supplement to such Registration Statement and any related prospectus (including any documents incorporated by reference therein), prior to its filing with the SEC. Subject to any SEC comments, such Registration Statement shall include the plan of distribution substantially in the form attached hereto as </w:t>
      </w:r>
      <w:r>
        <w:rPr>
          <w:rFonts w:ascii="Times New Roman" w:hAnsi="Times New Roman"/>
          <w:sz w:val="20"/>
          <w:u w:val="single"/>
        </w:rPr>
        <w:t>Exhibit B</w:t>
      </w:r>
      <w:r>
        <w:rPr>
          <w:rFonts w:ascii="Times New Roman" w:hAnsi="Times New Roman"/>
          <w:sz w:val="20"/>
        </w:rPr>
        <w:t xml:space="preserve">.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The Company shall (a) use reasonable best efforts to address any comments reasonably proposed by an Investor or its counsel to such document prior to being so filed with the SEC, and (b) not file any Registration Statement or related prospectus or any amendment or supplement thereto containing information regarding an Investor which the Investor has indicated it reasonably believes contains an untrue statement of a material fact or omits to state a material fact required to be stated therein or necessary to make the statements therein, in light of the circumstances under which they were made, not misleading, unless such information is required (in the opinion of the Company’s counsel) to comply with any applicable law or regulation or SEC Guidance. Each Investor shall furnish all information reasonably requested by the Company with respect to such Investor as shall be reasonably required in connection with any registration referred to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Effectiveness</w:t>
      </w:r>
      <w:r>
        <w:rPr>
          <w:rFonts w:ascii="Times New Roman" w:hAnsi="Times New Roman"/>
          <w:sz w:val="20"/>
        </w:rPr>
        <w:t>. The Company shall use its reasonable best efforts to have the Initial Registration Statement and any amendment declared effective by the SEC at the earliest possible date but no later than the earlier of (i) the seventy-fifth (75th) calendar day following the initial filing date of the Initial Registration Statement if the SEC notifies the Company that it will “review” the Initial Registration Statement and (ii) the fifth (5th) Business Day after the date the Company is notified (orally or in writing, whichever is earlier) by the SEC that the Initial Registration Statement will not be “reviewed” or will not be subject to further review (the “</w:t>
      </w:r>
      <w:r>
        <w:rPr>
          <w:rFonts w:ascii="Times New Roman" w:hAnsi="Times New Roman"/>
          <w:b/>
          <w:sz w:val="20"/>
        </w:rPr>
        <w:t>Effectiveness Deadline</w:t>
      </w:r>
      <w:r>
        <w:rPr>
          <w:rFonts w:ascii="Times New Roman" w:hAnsi="Times New Roman"/>
          <w:sz w:val="20"/>
        </w:rPr>
        <w:t xml:space="preserve">”). The Company shall notify the Investors by e-mail as promptly as practicable, and in any event, within twenty-four (24) hours, after the Initial Registration Statement is declared effective or is supplemented and shall provide the Investors with copies of any related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Investors of all of the Registrable Securities covered thereby at all times until the earlier to occur of the following events: (i) the date on which the Investors shall have resold all the Registrable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Securities covered thereby pursuant to Rule 144 or pursuant to the Initial Registration Statement; and (ii) the date on which the Registrable Securities may be resold by the Investors without registration and without regard to any volume or manner-of-sale limitations by reason of Rule 144, and without the requirement for the Company to be in compliance with the current public information requirement under Rule 144 under the Securities Act or any other rule of similar effect (the “</w:t>
      </w:r>
      <w:r>
        <w:rPr>
          <w:rFonts w:ascii="Times New Roman" w:hAnsi="Times New Roman"/>
          <w:b/>
          <w:sz w:val="20"/>
        </w:rPr>
        <w:t>Registration Period</w:t>
      </w:r>
      <w:r>
        <w:rPr>
          <w:rFonts w:ascii="Times New Roman" w:hAnsi="Times New Roman"/>
          <w:sz w:val="20"/>
        </w:rPr>
        <w:t xml:space="preserve">”).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Sufficient Number of Shares Registered</w:t>
      </w:r>
      <w:r>
        <w:rPr>
          <w:rFonts w:ascii="Times New Roman" w:hAnsi="Times New Roman"/>
          <w:sz w:val="20"/>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hAnsi="Times New Roman"/>
          <w:b/>
          <w:sz w:val="20"/>
        </w:rPr>
        <w:t>New Registration Statement</w:t>
      </w:r>
      <w:r>
        <w:rPr>
          <w:rFonts w:ascii="Times New Roman" w:hAnsi="Times New Roman"/>
          <w:sz w:val="20"/>
        </w:rPr>
        <w:t xml:space="preserve">”), so as to cover all of such Registrable Securities as soon as reasonably practicable, but in any event not later than the Filing Deadline. The Company shall use its reasonable best efforts to have such amendment and/or New Registration Statement become effective as soon as reasonably practicable following the filing thereof but no later than the earlier of (i) the seventy-fifth (75th) calendar day following the initial filing date of the New Registration Statement if the SEC notifies the Company that it will “review” the New Registration Statement and (ii) the fifth (5th) Business Day after the date the Company is notified (orally or in writing, whichever is earlier) by the SEC that the New Registration Statement will not be “reviewed” or will not be subject to further review. The provisions of </w:t>
      </w:r>
      <w:r>
        <w:rPr>
          <w:rFonts w:ascii="Times New Roman" w:hAnsi="Times New Roman"/>
          <w:sz w:val="20"/>
          <w:u w:val="single"/>
        </w:rPr>
        <w:t>Sections 2(a)</w:t>
      </w:r>
      <w:r>
        <w:rPr>
          <w:rFonts w:ascii="Times New Roman" w:hAnsi="Times New Roman"/>
          <w:sz w:val="20"/>
        </w:rPr>
        <w:t xml:space="preserve"> and </w:t>
      </w:r>
      <w:r>
        <w:rPr>
          <w:rFonts w:ascii="Times New Roman" w:hAnsi="Times New Roman"/>
          <w:sz w:val="20"/>
          <w:u w:val="single"/>
        </w:rPr>
        <w:t>2(b)</w:t>
      </w:r>
      <w:r>
        <w:rPr>
          <w:rFonts w:ascii="Times New Roman" w:hAnsi="Times New Roman"/>
          <w:sz w:val="20"/>
        </w:rPr>
        <w:t xml:space="preserve"> shall apply to the New Registration Statement, except as modified hereby.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Allowable Delays</w:t>
      </w:r>
      <w:r>
        <w:rPr>
          <w:rFonts w:ascii="Times New Roman" w:hAnsi="Times New Roman"/>
          <w:sz w:val="20"/>
        </w:rPr>
        <w:t>. On no more than two (2) occasions in any twelve (12)-month period and for not more than thirty (30) consecutive days or for a total of not more than sixty (60) days, the Company may delay the effectiveness of the Initial Registration Statement or any other Registration Statement, or suspend the use of any prospectus included in any Registration Statement, in the event that the Board of Directors reasonably determines, in good faith and upon advice of outside legal counsel, that such delay or suspension is necessary to (A) delay the disclosure of material non-public information concerning the Company, including in connection with the negotiation or consummation of a material 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Board of Directors, upon advice of legal counsel, to cause the Registration Statement to fail to comply with applicable disclosure requirements,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hAnsi="Times New Roman"/>
          <w:b/>
          <w:sz w:val="20"/>
        </w:rPr>
        <w:t>Allowed Delay</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reasonable best efforts to terminate an Allowed Delay as promptly as practicable. Notwithstanding anything to the contrary set forth herein, the Company shall not, when advising such Investor of such events, provide Investor with any material, nonpublic information regarding the Company other than to the extent required to provide notice to such Investor of the occurrence of the events listed above. Each Investor may deliver written notice (an “</w:t>
      </w:r>
      <w:r>
        <w:rPr>
          <w:rFonts w:ascii="Times New Roman" w:hAnsi="Times New Roman"/>
          <w:b/>
          <w:sz w:val="20"/>
        </w:rPr>
        <w:t>Opt-Out Notice</w:t>
      </w:r>
      <w:r>
        <w:rPr>
          <w:rFonts w:ascii="Times New Roman" w:hAnsi="Times New Roman"/>
          <w:sz w:val="20"/>
        </w:rPr>
        <w:t xml:space="preserve">”) to the Company requesting that such Investor not receive notices from the Company otherwise required by this </w:t>
      </w:r>
      <w:r>
        <w:rPr>
          <w:rFonts w:ascii="Times New Roman" w:hAnsi="Times New Roman"/>
          <w:sz w:val="20"/>
          <w:u w:val="single"/>
        </w:rPr>
        <w:t>Section 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Investor may later revoke any such Opt-Out Notice in writing, which shall be effective five (5) Business Days after the receipt thereof.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receipt of an Opt-Out Notice from an Investor (unless subsequently revoked), (a) the Company shall not deliver any notices pursuant to this </w:t>
      </w:r>
      <w:r>
        <w:rPr>
          <w:rFonts w:ascii="Times New Roman" w:hAnsi="Times New Roman"/>
          <w:sz w:val="20"/>
          <w:u w:val="single"/>
        </w:rPr>
        <w:t>Section 2(d)</w:t>
      </w:r>
      <w:r>
        <w:rPr>
          <w:rFonts w:ascii="Times New Roman" w:hAnsi="Times New Roman"/>
          <w:sz w:val="20"/>
        </w:rPr>
        <w:t xml:space="preserve"> to such Investor and such Investor shall no longer be entitled to the rights associated with any such notice, and (b) each time prior to such Investor’s intended use of an effective Registration Statement, such Investor will notify the Company in writing at least two (2) Business Days in advance of such intended use, and if a notice of an Allowed Delay was previously delivered (or would have been delivered but for the provisions of this Section 2(d)) and the related suspension period remains in effect, the Company will so notify such Investor, within one (1) Business Day of such Investor’s notification to the Company, by delivering to such Investor a copy of such previous notice of an Allowed Delay, and thereafter will provide such Investor with the related notice of the conclusion of such Allowed Delay as soon as possible upon the conclusion thereof (which notices shall not contain any material nonpublic information or subject such Investor to any duty of confidentiality).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Rule 415; Cutback</w:t>
      </w:r>
      <w:r>
        <w:rPr>
          <w:rFonts w:ascii="Times New Roman" w:hAnsi="Times New Roman"/>
          <w:sz w:val="20"/>
        </w:rPr>
        <w:t>. If at any time the SEC takes the position that the offering of some or all of the Registrable Securities in any Registration Statement is not eligible to be made on a delayed or continuous basis under the provisions of Rule 415 under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reasonable best efforts to persuade the SEC that the offering contemplated by such Registration Statement is a valid secondary offering and not an offering “by or on behalf of the issuer” as defined in Rule 415 and that none of the Investors is an “underwriter.” Each Investor shall have the right to have its legal counsel, at such Investor’s expense, review and oversee any registration or matters pursuant to this </w:t>
      </w:r>
      <w:r>
        <w:rPr>
          <w:rFonts w:ascii="Times New Roman" w:hAnsi="Times New Roman"/>
          <w:sz w:val="20"/>
          <w:u w:val="single"/>
        </w:rPr>
        <w:t>Section 2(e)</w:t>
      </w:r>
      <w:r>
        <w:rPr>
          <w:rFonts w:ascii="Times New Roman" w:hAnsi="Times New Roman"/>
          <w:sz w:val="20"/>
        </w:rPr>
        <w:t xml:space="preserve">, including to comment on any written submission made to the SEC with respect thereto. No such written submission with respect to this matter shall be made to the SEC to which any Investor’s counsel reasonably objects. In the event that, despite the Company’s reasonable best efforts and compliance with the terms of this </w:t>
      </w:r>
      <w:r>
        <w:rPr>
          <w:rFonts w:ascii="Times New Roman" w:hAnsi="Times New Roman"/>
          <w:sz w:val="20"/>
          <w:u w:val="single"/>
        </w:rPr>
        <w:t>Section 2(e)</w:t>
      </w:r>
      <w:r>
        <w:rPr>
          <w:rFonts w:ascii="Times New Roman" w:hAnsi="Times New Roman"/>
          <w:sz w:val="20"/>
        </w:rPr>
        <w:t>, the SEC refuses to alter its position, the Company shall (i) remove from such Registration Statement such portion of the Registrable Securities (the “</w:t>
      </w:r>
      <w:r>
        <w:rPr>
          <w:rFonts w:ascii="Times New Roman" w:hAnsi="Times New Roman"/>
          <w:b/>
          <w:sz w:val="20"/>
        </w:rPr>
        <w:t>Cut Back Shares</w:t>
      </w:r>
      <w:r>
        <w:rPr>
          <w:rFonts w:ascii="Times New Roman" w:hAnsi="Times New Roman"/>
          <w:sz w:val="20"/>
        </w:rPr>
        <w:t>”) and/or (ii) agree to such restrictions and limitations on the registration and resale of the Registrable Securities as the SEC may require to assure the Company’s compliance with the requirements of Rule 415 (collectively, the “</w:t>
      </w:r>
      <w:r>
        <w:rPr>
          <w:rFonts w:ascii="Times New Roman" w:hAnsi="Times New Roman"/>
          <w:b/>
          <w:sz w:val="20"/>
        </w:rPr>
        <w:t>SEC Restrictions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Company shall not name any Investor as an “underwriter” in such Registration Statement without the prior written consent of such Investor (</w:t>
      </w:r>
      <w:r>
        <w:rPr>
          <w:rFonts w:ascii="Times New Roman" w:hAnsi="Times New Roman"/>
          <w:sz w:val="20"/>
          <w:u w:val="single"/>
        </w:rPr>
        <w:t>provided</w:t>
      </w:r>
      <w:r>
        <w:rPr>
          <w:rFonts w:ascii="Times New Roman" w:hAnsi="Times New Roman"/>
          <w:sz w:val="20"/>
        </w:rPr>
        <w:t xml:space="preserve">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hAnsi="Times New Roman"/>
          <w:sz w:val="20"/>
          <w:u w:val="single"/>
        </w:rPr>
        <w:t>Section 2(e)</w:t>
      </w:r>
      <w:r>
        <w:rPr>
          <w:rFonts w:ascii="Times New Roman" w:hAnsi="Times New Roman"/>
          <w:sz w:val="20"/>
        </w:rPr>
        <w:t xml:space="preserve"> shall be allocated among the Investors on a pro rata basis and shall be applied first to any of the Registrable Securities of an Investor that the SEC has indicated cannot be included or must be limited in the number of Registrable Securities that can be included, and thereafter to all other Investors, unless the SEC Restrictions otherwise require or provide, or an Investor otherwise agrees. From and after such date as the Company is able to effect the registration of such Cut Back Shares in accordance with any SEC Restrictions applicable to such Cut Back Shares (such date, the “</w:t>
      </w:r>
      <w:r>
        <w:rPr>
          <w:rFonts w:ascii="Times New Roman" w:hAnsi="Times New Roman"/>
          <w:b/>
          <w:sz w:val="20"/>
        </w:rPr>
        <w:t>Restriction Termination Date</w:t>
      </w:r>
      <w:r>
        <w:rPr>
          <w:rFonts w:ascii="Times New Roman" w:hAnsi="Times New Roman"/>
          <w:sz w:val="20"/>
        </w:rPr>
        <w:t xml:space="preserve">”), all of the provisions of this Section 2 (including the Company’s obligations with respect to the filing of a Registration Statement and its obligations to use reasonable efforts to have such Registration Statement declared effective within the time periods set forth herein) shall again be applicable to such Cut Back Shares and any registration statement so filed shall be deemed a “Registration Statement” under this Agreement; provided, however, that the date by which the Company is required to file the Registration Statement with respect to such Cut Back Shares shall be the fifteenth (15th) day following the Restriction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Registration Statement Form</w:t>
      </w:r>
      <w:r>
        <w:rPr>
          <w:rFonts w:ascii="Times New Roman" w:hAnsi="Times New Roman"/>
          <w:sz w:val="20"/>
        </w:rPr>
        <w:t xml:space="preserve">. Each Registration Statement filed hereunder shall be on Form S-3 (except if the Company is not then eligible to register for resale the Registrable Securities on Form S-3, in which case such registration shall be on another form in accordance with the provisions of this </w:t>
      </w:r>
      <w:r>
        <w:rPr>
          <w:rFonts w:ascii="Times New Roman" w:hAnsi="Times New Roman"/>
          <w:sz w:val="20"/>
          <w:u w:val="single"/>
        </w:rPr>
        <w:t>Section 2(f)</w:t>
      </w:r>
      <w:r>
        <w:rPr>
          <w:rFonts w:ascii="Times New Roman" w:hAnsi="Times New Roman"/>
          <w:sz w:val="20"/>
        </w:rPr>
        <w:t xml:space="preserve">).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w:t>
      </w:r>
      <w:r>
        <w:rPr>
          <w:rFonts w:ascii="Times New Roman" w:hAnsi="Times New Roman"/>
          <w:sz w:val="20"/>
          <w:u w:val="single"/>
        </w:rPr>
        <w:t>provided</w:t>
      </w:r>
      <w:r>
        <w:rPr>
          <w:rFonts w:ascii="Times New Roman" w:hAnsi="Times New Roman"/>
          <w:sz w:val="20"/>
        </w:rPr>
        <w:t xml:space="preserve"> that the Company shall maintain the effectiveness of the Registration Statement then in effect until such time as a Registration Statement on Form S-3 covering the Registrable Securities has been declared effective by the SEC. </w:t>
      </w:r>
    </w:p>
    <w:p>
      <w:pPr>
        <w:pStyle w:val="TextBody"/>
        <w:bidi w:val="0"/>
        <w:spacing w:before="360" w:after="0"/>
        <w:jc w:val="left"/>
        <w:rPr>
          <w:rFonts w:ascii="Times New Roman" w:hAnsi="Times New Roman"/>
          <w:b/>
          <w:sz w:val="20"/>
        </w:rPr>
      </w:pPr>
      <w:r>
        <w:rPr>
          <w:rFonts w:ascii="Times New Roman" w:hAnsi="Times New Roman"/>
          <w:b/>
          <w:sz w:val="20"/>
        </w:rPr>
        <w:t xml:space="preserve">3. RELATED COMPANY OBLIGATIONS.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Registration Statement and whenever any Registrable Securities are to be Registered pursuant to </w:t>
      </w:r>
      <w:r>
        <w:rPr>
          <w:rFonts w:ascii="Times New Roman" w:hAnsi="Times New Roman"/>
          <w:sz w:val="20"/>
          <w:u w:val="single"/>
        </w:rPr>
        <w:t>Section 2</w:t>
      </w:r>
      <w:r>
        <w:rPr>
          <w:rFonts w:ascii="Times New Roman" w:hAnsi="Times New Roman"/>
          <w:sz w:val="20"/>
        </w:rPr>
        <w:t xml:space="preserve">,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Notifications</w:t>
      </w:r>
      <w:r>
        <w:rPr>
          <w:rFonts w:ascii="Times New Roman" w:hAnsi="Times New Roman"/>
          <w:sz w:val="20"/>
        </w:rPr>
        <w:t xml:space="preserve">.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regarding the Investor.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Amendments</w:t>
      </w:r>
      <w:r>
        <w:rPr>
          <w:rFonts w:ascii="Times New Roman" w:hAnsi="Times New Roman"/>
          <w:sz w:val="20"/>
        </w:rPr>
        <w:t xml:space="preserve">. The Company will prepare and file with the SEC any amendments, post-effective amendments or supplements to the Initial Registration Statement, any New Registration Statement or any related prospectus, as applicable, that (a) may be necessary to keep such Registration Statement effective for the Registration Period and to comply with the provisions of the Securities Act and the Exchange Act with respect to the distribution of all of the Registrable Securities covered thereby, or (b) in the reasonable opinion of the Investors and the Company, may be necessary or advisable in connection with any acquisition or sale of Registrable Securities by the Investors.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Investor Review</w:t>
      </w:r>
      <w:r>
        <w:rPr>
          <w:rFonts w:ascii="Times New Roman" w:hAnsi="Times New Roman"/>
          <w:sz w:val="20"/>
        </w:rPr>
        <w:t xml:space="preserve">. The Company will not file any amendment or supplement to the Registration Statement, any New Registration Statement or any prospectus, other than documents incorporated by reference, relating to any Investor, the Registrable Securities or the transactions contemplated hereby unless (A) such Investor and its counsel shall have been advised and afforded the opportunity to review and comment thereon at least three (3) Business Days prior to filing with the SEC and (B) the Company shall have given reasonable due consideration to any comments thereon received from such Investor or its counsel.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Copies Available</w:t>
      </w:r>
      <w:r>
        <w:rPr>
          <w:rFonts w:ascii="Times New Roman" w:hAnsi="Times New Roman"/>
          <w:sz w:val="20"/>
        </w:rPr>
        <w:t xml:space="preserve">.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such Investor may reasonably request in order to facilitate the disposition of the Registrable Securities owned by such Investor that are covered by such Registration Statement, in each case as soon as reasonably practicable upon such Investor’s request and in such quantities as such Investor may from time to time reasonably request;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required to furnish any document to such Investor to the extent such document is available on EDGAR.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Use of Prospectus</w:t>
      </w:r>
      <w:r>
        <w:rPr>
          <w:rFonts w:ascii="Times New Roman" w:hAnsi="Times New Roman"/>
          <w:sz w:val="20"/>
        </w:rPr>
        <w:t xml:space="preserve">. Subject to the terms of this Agreement, the Company hereby consents to the use of any prospectus included in a Registration Statement, and each amendment or supplement thereto, by each of the Investors in connection with the offering and sale of the Registrable Securities covered by such prospectus and any amendment or supplement thereto, except during an Allowed Delay or after the giving of any notice of a Suspension Event pursuant to Section 3(f).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Notification of Stop Orders; Material Changes</w:t>
      </w:r>
      <w:r>
        <w:rPr>
          <w:rFonts w:ascii="Times New Roman" w:hAnsi="Times New Roman"/>
          <w:sz w:val="20"/>
        </w:rPr>
        <w:t>. The Company shall use reasonable best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of any of the events set forth in clauses (i) through (iii) of the immediately preceding sentence (each, a “</w:t>
      </w:r>
      <w:r>
        <w:rPr>
          <w:rFonts w:ascii="Times New Roman" w:hAnsi="Times New Roman"/>
          <w:b/>
          <w:sz w:val="20"/>
        </w:rPr>
        <w:t>Suspension Event</w:t>
      </w:r>
      <w:r>
        <w:rPr>
          <w:rFonts w:ascii="Times New Roman" w:hAnsi="Times New Roman"/>
          <w:sz w:val="20"/>
        </w:rPr>
        <w:t xml:space="preserve">”), but rather, shall only be required to disclose that the event has occurred; provided that the Company shall not provide any material non-public information to the Investors in such notice.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any Investor upon request,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second sentence of this </w:t>
      </w:r>
      <w:r>
        <w:rPr>
          <w:rFonts w:ascii="Times New Roman" w:hAnsi="Times New Roman"/>
          <w:sz w:val="20"/>
          <w:u w:val="single"/>
        </w:rPr>
        <w:t>Section 3(f)</w:t>
      </w:r>
      <w:r>
        <w:rPr>
          <w:rFonts w:ascii="Times New Roman" w:hAnsi="Times New Roman"/>
          <w:sz w:val="20"/>
        </w:rPr>
        <w:t xml:space="preserve">, the Company will use its reasonable best efforts to publicly disclose such event as soon as reasonably practicable, or otherwise resolve the matter such that sales under Registration Statements may resume.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Confirmation of Effectiveness</w:t>
      </w:r>
      <w:r>
        <w:rPr>
          <w:rFonts w:ascii="Times New Roman" w:hAnsi="Times New Roman"/>
          <w:sz w:val="20"/>
        </w:rPr>
        <w:t xml:space="preserve">. If reasonably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for resale of Registrable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Listing</w:t>
      </w:r>
      <w:r>
        <w:rPr>
          <w:rFonts w:ascii="Times New Roman" w:hAnsi="Times New Roman"/>
          <w:sz w:val="20"/>
        </w:rPr>
        <w:t xml:space="preserve">. The Company shall use reasonable best efforts to cause all Registrable Securities covered by a Registration Statement to be listed on The Nasdaq Stock Market LLC.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Compliance</w:t>
      </w:r>
      <w:r>
        <w:rPr>
          <w:rFonts w:ascii="Times New Roman" w:hAnsi="Times New Roman"/>
          <w:sz w:val="20"/>
        </w:rPr>
        <w:t xml:space="preserve">. The Company shall 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by 9:30 a.m. New York time on the Business Day following the date the applicable Registration Statement is declared effective, promptly inform the Investors in writing if, at any time during the Registration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Securities Act, including Rule 158 promulgated thereunder (for the purpose of this </w:t>
      </w:r>
      <w:r>
        <w:rPr>
          <w:rFonts w:ascii="Times New Roman" w:hAnsi="Times New Roman"/>
          <w:sz w:val="20"/>
          <w:u w:val="single"/>
        </w:rPr>
        <w:t>Section 3(i)</w:t>
      </w:r>
      <w:r>
        <w:rPr>
          <w:rFonts w:ascii="Times New Roman" w:hAnsi="Times New Roman"/>
          <w:sz w:val="20"/>
        </w:rPr>
        <w:t>, “</w:t>
      </w:r>
      <w:r>
        <w:rPr>
          <w:rFonts w:ascii="Times New Roman" w:hAnsi="Times New Roman"/>
          <w:b/>
          <w:sz w:val="20"/>
        </w:rPr>
        <w:t>Availability Date</w:t>
      </w:r>
      <w:r>
        <w:rPr>
          <w:rFonts w:ascii="Times New Roman" w:hAnsi="Times New Roman"/>
          <w:sz w:val="20"/>
        </w:rPr>
        <w:t xml:space="preserve">” means the forty-fifth (45th) day following the end of the fourth (4th) fiscal quarter that includes the effective date of such Registration Statement, except that, if such fourth (4th) fiscal quarter is the last quarter of the Company’s fiscal year, “Availability Date” means the ninetieth (90th) day after the end of such fourth (4th)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Blue-Sky</w:t>
      </w:r>
      <w:r>
        <w:rPr>
          <w:rFonts w:ascii="Times New Roman" w:hAnsi="Times New Roman"/>
          <w:sz w:val="20"/>
        </w:rPr>
        <w:t xml:space="preserve">. The Company shall use reasonable best efforts to register or qualify or cooperate with any Investor and its counsel in connection with the registration or qualification of such Registrable Securities for the offer and sale under the securities or blue sky laws of such jurisdictions reasonably requested by such Investor; provided, however, that the Company shall not be required in connection therewith or as a condition thereto to (i) qualify to do business in any jurisdiction where it would not otherwise be required to qualify but for this </w:t>
      </w:r>
      <w:r>
        <w:rPr>
          <w:rFonts w:ascii="Times New Roman" w:hAnsi="Times New Roman"/>
          <w:sz w:val="20"/>
          <w:u w:val="single"/>
        </w:rPr>
        <w:t>Section 3(j)</w:t>
      </w:r>
      <w:r>
        <w:rPr>
          <w:rFonts w:ascii="Times New Roman" w:hAnsi="Times New Roman"/>
          <w:sz w:val="20"/>
        </w:rPr>
        <w:t xml:space="preserve">, (ii) subject itself to general taxation in any jurisdiction where it would not otherwise be so subject but for this </w:t>
      </w:r>
      <w:r>
        <w:rPr>
          <w:rFonts w:ascii="Times New Roman" w:hAnsi="Times New Roman"/>
          <w:sz w:val="20"/>
          <w:u w:val="single"/>
        </w:rPr>
        <w:t>Section 3(j)</w:t>
      </w:r>
      <w:r>
        <w:rPr>
          <w:rFonts w:ascii="Times New Roman" w:hAnsi="Times New Roman"/>
          <w:sz w:val="20"/>
        </w:rPr>
        <w:t xml:space="preserve">, or (iii) file a general consent to service of process in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Rule 144</w:t>
      </w:r>
      <w:r>
        <w:rPr>
          <w:rFonts w:ascii="Times New Roman" w:hAnsi="Times New Roman"/>
          <w:sz w:val="20"/>
        </w:rPr>
        <w:t xml:space="preserve">. With a view to making available to the Investors the benefits of Rule 144 (or its successor rule) and any other rule or regulation of the SEC that may at any time permit the Investors to sell shares of Registrable Securities to the public without registration, the Company covenants and agrees to make and keep adequate current public information available, as those terms are understood and defined in Rule 144, until the date as all of the Shares may be sold without restriction by the holders thereof pursuant to Rule 144 or any other rule of similar effect (without the requirement for the Company to be in compliance with any current public information requirements). In addition, for so long as any Registrable Securities are outstanding, the Company covenants and agrees to use reasonable best efforts to (i) file with the SEC in a timely manner all reports and other documents required of the Company under the Exchange Act; and (ii)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Former Shell Company; Super 8-K</w:t>
      </w:r>
      <w:r>
        <w:rPr>
          <w:rFonts w:ascii="Times New Roman" w:hAnsi="Times New Roman"/>
          <w:sz w:val="20"/>
        </w:rPr>
        <w:t xml:space="preserve">. The Company and Parent acknowledge that Synlogic is, and immediately prior to the Mergers will be, a shell company (as defined in Rule 405 under the Securities Act and Rule 12b-2 under the Exchange Act) and that, following the Mergers, Parent will be a former shell company subject to Rule 144(i). Accordingly, the Company shall, and shall cause Parent to, file with the SEC, no later than four (4) Business Days following the closing of the Mergers, a 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Report on Form 8-K containing all information that would be required if Parent were filing a general form for registration of securities on Form 10 under the Exchange Act, and shall thereafter timely file all reports and other materials required to be filed by Parent under Section 13 or 15(d) of the Exchange Act. The Company and Parent further acknowledge that the Company’s covenants under Section 3(k) to maintain current public information and to timely file all Exchange Act reports shall survive and continue for so long as any Investor holds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Cooperation.</w:t>
      </w:r>
      <w:r>
        <w:rPr>
          <w:rFonts w:ascii="Times New Roman" w:hAnsi="Times New Roman"/>
          <w:sz w:val="20"/>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in accordance with the provisions of the Purchase Agreement, and the Company may satisfy its obligations hereunder without issuing physical stock certificates through the use of The Depository Trust Company’s Direct Registration System. </w:t>
      </w:r>
    </w:p>
    <w:p>
      <w:pPr>
        <w:pStyle w:val="TextBody"/>
        <w:bidi w:val="0"/>
        <w:spacing w:before="360" w:after="0"/>
        <w:jc w:val="left"/>
        <w:rPr>
          <w:rFonts w:ascii="Times New Roman" w:hAnsi="Times New Roman"/>
          <w:b/>
          <w:sz w:val="20"/>
        </w:rPr>
      </w:pPr>
      <w:r>
        <w:rPr>
          <w:rFonts w:ascii="Times New Roman" w:hAnsi="Times New Roman"/>
          <w:b/>
          <w:sz w:val="20"/>
        </w:rPr>
        <w:t xml:space="preserve">4. OBLIGATIONS OF THE INVESTORS.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Investor Information</w:t>
      </w:r>
      <w:r>
        <w:rPr>
          <w:rFonts w:ascii="Times New Roman" w:hAnsi="Times New Roman"/>
          <w:sz w:val="20"/>
        </w:rPr>
        <w:t xml:space="preserve">. Each Investor shall provide a completed Investor Questionnaire in the form attached hereto as </w:t>
      </w:r>
      <w:r>
        <w:rPr>
          <w:rFonts w:ascii="Times New Roman" w:hAnsi="Times New Roman"/>
          <w:sz w:val="20"/>
          <w:u w:val="single"/>
        </w:rPr>
        <w:t>Exhibit A</w:t>
      </w:r>
      <w:r>
        <w:rPr>
          <w:rFonts w:ascii="Times New Roman" w:hAnsi="Times New Roman"/>
          <w:sz w:val="20"/>
        </w:rPr>
        <w:t xml:space="preserve"> in connection with the registration of the Registrable Securities within three (3) Business Days of request by the Company and no later than the end of the third (3rd) Business Day following the date on which such Investor receives draft materials in accordance with </w:t>
      </w:r>
      <w:r>
        <w:rPr>
          <w:rFonts w:ascii="Times New Roman" w:hAnsi="Times New Roman"/>
          <w:sz w:val="20"/>
          <w:u w:val="single"/>
        </w:rPr>
        <w:t>Section 2(a)</w:t>
      </w:r>
      <w:r>
        <w:rPr>
          <w:rFonts w:ascii="Times New Roman" w:hAnsi="Times New Roman"/>
          <w:sz w:val="20"/>
        </w:rPr>
        <w:t xml:space="preserve">. If the Company has not received such completed questionnaire from an Investor within five (5) days of the Company’s request, the Company may file the Registration Statement without including such Investor’s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Suspension of Sales</w:t>
      </w:r>
      <w:r>
        <w:rPr>
          <w:rFonts w:ascii="Times New Roman" w:hAnsi="Times New Roman"/>
          <w:sz w:val="20"/>
        </w:rPr>
        <w:t xml:space="preserve">. Each Investor, severally and not jointly with any other Investor, agrees that, upon receipt of any notice from the Company of the existence of an Allowed Delay or Suspension Event,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The Company shall cause its transfer agent to deliver unlegended shares of Common Stock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Investor Cooperation</w:t>
      </w:r>
      <w:r>
        <w:rPr>
          <w:rFonts w:ascii="Times New Roman" w:hAnsi="Times New Roman"/>
          <w:sz w:val="20"/>
        </w:rPr>
        <w:t xml:space="preserve">.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5. EXPENSES OF REGISTRATION. </w:t>
      </w:r>
    </w:p>
    <w:p>
      <w:pPr>
        <w:pStyle w:val="TextBody"/>
        <w:bidi w:val="0"/>
        <w:spacing w:before="120" w:after="0"/>
        <w:jc w:val="left"/>
        <w:rPr>
          <w:rFonts w:ascii="Times New Roman" w:hAnsi="Times New Roman"/>
          <w:sz w:val="20"/>
        </w:rPr>
      </w:pPr>
      <w:r>
        <w:rPr>
          <w:rFonts w:ascii="Times New Roman" w:hAnsi="Times New Roman"/>
          <w:sz w:val="20"/>
        </w:rPr>
        <w:t xml:space="preserve">All Registration Expenses incurred in connection with registrations pursuant to this Agreement shall be borne by the Company. All Selling Expenses relating to securities registered on behalf of an Investor shall be borne by such Investor.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6. INDEMNIFICATION. </w:t>
      </w:r>
    </w:p>
    <w:p>
      <w:pPr>
        <w:pStyle w:val="TextBody"/>
        <w:bidi w:val="0"/>
        <w:spacing w:before="120" w:after="0"/>
        <w:jc w:val="left"/>
        <w:rPr>
          <w:rFonts w:ascii="Times New Roman" w:hAnsi="Times New Roman"/>
          <w:sz w:val="20"/>
        </w:rPr>
      </w:pPr>
      <w:r>
        <w:rPr>
          <w:rFonts w:ascii="Times New Roman" w:hAnsi="Times New Roman"/>
          <w:sz w:val="20"/>
        </w:rPr>
        <w:t>(a) To the fullest extent permitted by law, the Company will, and hereby does, indemnify, hold harmless and defend each Investor, each Person, if any, who controls each Investor, the shareholders, directors, officers, partners, employees, members, managers, agents, representatives and advisors of each Investor and each Person, if any, who controls any of the foregoing within the meaning of the Securities Act or the Exchange Act (each, an “</w:t>
      </w:r>
      <w:r>
        <w:rPr>
          <w:rFonts w:ascii="Times New Roman" w:hAnsi="Times New Roman"/>
          <w:b/>
          <w:sz w:val="20"/>
        </w:rPr>
        <w:t>Indemnified Person</w:t>
      </w:r>
      <w:r>
        <w:rPr>
          <w:rFonts w:ascii="Times New Roman" w:hAnsi="Times New Roman"/>
          <w:sz w:val="20"/>
        </w:rPr>
        <w:t>”), against any losses, obligations, claims, damages, liabilities, contingencies, judgments, fines, penalties, charges and costs (including, without limitation, court costs and costs of preparation), reasonable and documented attorneys’ fees, amounts paid in settlement or reasonable and documented expenses (collectively, “</w:t>
      </w:r>
      <w:r>
        <w:rPr>
          <w:rFonts w:ascii="Times New Roman" w:hAnsi="Times New Roman"/>
          <w:b/>
          <w:sz w:val="20"/>
        </w:rPr>
        <w:t>Indemnified Damages</w:t>
      </w:r>
      <w:r>
        <w:rPr>
          <w:rFonts w:ascii="Times New Roman" w:hAnsi="Times New Roman"/>
          <w:sz w:val="20"/>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hAnsi="Times New Roman"/>
          <w:b/>
          <w:sz w:val="20"/>
        </w:rPr>
        <w:t>Claims</w:t>
      </w:r>
      <w:r>
        <w:rPr>
          <w:rFonts w:ascii="Times New Roman" w:hAnsi="Times New Roman"/>
          <w:sz w:val="20"/>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hAnsi="Times New Roman"/>
          <w:b/>
          <w:sz w:val="20"/>
        </w:rPr>
        <w:t>Violations</w:t>
      </w:r>
      <w:r>
        <w:rPr>
          <w:rFonts w:ascii="Times New Roman" w:hAnsi="Times New Roman"/>
          <w:sz w:val="20"/>
        </w:rPr>
        <w:t xml:space="preserve">”). The Company shall reimburse each Indemnified Person promptly as such Indemnified Damages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hAnsi="Times New Roman"/>
          <w:sz w:val="20"/>
          <w:u w:val="single"/>
        </w:rPr>
        <w:t>Section 6(a)</w:t>
      </w:r>
      <w:r>
        <w:rPr>
          <w:rFonts w:ascii="Times New Roman" w:hAnsi="Times New Roman"/>
          <w:sz w:val="20"/>
        </w:rPr>
        <w:t xml:space="preserve">: (A) shall not apply to a Claim by an Indemnified Person arising out of or based upon a Violation which occurs in reliance upon and in conformity with information furnished in writing to the Company by the Investors or such Indemnified Person specifically for use in such Registration Statement and was reviewed and approved in writing by such Investor or such Indemnified Person expressly for use in connection with the preparation of any Registration Statement;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Indemnified Person to deliver, or cause to be delivered, if required, the prospectus to the Persons asserting an untrue statement or omission or alleged untrue statement or omission at or prior to the written confirmation of the sale of Registrable Securities; and (D)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an Investor pursuant to </w:t>
      </w:r>
      <w:r>
        <w:rPr>
          <w:rFonts w:ascii="Times New Roman" w:hAnsi="Times New Roman"/>
          <w:sz w:val="20"/>
          <w:u w:val="single"/>
        </w:rPr>
        <w:t>Section 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In connection with the Initial Registration Statement, any New Registration Statement or any prospectus, each Investor, severally and not jointly, agrees to indemnify, hold harmless and defend, the Company, each of its directors, and each officer who signed the Initial Registration Statement or signs any New Registration Statement, and each Person, if any, who controls the Company within the meaning of the Securities Act or the Exchange Act (each, an “</w:t>
      </w:r>
      <w:r>
        <w:rPr>
          <w:rFonts w:ascii="Times New Roman" w:hAnsi="Times New Roman"/>
          <w:b/>
          <w:sz w:val="20"/>
        </w:rPr>
        <w:t>Indemnified Party</w:t>
      </w:r>
      <w:r>
        <w:rPr>
          <w:rFonts w:ascii="Times New Roman" w:hAnsi="Times New Roman"/>
          <w:sz w:val="20"/>
        </w:rPr>
        <w:t xml:space="preserve">”), against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losses, claims, damages, liabilities and expenses (including reasonable and documented attorneys’ fees) resulting from any untrue statement or alleged untrue statement or omission or alleged omission of any material fact contained in any Registration Statement to the extent, and only to the extent, that such untrue statement or alleged untrue statement or omission or alleged omission occurs in reliance upon and in conformity with information about such Investor furnished in writing by such Investor to the Company expressly for use in connection with the preparation of the Registration Statement. In no event shall the liability of an Investor be greater in amount than the dollar amount of the proceeds (net of all expenses paid by such Investor in connection with any claim relating to this </w:t>
      </w:r>
      <w:r>
        <w:rPr>
          <w:rFonts w:ascii="Times New Roman" w:hAnsi="Times New Roman"/>
          <w:sz w:val="20"/>
          <w:u w:val="single"/>
        </w:rPr>
        <w:t>Section 6</w:t>
      </w:r>
      <w:r>
        <w:rPr>
          <w:rFonts w:ascii="Times New Roman" w:hAnsi="Times New Roman"/>
          <w:sz w:val="20"/>
        </w:rPr>
        <w:t xml:space="preserve">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Notwithstanding anything to the contrary contained herein, the indemnification agreement contained in this </w:t>
      </w:r>
      <w:r>
        <w:rPr>
          <w:rFonts w:ascii="Times New Roman" w:hAnsi="Times New Roman"/>
          <w:sz w:val="20"/>
          <w:u w:val="single"/>
        </w:rPr>
        <w:t>Section 6(b)</w:t>
      </w:r>
      <w:r>
        <w:rPr>
          <w:rFonts w:ascii="Times New Roman" w:hAnsi="Times New Roman"/>
          <w:sz w:val="20"/>
        </w:rPr>
        <w:t xml:space="preserve"> shall not apply to amounts paid in settlement of any Claim if such settlement is effected without the prior written consent of the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 Investor pursuant to </w:t>
      </w:r>
      <w:r>
        <w:rPr>
          <w:rFonts w:ascii="Times New Roman" w:hAnsi="Times New Roman"/>
          <w:sz w:val="20"/>
          <w:u w:val="single"/>
        </w:rPr>
        <w:t>Section 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receipt by an Indemnified Person or Indemnified Party under this </w:t>
      </w:r>
      <w:r>
        <w:rPr>
          <w:rFonts w:ascii="Times New Roman" w:hAnsi="Times New Roman"/>
          <w:sz w:val="20"/>
          <w:u w:val="single"/>
        </w:rPr>
        <w:t>Section 6</w:t>
      </w:r>
      <w:r>
        <w:rPr>
          <w:rFonts w:ascii="Times New Roman" w:hAnsi="Times New Roman"/>
          <w:sz w:val="20"/>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hAnsi="Times New Roman"/>
          <w:sz w:val="20"/>
          <w:u w:val="single"/>
        </w:rPr>
        <w:t>Section 6</w:t>
      </w:r>
      <w:r>
        <w:rPr>
          <w:rFonts w:ascii="Times New Roman" w:hAnsi="Times New Roman"/>
          <w:sz w:val="20"/>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hAnsi="Times New Roman"/>
          <w:sz w:val="20"/>
          <w:u w:val="single"/>
        </w:rPr>
        <w:t>Section 6</w:t>
      </w:r>
      <w:r>
        <w:rPr>
          <w:rFonts w:ascii="Times New Roman" w:hAnsi="Times New Roman"/>
          <w:sz w:val="20"/>
        </w:rPr>
        <w:t xml:space="preserve">, except to the extent that the indemnifying party is prejudiced in its ability to defend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indemnification required by this </w:t>
      </w:r>
      <w:r>
        <w:rPr>
          <w:rFonts w:ascii="Times New Roman" w:hAnsi="Times New Roman"/>
          <w:sz w:val="20"/>
          <w:u w:val="single"/>
        </w:rPr>
        <w:t>Section 6</w:t>
      </w:r>
      <w:r>
        <w:rPr>
          <w:rFonts w:ascii="Times New Roman" w:hAnsi="Times New Roman"/>
          <w:sz w:val="20"/>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hAnsi="Times New Roman"/>
          <w:sz w:val="20"/>
          <w:u w:val="single"/>
        </w:rPr>
        <w:t>Section 6</w:t>
      </w:r>
      <w:r>
        <w:rPr>
          <w:rFonts w:ascii="Times New Roman" w:hAnsi="Times New Roman"/>
          <w:sz w:val="20"/>
        </w:rPr>
        <w:t xml:space="preserve"> which person is later determined to not be entitled to such payment shall promptly return such payment (including reimbursement of expenses) to the person making it. </w:t>
      </w:r>
    </w:p>
    <w:p>
      <w:pPr>
        <w:pStyle w:val="TextBody"/>
        <w:bidi w:val="0"/>
        <w:spacing w:before="240" w:after="0"/>
        <w:jc w:val="left"/>
        <w:rPr>
          <w:rFonts w:ascii="Times New Roman" w:hAnsi="Times New Roman"/>
          <w:sz w:val="20"/>
        </w:rPr>
      </w:pPr>
      <w:r>
        <w:rPr>
          <w:rFonts w:ascii="Times New Roman" w:hAnsi="Times New Roman"/>
          <w:sz w:val="20"/>
        </w:rPr>
        <w:t xml:space="preserve">(e) The indemnity agreements contained herein shall be in addition to (i) any cause of action or similar right of the Indemnified Party or Indemnified Person against the indemnifying party or others, and (ii) any liabilities the indemnifying party may be subject to pursuant to the law. </w:t>
      </w:r>
    </w:p>
    <w:p>
      <w:pPr>
        <w:pStyle w:val="TextBody"/>
        <w:bidi w:val="0"/>
        <w:spacing w:before="360" w:after="0"/>
        <w:jc w:val="left"/>
        <w:rPr>
          <w:rFonts w:ascii="Times New Roman" w:hAnsi="Times New Roman"/>
          <w:b/>
          <w:sz w:val="20"/>
        </w:rPr>
      </w:pPr>
      <w:r>
        <w:rPr>
          <w:rFonts w:ascii="Times New Roman" w:hAnsi="Times New Roman"/>
          <w:b/>
          <w:sz w:val="20"/>
        </w:rPr>
        <w:t xml:space="preserve">7. CONTRIBUTION.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hAnsi="Times New Roman"/>
          <w:sz w:val="20"/>
          <w:u w:val="single"/>
        </w:rPr>
        <w:t>Section 6</w:t>
      </w:r>
      <w:r>
        <w:rPr>
          <w:rFonts w:ascii="Times New Roman" w:hAnsi="Times New Roman"/>
          <w:sz w:val="20"/>
        </w:rPr>
        <w:t xml:space="preserve"> to the fullest extent permitted by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 w:hAnsi="Times New Roman"/>
          <w:sz w:val="20"/>
          <w:u w:val="single"/>
        </w:rPr>
        <w:t>Section 7</w:t>
      </w:r>
      <w:r>
        <w:rPr>
          <w:rFonts w:ascii="Times New Roman" w:hAnsi="Times New Roman"/>
          <w:sz w:val="20"/>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 </w:t>
      </w:r>
    </w:p>
    <w:p>
      <w:pPr>
        <w:pStyle w:val="TextBody"/>
        <w:bidi w:val="0"/>
        <w:spacing w:before="360" w:after="0"/>
        <w:jc w:val="left"/>
        <w:rPr>
          <w:rFonts w:ascii="Times New Roman" w:hAnsi="Times New Roman"/>
          <w:b/>
          <w:sz w:val="20"/>
        </w:rPr>
      </w:pPr>
      <w:r>
        <w:rPr>
          <w:rFonts w:ascii="Times New Roman" w:hAnsi="Times New Roman"/>
          <w:b/>
          <w:sz w:val="20"/>
        </w:rPr>
        <w:t xml:space="preserve">8. ASSIGNMENT OF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assign this Agreement or any rights or obligations hereunder (whether by operation of law or otherwise) without the prior written consent of the Investors holding a majority of the Registrable Securities then outstanding;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any transaction, whether by merger, reorganization, restructuring, consolidation, financing or otherwise, whereby the Company is a party and in which the Registrable Securities are converted into or exchanged for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Investors holding a majority of the Registrable Securities then outstanding shall not be required for such transaction.</w:t>
      </w:r>
    </w:p>
    <w:p>
      <w:pPr>
        <w:pStyle w:val="TextBody"/>
        <w:bidi w:val="0"/>
        <w:spacing w:before="240" w:after="0"/>
        <w:jc w:val="left"/>
        <w:rPr>
          <w:rFonts w:ascii="Times New Roman" w:hAnsi="Times New Roman"/>
          <w:sz w:val="20"/>
        </w:rPr>
      </w:pPr>
      <w:r>
        <w:rPr>
          <w:rFonts w:ascii="Times New Roman" w:hAnsi="Times New Roman"/>
          <w:sz w:val="20"/>
        </w:rPr>
        <w:t xml:space="preserve">An Investor may transfer or assign its rights hereunder, in whole or from time to time in part, to one or more Persons in connection with the transfer of Registrable Securities by such Investor to such Person, 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 The provisions of this Agreement shall be binding upon and inure to the benefit of the Investors and their successors and permitted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9. AMENDMENTS AND WAIVERS.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this Agreement, including the provisions of this sentence, may be amended, modified or supplemented, or waived only by a written instrument executed by (a) the Company and (b) the Required Investors, </w:t>
      </w:r>
      <w:r>
        <w:rPr>
          <w:rFonts w:ascii="Times New Roman" w:hAnsi="Times New Roman"/>
          <w:sz w:val="20"/>
          <w:u w:val="single"/>
        </w:rPr>
        <w:t>provided</w:t>
      </w:r>
      <w:r>
        <w:rPr>
          <w:rFonts w:ascii="Times New Roman" w:hAnsi="Times New Roman"/>
          <w:sz w:val="20"/>
        </w:rPr>
        <w:t xml:space="preserve"> that (i) any party may give a waiver as to itself, (ii)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(iii) any amendments to </w:t>
      </w:r>
      <w:r>
        <w:rPr>
          <w:rFonts w:ascii="Times New Roman" w:hAnsi="Times New Roman"/>
          <w:sz w:val="20"/>
          <w:u w:val="single"/>
        </w:rPr>
        <w:t xml:space="preserve">Section 6 or Section 7 </w:t>
      </w:r>
      <w:r>
        <w:rPr>
          <w:rFonts w:ascii="Times New Roman" w:hAnsi="Times New Roman"/>
          <w:sz w:val="20"/>
        </w:rPr>
        <w:t xml:space="preserve">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 </w:t>
      </w:r>
    </w:p>
    <w:p>
      <w:pPr>
        <w:pStyle w:val="TextBody"/>
        <w:bidi w:val="0"/>
        <w:spacing w:before="360" w:after="0"/>
        <w:jc w:val="left"/>
        <w:rPr>
          <w:rFonts w:ascii="Times New Roman" w:hAnsi="Times New Roman"/>
          <w:b/>
          <w:sz w:val="20"/>
        </w:rPr>
      </w:pPr>
      <w:r>
        <w:rPr>
          <w:rFonts w:ascii="Times New Roman" w:hAnsi="Times New Roman"/>
          <w:b/>
          <w:sz w:val="20"/>
        </w:rPr>
        <w:t xml:space="preserve">10. MISCELLANEOUS.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 </w:t>
      </w:r>
    </w:p>
    <w:p>
      <w:pPr>
        <w:pStyle w:val="TextBody"/>
        <w:bidi w:val="0"/>
        <w:spacing w:before="120" w:after="0"/>
        <w:jc w:val="left"/>
        <w:rPr>
          <w:rFonts w:ascii="Times New Roman" w:hAnsi="Times New Roman"/>
          <w:sz w:val="20"/>
        </w:rPr>
      </w:pPr>
      <w:r>
        <w:rPr>
          <w:rFonts w:ascii="Times New Roman" w:hAnsi="Times New Roman"/>
          <w:sz w:val="20"/>
        </w:rPr>
        <w:t xml:space="preserve">i. If to the Company,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Caldera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300 Technology Square, 8th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0" w:after="0"/>
        <w:jc w:val="left"/>
        <w:rPr>
          <w:rFonts w:ascii="Times New Roman" w:hAnsi="Times New Roman"/>
          <w:sz w:val="20"/>
        </w:rPr>
      </w:pPr>
      <w:r>
        <w:rPr>
          <w:rFonts w:ascii="Times New Roman" w:hAnsi="Times New Roman"/>
          <w:sz w:val="20"/>
        </w:rPr>
        <w:t xml:space="preserve">Attention: </w:t>
      </w:r>
    </w:p>
    <w:p>
      <w:pPr>
        <w:pStyle w:val="TextBody"/>
        <w:bidi w:val="0"/>
        <w:spacing w:before="0" w:after="0"/>
        <w:jc w:val="left"/>
        <w:rPr>
          <w:rFonts w:ascii="Times New Roman" w:hAnsi="Times New Roman"/>
          <w:sz w:val="20"/>
        </w:rPr>
      </w:pPr>
      <w:r>
        <w:rPr>
          <w:rFonts w:ascii="Times New Roman" w:hAnsi="Times New Roman"/>
          <w:sz w:val="20"/>
        </w:rPr>
        <w:t xml:space="preserve">President and Principal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Fenwick &amp; West LLP </w:t>
      </w:r>
    </w:p>
    <w:p>
      <w:pPr>
        <w:pStyle w:val="TextBody"/>
        <w:bidi w:val="0"/>
        <w:spacing w:before="0" w:after="0"/>
        <w:jc w:val="left"/>
        <w:rPr>
          <w:rFonts w:ascii="Times New Roman" w:hAnsi="Times New Roman"/>
          <w:sz w:val="20"/>
        </w:rPr>
      </w:pPr>
      <w:r>
        <w:rPr>
          <w:rFonts w:ascii="Times New Roman" w:hAnsi="Times New Roman"/>
          <w:sz w:val="20"/>
        </w:rPr>
        <w:t xml:space="preserve">401 Union St, 5th Floor </w:t>
      </w:r>
    </w:p>
    <w:p>
      <w:pPr>
        <w:pStyle w:val="TextBody"/>
        <w:bidi w:val="0"/>
        <w:spacing w:before="0" w:after="0"/>
        <w:jc w:val="left"/>
        <w:rPr>
          <w:rFonts w:ascii="Times New Roman" w:hAnsi="Times New Roman"/>
          <w:sz w:val="20"/>
        </w:rPr>
      </w:pPr>
      <w:r>
        <w:rPr>
          <w:rFonts w:ascii="Times New Roman" w:hAnsi="Times New Roman"/>
          <w:sz w:val="20"/>
        </w:rPr>
        <w:t xml:space="preserve">Seattle, WA 98101 </w:t>
      </w:r>
    </w:p>
    <w:p>
      <w:pPr>
        <w:pStyle w:val="TextBody"/>
        <w:bidi w:val="0"/>
        <w:spacing w:before="0" w:after="0"/>
        <w:jc w:val="left"/>
        <w:rPr>
          <w:rFonts w:ascii="Times New Roman" w:hAnsi="Times New Roman"/>
          <w:sz w:val="20"/>
        </w:rPr>
      </w:pPr>
      <w:r>
        <w:rPr>
          <w:rFonts w:ascii="Times New Roman" w:hAnsi="Times New Roman"/>
          <w:sz w:val="20"/>
        </w:rPr>
        <w:t xml:space="preserve">Attention: Amanda Rose, Ryan Mitteness </w:t>
      </w:r>
    </w:p>
    <w:p>
      <w:pPr>
        <w:pStyle w:val="TextBody"/>
        <w:bidi w:val="0"/>
        <w:spacing w:before="0" w:after="0"/>
        <w:jc w:val="left"/>
        <w:rPr>
          <w:rFonts w:ascii="Times New Roman" w:hAnsi="Times New Roman"/>
          <w:sz w:val="20"/>
        </w:rPr>
      </w:pPr>
      <w:r>
        <w:rPr>
          <w:rFonts w:ascii="Times New Roman" w:hAnsi="Times New Roman"/>
          <w:sz w:val="20"/>
        </w:rPr>
        <w:t xml:space="preserve">Email Address: [***]; [***] </w:t>
      </w:r>
    </w:p>
    <w:p>
      <w:pPr>
        <w:pStyle w:val="TextBody"/>
        <w:bidi w:val="0"/>
        <w:spacing w:before="120" w:after="0"/>
        <w:jc w:val="left"/>
        <w:rPr>
          <w:rFonts w:ascii="Times New Roman" w:hAnsi="Times New Roman"/>
          <w:sz w:val="20"/>
        </w:rPr>
      </w:pPr>
      <w:r>
        <w:rPr>
          <w:rFonts w:ascii="Times New Roman" w:hAnsi="Times New Roman"/>
          <w:sz w:val="20"/>
        </w:rPr>
        <w:t xml:space="preserve">ii. If to any Investor, at its e-mail address or address set forth on </w:t>
      </w:r>
      <w:r>
        <w:rPr>
          <w:rFonts w:ascii="Times New Roman" w:hAnsi="Times New Roman"/>
          <w:sz w:val="20"/>
          <w:u w:val="single"/>
        </w:rPr>
        <w:t>Exhibit A</w:t>
      </w:r>
      <w:r>
        <w:rPr>
          <w:rFonts w:ascii="Times New Roman" w:hAnsi="Times New Roman"/>
          <w:sz w:val="20"/>
        </w:rPr>
        <w:t xml:space="preserve"> to this Agreement or </w:t>
      </w:r>
      <w:r>
        <w:rPr>
          <w:rFonts w:ascii="Times New Roman" w:hAnsi="Times New Roman"/>
          <w:sz w:val="20"/>
          <w:u w:val="single"/>
        </w:rPr>
        <w:t>Exhibit A</w:t>
      </w:r>
      <w:r>
        <w:rPr>
          <w:rFonts w:ascii="Times New Roman" w:hAnsi="Times New Roman"/>
          <w:sz w:val="20"/>
        </w:rPr>
        <w:t xml:space="preserve"> to the Purchase Agreement or to such e-mail address, or address as subsequently modified by written notice given in accordance with this </w:t>
      </w:r>
      <w:r>
        <w:rPr>
          <w:rFonts w:ascii="Times New Roman" w:hAnsi="Times New Roman"/>
          <w:sz w:val="20"/>
          <w:u w:val="single"/>
        </w:rPr>
        <w:t>Section 10(a)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Waiver</w:t>
      </w:r>
      <w:r>
        <w:rPr>
          <w:rFonts w:ascii="Times New Roman" w:hAnsi="Times New Roman"/>
          <w:sz w:val="20"/>
        </w:rPr>
        <w:t xml:space="preserve">. No failure or delay on the part of either party hereto in the exercise of any power, right or privilege under this Agreement shall operate as a waiver thereof, nor shall any single or partial exercise of any such power, right or privilege preclude any other or further exercise thereof or of any other right, power or privilege.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Governing Law; Submission to Jurisdiction; Venue; Waiver of Trial by Jury</w:t>
      </w:r>
      <w:r>
        <w:rPr>
          <w:rFonts w:ascii="Times New Roman" w:hAnsi="Times New Roman"/>
          <w:sz w:val="20"/>
        </w:rPr>
        <w:t xml:space="preserve">. The provisions of Section 8.6 of the Purchase Agreement are incorporated by reference herein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Integration</w:t>
      </w:r>
      <w:r>
        <w:rPr>
          <w:rFonts w:ascii="Times New Roman" w:hAnsi="Times New Roman"/>
          <w:sz w:val="20"/>
        </w:rPr>
        <w:t xml:space="preserve">.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Counterparts</w:t>
      </w:r>
      <w:r>
        <w:rPr>
          <w:rFonts w:ascii="Times New Roman" w:hAnsi="Times New Roman"/>
          <w:sz w:val="20"/>
        </w:rPr>
        <w:t xml:space="preserve">.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Contract Interpretation</w:t>
      </w:r>
      <w:r>
        <w:rPr>
          <w:rFonts w:ascii="Times New Roman" w:hAnsi="Times New Roman"/>
          <w:sz w:val="20"/>
        </w:rPr>
        <w:t xml:space="preserve">. This Agreement is the joint product of each Investor and the Company and each provision hereof has been subject to the mutual consultation, negotiation and agreement of such parties and shall not be construed for or against any party hereto.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Third-Party Beneficiaries</w:t>
      </w:r>
      <w:r>
        <w:rPr>
          <w:rFonts w:ascii="Times New Roman" w:hAnsi="Times New Roman"/>
          <w:sz w:val="20"/>
        </w:rPr>
        <w:t xml:space="preserve">. This Agreement is intended for the benefit of the parties hereto and their respective permitted successors and assigns, and is not for the benefit of, nor may any provision hereof be enforced by, any other Person, except as expressly provided in this Agreement (including as set forth in Sections 6 and 7).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(including as set forth in Sections 6 and 7).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Severability</w:t>
      </w:r>
      <w:r>
        <w:rPr>
          <w:rFonts w:ascii="Times New Roman" w:hAnsi="Times New Roman"/>
          <w:sz w:val="20"/>
        </w:rPr>
        <w:t xml:space="preserve">.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Non-Recourse</w:t>
      </w:r>
      <w:r>
        <w:rPr>
          <w:rFonts w:ascii="Times New Roman" w:hAnsi="Times New Roman"/>
          <w:sz w:val="20"/>
        </w:rPr>
        <w:t xml:space="preserve">.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Specific Performance</w:t>
      </w:r>
      <w:r>
        <w:rPr>
          <w:rFonts w:ascii="Times New Roman" w:hAnsi="Times New Roman"/>
          <w:sz w:val="20"/>
        </w:rPr>
        <w:t xml:space="preserve">. 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Cumulative Remedies</w:t>
      </w:r>
      <w:r>
        <w:rPr>
          <w:rFonts w:ascii="Times New Roman" w:hAnsi="Times New Roman"/>
          <w:sz w:val="20"/>
        </w:rPr>
        <w:t xml:space="preserve">. The remedies provided herein are cumulative and not exclusive of any remedies provided by law.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Registration Rights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88"/>
        <w:gridCol w:w="283"/>
        <w:gridCol w:w="2311"/>
      </w:tblGrid>
      <w:tr>
        <w:trPr/>
        <w:tc>
          <w:tcPr>
            <w:tcW w:w="1488"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CALDERA THERAPEUTICS, INC.</w:t>
            </w:r>
          </w:p>
        </w:tc>
      </w:tr>
      <w:tr>
        <w:trPr>
          <w:trHeight w:val="240" w:hRule="atLeast"/>
        </w:trPr>
        <w:tc>
          <w:tcPr>
            <w:tcW w:w="1488" w:type="dxa"/>
            <w:tcBorders/>
            <w:vAlign w:val="center"/>
          </w:tcPr>
          <w:p>
            <w:pPr>
              <w:pStyle w:val="TableContents"/>
              <w:bidi w:val="0"/>
              <w:spacing w:before="0" w:after="283"/>
              <w:jc w:val="left"/>
              <w:rPr>
                <w:sz w:val="4"/>
                <w:szCs w:val="4"/>
              </w:rPr>
            </w:pPr>
            <w:r>
              <w:rPr>
                <w:sz w:val="4"/>
                <w:szCs w:val="4"/>
              </w:rPr>
            </w:r>
          </w:p>
        </w:tc>
        <w:tc>
          <w:tcPr>
            <w:tcW w:w="2594" w:type="dxa"/>
            <w:gridSpan w:val="2"/>
            <w:tcBorders/>
            <w:vAlign w:val="center"/>
          </w:tcPr>
          <w:p>
            <w:pPr>
              <w:pStyle w:val="TableContents"/>
              <w:bidi w:val="0"/>
              <w:spacing w:before="0" w:after="283"/>
              <w:jc w:val="left"/>
              <w:rPr>
                <w:sz w:val="4"/>
                <w:szCs w:val="4"/>
              </w:rPr>
            </w:pPr>
            <w:r>
              <w:rPr>
                <w:sz w:val="4"/>
                <w:szCs w:val="4"/>
              </w:rPr>
            </w:r>
          </w:p>
        </w:tc>
      </w:tr>
      <w:tr>
        <w:trPr/>
        <w:tc>
          <w:tcPr>
            <w:tcW w:w="1488" w:type="dxa"/>
            <w:tcBorders/>
          </w:tcPr>
          <w:p>
            <w:pPr>
              <w:pStyle w:val="TableContents"/>
              <w:bidi w:val="0"/>
              <w:spacing w:before="0" w:after="283"/>
              <w:jc w:val="left"/>
              <w:rPr/>
            </w:pPr>
            <w:r>
              <w:rPr/>
              <w:t>By:</w:t>
            </w:r>
          </w:p>
        </w:tc>
        <w:tc>
          <w:tcPr>
            <w:tcW w:w="283" w:type="dxa"/>
            <w:tcBorders/>
            <w:vAlign w:val="bottom"/>
          </w:tcPr>
          <w:p>
            <w:pPr>
              <w:pStyle w:val="TableContents"/>
              <w:bidi w:val="0"/>
              <w:spacing w:before="0" w:after="283"/>
              <w:jc w:val="left"/>
              <w:rPr/>
            </w:pPr>
            <w:r>
              <w:rPr/>
              <w:t> </w:t>
            </w:r>
          </w:p>
        </w:tc>
        <w:tc>
          <w:tcPr>
            <w:tcW w:w="2311" w:type="dxa"/>
            <w:tcBorders/>
          </w:tcPr>
          <w:p>
            <w:pPr>
              <w:pStyle w:val="TableContents"/>
              <w:pBdr>
                <w:bottom w:val="single" w:sz="2" w:space="1" w:color="000000"/>
              </w:pBdr>
              <w:bidi w:val="0"/>
              <w:spacing w:before="0" w:after="20"/>
              <w:jc w:val="left"/>
              <w:rPr/>
            </w:pPr>
            <w:r>
              <w:rPr/>
              <w:t> </w:t>
            </w:r>
          </w:p>
        </w:tc>
      </w:tr>
    </w:tbl>
    <w:tbl>
      <w:tblPr>
        <w:tblW w:w="2000" w:type="pct"/>
        <w:jc w:val="right"/>
        <w:tblInd w:w="0" w:type="dxa"/>
        <w:tblLayout w:type="fixed"/>
        <w:tblCellMar>
          <w:top w:w="0" w:type="dxa"/>
          <w:left w:w="0" w:type="dxa"/>
          <w:bottom w:w="0" w:type="dxa"/>
          <w:right w:w="0" w:type="dxa"/>
        </w:tblCellMar>
      </w:tblPr>
      <w:tblGrid>
        <w:gridCol w:w="679"/>
        <w:gridCol w:w="60"/>
        <w:gridCol w:w="3343"/>
      </w:tblGrid>
      <w:tr>
        <w:trPr/>
        <w:tc>
          <w:tcPr>
            <w:tcW w:w="6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3" w:type="dxa"/>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3" w:type="dxa"/>
            <w:tcBorders/>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3" w:type="dxa"/>
            <w:tcBorders/>
          </w:tcPr>
          <w:p>
            <w:pPr>
              <w:pStyle w:val="TableContents"/>
              <w:bidi w:val="0"/>
              <w:spacing w:before="0" w:after="283"/>
              <w:jc w:val="left"/>
              <w:rPr>
                <w:sz w:val="4"/>
                <w:szCs w:val="4"/>
              </w:rPr>
            </w:pPr>
            <w:r>
              <w:rPr>
                <w:sz w:val="4"/>
                <w:szCs w:val="4"/>
              </w:rPr>
            </w:r>
          </w:p>
        </w:tc>
      </w:tr>
    </w:tbl>
    <w:tbl>
      <w:tblPr>
        <w:tblW w:w="2000" w:type="pct"/>
        <w:jc w:val="right"/>
        <w:tblInd w:w="0" w:type="dxa"/>
        <w:tblLayout w:type="fixed"/>
        <w:tblCellMar>
          <w:top w:w="0" w:type="dxa"/>
          <w:left w:w="0" w:type="dxa"/>
          <w:bottom w:w="0" w:type="dxa"/>
          <w:right w:w="0" w:type="dxa"/>
        </w:tblCellMar>
      </w:tblPr>
      <w:tblGrid>
        <w:gridCol w:w="882"/>
        <w:gridCol w:w="160"/>
        <w:gridCol w:w="3040"/>
      </w:tblGrid>
      <w:tr>
        <w:trPr/>
        <w:tc>
          <w:tcPr>
            <w:tcW w:w="882"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PARENT: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SONIC HOLDCO, INC.</w:t>
            </w:r>
          </w:p>
        </w:tc>
      </w:tr>
      <w:tr>
        <w:trPr>
          <w:trHeight w:val="240" w:hRule="atLeast"/>
        </w:trPr>
        <w:tc>
          <w:tcPr>
            <w:tcW w:w="882" w:type="dxa"/>
            <w:tcBorders/>
            <w:vAlign w:val="center"/>
          </w:tcPr>
          <w:p>
            <w:pPr>
              <w:pStyle w:val="TableContents"/>
              <w:bidi w:val="0"/>
              <w:spacing w:before="0" w:after="283"/>
              <w:jc w:val="left"/>
              <w:rPr>
                <w:sz w:val="4"/>
                <w:szCs w:val="4"/>
              </w:rPr>
            </w:pPr>
            <w:r>
              <w:rPr>
                <w:sz w:val="4"/>
                <w:szCs w:val="4"/>
              </w:rPr>
            </w:r>
          </w:p>
        </w:tc>
        <w:tc>
          <w:tcPr>
            <w:tcW w:w="3200"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By:</w:t>
            </w:r>
          </w:p>
        </w:tc>
        <w:tc>
          <w:tcPr>
            <w:tcW w:w="160" w:type="dxa"/>
            <w:tcBorders/>
            <w:vAlign w:val="bottom"/>
          </w:tcPr>
          <w:p>
            <w:pPr>
              <w:pStyle w:val="TableContents"/>
              <w:bidi w:val="0"/>
              <w:spacing w:before="0" w:after="283"/>
              <w:jc w:val="left"/>
              <w:rPr/>
            </w:pPr>
            <w:r>
              <w:rPr/>
              <w:t> </w:t>
            </w:r>
          </w:p>
        </w:tc>
        <w:tc>
          <w:tcPr>
            <w:tcW w:w="3040" w:type="dxa"/>
            <w:tcBorders/>
          </w:tcPr>
          <w:p>
            <w:pPr>
              <w:pStyle w:val="TableContents"/>
              <w:pBdr>
                <w:bottom w:val="single" w:sz="2" w:space="1" w:color="000000"/>
              </w:pBdr>
              <w:bidi w:val="0"/>
              <w:spacing w:before="0" w:after="20"/>
              <w:jc w:val="left"/>
              <w:rPr/>
            </w:pPr>
            <w:r>
              <w:rPr/>
              <w:t> </w:t>
            </w:r>
          </w:p>
        </w:tc>
      </w:tr>
    </w:tbl>
    <w:tbl>
      <w:tblPr>
        <w:tblW w:w="2000" w:type="pct"/>
        <w:jc w:val="right"/>
        <w:tblInd w:w="0" w:type="dxa"/>
        <w:tblLayout w:type="fixed"/>
        <w:tblCellMar>
          <w:top w:w="0" w:type="dxa"/>
          <w:left w:w="0" w:type="dxa"/>
          <w:bottom w:w="0" w:type="dxa"/>
          <w:right w:w="0" w:type="dxa"/>
        </w:tblCellMar>
      </w:tblPr>
      <w:tblGrid>
        <w:gridCol w:w="679"/>
        <w:gridCol w:w="60"/>
        <w:gridCol w:w="3343"/>
      </w:tblGrid>
      <w:tr>
        <w:trPr/>
        <w:tc>
          <w:tcPr>
            <w:tcW w:w="6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3" w:type="dxa"/>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3" w:type="dxa"/>
            <w:tcBorders/>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3"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Registration Rights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87"/>
        <w:gridCol w:w="182"/>
        <w:gridCol w:w="2913"/>
      </w:tblGrid>
      <w:tr>
        <w:trPr/>
        <w:tc>
          <w:tcPr>
            <w:tcW w:w="987"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[NAME]</w:t>
            </w:r>
          </w:p>
        </w:tc>
      </w:tr>
      <w:tr>
        <w:trPr>
          <w:trHeight w:val="240" w:hRule="atLeast"/>
        </w:trPr>
        <w:tc>
          <w:tcPr>
            <w:tcW w:w="987" w:type="dxa"/>
            <w:tcBorders/>
            <w:vAlign w:val="center"/>
          </w:tcPr>
          <w:p>
            <w:pPr>
              <w:pStyle w:val="TableContents"/>
              <w:bidi w:val="0"/>
              <w:spacing w:before="0" w:after="283"/>
              <w:jc w:val="left"/>
              <w:rPr>
                <w:sz w:val="4"/>
                <w:szCs w:val="4"/>
              </w:rPr>
            </w:pPr>
            <w:r>
              <w:rPr>
                <w:sz w:val="4"/>
                <w:szCs w:val="4"/>
              </w:rPr>
            </w:r>
          </w:p>
        </w:tc>
        <w:tc>
          <w:tcPr>
            <w:tcW w:w="3095" w:type="dxa"/>
            <w:gridSpan w:val="2"/>
            <w:tcBorders/>
            <w:vAlign w:val="center"/>
          </w:tcPr>
          <w:p>
            <w:pPr>
              <w:pStyle w:val="TableContents"/>
              <w:bidi w:val="0"/>
              <w:spacing w:before="0" w:after="283"/>
              <w:jc w:val="left"/>
              <w:rPr>
                <w:sz w:val="4"/>
                <w:szCs w:val="4"/>
              </w:rPr>
            </w:pPr>
            <w:r>
              <w:rPr>
                <w:sz w:val="4"/>
                <w:szCs w:val="4"/>
              </w:rPr>
            </w:r>
          </w:p>
        </w:tc>
      </w:tr>
      <w:tr>
        <w:trPr/>
        <w:tc>
          <w:tcPr>
            <w:tcW w:w="987" w:type="dxa"/>
            <w:tcBorders/>
          </w:tcPr>
          <w:p>
            <w:pPr>
              <w:pStyle w:val="TableContents"/>
              <w:bidi w:val="0"/>
              <w:spacing w:before="0" w:after="283"/>
              <w:jc w:val="left"/>
              <w:rPr/>
            </w:pPr>
            <w:r>
              <w:rPr/>
              <w:t>By:</w:t>
            </w:r>
          </w:p>
        </w:tc>
        <w:tc>
          <w:tcPr>
            <w:tcW w:w="182" w:type="dxa"/>
            <w:tcBorders/>
            <w:vAlign w:val="bottom"/>
          </w:tcPr>
          <w:p>
            <w:pPr>
              <w:pStyle w:val="TableContents"/>
              <w:bidi w:val="0"/>
              <w:spacing w:before="0" w:after="283"/>
              <w:jc w:val="left"/>
              <w:rPr/>
            </w:pPr>
            <w:r>
              <w:rPr/>
              <w:t> </w:t>
            </w:r>
          </w:p>
        </w:tc>
        <w:tc>
          <w:tcPr>
            <w:tcW w:w="2913" w:type="dxa"/>
            <w:tcBorders/>
          </w:tcPr>
          <w:p>
            <w:pPr>
              <w:pStyle w:val="TableContents"/>
              <w:pBdr>
                <w:bottom w:val="single" w:sz="2" w:space="1" w:color="000000"/>
              </w:pBdr>
              <w:bidi w:val="0"/>
              <w:spacing w:before="0" w:after="20"/>
              <w:jc w:val="left"/>
              <w:rPr/>
            </w:pPr>
            <w:r>
              <w:rPr/>
              <w:t> </w:t>
            </w:r>
          </w:p>
        </w:tc>
      </w:tr>
    </w:tbl>
    <w:tbl>
      <w:tblPr>
        <w:tblW w:w="2000" w:type="pct"/>
        <w:jc w:val="right"/>
        <w:tblInd w:w="0" w:type="dxa"/>
        <w:tblLayout w:type="fixed"/>
        <w:tblCellMar>
          <w:top w:w="0" w:type="dxa"/>
          <w:left w:w="0" w:type="dxa"/>
          <w:bottom w:w="0" w:type="dxa"/>
          <w:right w:w="0" w:type="dxa"/>
        </w:tblCellMar>
      </w:tblPr>
      <w:tblGrid>
        <w:gridCol w:w="679"/>
        <w:gridCol w:w="60"/>
        <w:gridCol w:w="3343"/>
      </w:tblGrid>
      <w:tr>
        <w:trPr/>
        <w:tc>
          <w:tcPr>
            <w:tcW w:w="6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3" w:type="dxa"/>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3" w:type="dxa"/>
            <w:tcBorders/>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3"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Registration Rights Agreement] </w:t>
      </w:r>
    </w:p>
    <w:p>
      <w:pPr>
        <w:pStyle w:val="TextBody"/>
        <w:bidi w:val="0"/>
        <w:spacing w:before="0" w:after="0"/>
        <w:jc w:val="right"/>
        <w:rPr>
          <w:rFonts w:ascii="Times New Roman" w:hAnsi="Times New Roman"/>
          <w:sz w:val="20"/>
        </w:rPr>
      </w:pPr>
      <w:bookmarkStart w:id="14" w:name="d91010dex106.htm"/>
      <w:bookmarkStart w:id="15" w:name="ksd91010dex106"/>
      <w:bookmarkEnd w:id="14"/>
      <w:bookmarkEnd w:id="15"/>
      <w:r>
        <w:rPr>
          <w:rFonts w:ascii="Times New Roman" w:hAnsi="Times New Roman"/>
          <w:b/>
          <w:i/>
          <w:sz w:val="20"/>
        </w:rPr>
        <w:t>Exhibit 10.6</w:t>
      </w:r>
      <w:r>
        <w:rPr>
          <w:rFonts w:ascii="Times New Roman" w:hAnsi="Times New Roman"/>
          <w:sz w:val="20"/>
        </w:rPr>
        <w:t xml:space="preserve">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120" w:after="0"/>
        <w:jc w:val="center"/>
        <w:rPr>
          <w:rFonts w:ascii="Times New Roman" w:hAnsi="Times New Roman"/>
          <w:b/>
          <w:sz w:val="20"/>
        </w:rPr>
      </w:pPr>
      <w:r>
        <w:rPr>
          <w:rFonts w:ascii="Times New Roman" w:hAnsi="Times New Roman"/>
          <w:b/>
          <w:sz w:val="20"/>
        </w:rPr>
        <w:t xml:space="preserve">WARRANT TO PURCHASE COMMON STOCK AMENDING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WARRANT TO PURCHASE COMMON STOCK AMENDING AGREEMENT </w:t>
      </w:r>
      <w:r>
        <w:rPr>
          <w:rFonts w:ascii="Times New Roman" w:hAnsi="Times New Roman"/>
          <w:sz w:val="20"/>
        </w:rPr>
        <w:t>(this “</w:t>
      </w:r>
      <w:r>
        <w:rPr>
          <w:rFonts w:ascii="Times New Roman" w:hAnsi="Times New Roman"/>
          <w:b/>
          <w:sz w:val="20"/>
        </w:rPr>
        <w:t>Agreement</w:t>
      </w:r>
      <w:r>
        <w:rPr>
          <w:rFonts w:ascii="Times New Roman" w:hAnsi="Times New Roman"/>
          <w:sz w:val="20"/>
        </w:rPr>
        <w:t xml:space="preserve">”) is dated July 27, 2026 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[__________] </w:t>
      </w:r>
    </w:p>
    <w:p>
      <w:pPr>
        <w:pStyle w:val="TextBody"/>
        <w:bidi w:val="0"/>
        <w:spacing w:before="0" w:after="0"/>
        <w:jc w:val="center"/>
        <w:rPr>
          <w:rFonts w:ascii="Times New Roman" w:hAnsi="Times New Roman"/>
          <w:sz w:val="20"/>
        </w:rPr>
      </w:pPr>
      <w:r>
        <w:rPr>
          <w:rFonts w:ascii="Times New Roman" w:hAnsi="Times New Roman"/>
          <w:sz w:val="20"/>
        </w:rPr>
        <w:t>(the “</w:t>
      </w:r>
      <w:r>
        <w:rPr>
          <w:rFonts w:ascii="Times New Roman" w:hAnsi="Times New Roman"/>
          <w:b/>
          <w:sz w:val="20"/>
        </w:rPr>
        <w:t>Holder</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SYNLOGIC, INC. </w:t>
      </w:r>
    </w:p>
    <w:p>
      <w:pPr>
        <w:pStyle w:val="TextBody"/>
        <w:bidi w:val="0"/>
        <w:spacing w:before="0" w:after="0"/>
        <w:jc w:val="center"/>
        <w:rPr>
          <w:rFonts w:ascii="Times New Roman" w:hAnsi="Times New Roman"/>
          <w:sz w:val="20"/>
        </w:rPr>
      </w:pPr>
      <w:r>
        <w:rPr>
          <w:rFonts w:ascii="Times New Roman" w:hAnsi="Times New Roman"/>
          <w:sz w:val="20"/>
        </w:rPr>
        <w:t>(the “</w:t>
      </w:r>
      <w:r>
        <w:rPr>
          <w:rFonts w:ascii="Times New Roman" w:hAnsi="Times New Roman"/>
          <w:b/>
          <w:sz w:val="20"/>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the terms of that certain Warrant to Purchase Common Stock dated October 3, 2023, Warrant No. C-[___] (the “</w:t>
            </w:r>
            <w:r>
              <w:rPr>
                <w:rFonts w:ascii="Times New Roman" w:hAnsi="Times New Roman"/>
                <w:b/>
                <w:sz w:val="20"/>
              </w:rPr>
              <w:t>Warrant</w:t>
            </w:r>
            <w:r>
              <w:rPr>
                <w:rFonts w:ascii="Times New Roman" w:hAnsi="Times New Roman"/>
                <w:sz w:val="20"/>
              </w:rPr>
              <w:t>”), the Company has provided the Holder with the right to purchase from the Company up to [_____] shares of the common stock of the Company, par value $0.001 per share, subject to adjustment, at an exercise price of $3.408 per share, subject to adjustment (the “</w:t>
            </w:r>
            <w:r>
              <w:rPr>
                <w:rFonts w:ascii="Times New Roman" w:hAnsi="Times New Roman"/>
                <w:b/>
                <w:sz w:val="20"/>
              </w:rPr>
              <w:t>Exercise Price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wish to amend certain terms contained in the Warrant, including the Exercise Price and the Fundamental Transaction provisions, in accordance with Section 9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capitalized terms used but not defined herein shall have the meanings given to such terms in the Warrant. </w:t>
            </w:r>
          </w:p>
        </w:tc>
      </w:tr>
    </w:tbl>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and agreements contained in this Agreement and other good and valuable consideration (the sufficiency and receipt of which are hereby acknowledged), the Holder and the Company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1(b) of the Warrant is, without any further action on the part of any Person, hereby deleted in its entirety and replaced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r>
              <w:rPr>
                <w:i/>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Exercise Price</w:t>
            </w:r>
            <w:r>
              <w:rPr>
                <w:rFonts w:ascii="Times New Roman" w:hAnsi="Times New Roman"/>
                <w:i/>
                <w:sz w:val="20"/>
              </w:rPr>
              <w:t>. For purposes of this Warrant, “</w:t>
            </w:r>
            <w:r>
              <w:rPr>
                <w:rFonts w:ascii="Times New Roman" w:hAnsi="Times New Roman"/>
                <w:b/>
                <w:i/>
                <w:sz w:val="20"/>
              </w:rPr>
              <w:t>Exercise Price</w:t>
            </w:r>
            <w:r>
              <w:rPr>
                <w:rFonts w:ascii="Times New Roman" w:hAnsi="Times New Roman"/>
                <w:sz w:val="20"/>
              </w:rPr>
              <w:t xml:space="preserve">” </w:t>
            </w:r>
            <w:r>
              <w:rPr>
                <w:rFonts w:ascii="Times New Roman" w:hAnsi="Times New Roman"/>
                <w:i/>
                <w:sz w:val="20"/>
              </w:rPr>
              <w:t>means $0.70 per share, subject to adjustment as provided herein.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4(b) of the Warrant is, without further action on the part of any Person, hereby deleted in its entirety and replaced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r>
              <w:rPr>
                <w:i/>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i/>
                <w:sz w:val="20"/>
                <w:u w:val="single"/>
              </w:rPr>
              <w:t>Fundamental Transaction</w:t>
            </w:r>
            <w:r>
              <w:rPr>
                <w:rFonts w:ascii="Times New Roman" w:hAnsi="Times New Roman"/>
                <w:i/>
                <w:sz w:val="20"/>
              </w:rPr>
              <w:t>. The Company shall not enter into or be party to a Fundamental Transaction unless the Successor Entity assumes in writing all of the obligations of the Company under this Warrant in accordance with the provisions of this Section</w:t>
            </w:r>
            <w:r>
              <w:rPr>
                <w:rFonts w:ascii="Times New Roman" w:hAnsi="Times New Roman"/>
                <w:sz w:val="20"/>
              </w:rPr>
              <w:t> </w:t>
            </w:r>
            <w:r>
              <w:rPr>
                <w:rFonts w:ascii="Times New Roman" w:hAnsi="Times New Roman"/>
                <w:i/>
                <w:sz w:val="20"/>
              </w:rPr>
              <w:t xml:space="preserve">4(b),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2"/>
        <w:gridCol w:w="8883"/>
      </w:tblGrid>
      <w:tr>
        <w:trPr/>
        <w:tc>
          <w:tcPr>
            <w:tcW w:w="1322" w:type="dxa"/>
            <w:tcBorders/>
            <w:vAlign w:val="center"/>
          </w:tcPr>
          <w:p>
            <w:pPr>
              <w:pStyle w:val="TableContents"/>
              <w:bidi w:val="0"/>
              <w:spacing w:before="0" w:after="283"/>
              <w:jc w:val="left"/>
              <w:rPr/>
            </w:pPr>
            <w:r>
              <w:rPr/>
              <w:t> </w:t>
            </w:r>
          </w:p>
        </w:tc>
        <w:tc>
          <w:tcPr>
            <w:tcW w:w="8883" w:type="dxa"/>
            <w:tcBorders/>
          </w:tcPr>
          <w:p>
            <w:pPr>
              <w:pStyle w:val="TableContents"/>
              <w:bidi w:val="0"/>
              <w:spacing w:before="0" w:after="283"/>
              <w:jc w:val="left"/>
              <w:rPr/>
            </w:pPr>
            <w:r>
              <w:rPr>
                <w:i/>
              </w:rPr>
              <w:t>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the Company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w:t>
            </w:r>
            <w:r>
              <w:rPr/>
              <w:t> </w:t>
            </w:r>
            <w:r>
              <w:rPr>
                <w:i/>
              </w:rPr>
              <w:t>1(f) hereof, the Holder may elect, at its sole option, by delivery of written notice to the Company to waive this Section</w:t>
            </w:r>
            <w:r>
              <w:rPr/>
              <w:t> </w:t>
            </w:r>
            <w:r>
              <w:rPr>
                <w:i/>
              </w:rPr>
              <w:t>4(b)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b/>
                <w:i/>
              </w:rPr>
              <w:t>Corporate Event</w:t>
            </w:r>
            <w:r>
              <w:rPr/>
              <w:t>”</w:t>
            </w:r>
            <w:r>
              <w:rPr>
                <w:i/>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(collectively, the “</w:t>
            </w:r>
            <w:r>
              <w:rPr>
                <w:b/>
                <w:i/>
              </w:rPr>
              <w:t>Corporate Event Consideration</w:t>
            </w:r>
            <w:r>
              <w:rPr/>
              <w:t>”</w:t>
            </w:r>
            <w:r>
              <w:rPr>
                <w:i/>
              </w:rPr>
              <w:t>) which the Holder would have been entitled to receive upon the happening of the applicable Fundamental Transaction had this Warrant been exercised immediately prior to the applicable Fundamental Transaction (without regard to any limitations on the exercise of this Warrant). The provision made pursuant to the preceding sentence shall be in a form and substance reasonably satisfactory to the Requisite Holders. The provisions of this Section</w:t>
            </w:r>
            <w:r>
              <w:rPr/>
              <w:t> </w:t>
            </w:r>
            <w:r>
              <w:rPr>
                <w:i/>
              </w:rPr>
              <w:t>4(b) shall apply similarly and equally to successive Fundamental Transactions and Corporate Events.</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certainty, the parties hereto agree that, except as specifically provided herein, the terms and conditions of the Warrant are hereby confirmed and continue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questions concerning the construction, validity, enforcement and interpretation of this Agreement shall be governed by and construed and enforced in accordance with the internal laws of the State of New York, without regard to the principles of conflicts of law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shall enure to the benefit of and be binding upon the parties hereto and their respective legal representatives, heirs, executors, administrators, successors and assigns.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may be executed in any number of separate counterparts, and all such signed counterparts will together constitute one and the same agreement. To evidence its execution of an original counterpart of this Agreement, a party may send a copy of its signature on the execution page hereof to the other parties by facsimile or other means of recorded electronic transmission (including in PDF form) and such transmission shall constitute valid delivery of an executed copy of this agreement to the receiving party.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s</w:t>
      </w:r>
      <w:r>
        <w:rPr>
          <w:rFonts w:ascii="Times New Roman" w:hAnsi="Times New Roman"/>
          <w:i/>
          <w:sz w:val="20"/>
        </w:rPr>
        <w:t>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hereby agree to the terms set forth herein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68"/>
        <w:gridCol w:w="77"/>
        <w:gridCol w:w="3537"/>
      </w:tblGrid>
      <w:tr>
        <w:trPr/>
        <w:tc>
          <w:tcPr>
            <w:tcW w:w="468"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35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[__________]</w:t>
            </w:r>
          </w:p>
        </w:tc>
      </w:tr>
      <w:tr>
        <w:trPr>
          <w:trHeight w:val="240" w:hRule="atLeast"/>
        </w:trPr>
        <w:tc>
          <w:tcPr>
            <w:tcW w:w="468" w:type="dxa"/>
            <w:tcBorders/>
            <w:vAlign w:val="center"/>
          </w:tcPr>
          <w:p>
            <w:pPr>
              <w:pStyle w:val="TableContents"/>
              <w:bidi w:val="0"/>
              <w:spacing w:before="0" w:after="283"/>
              <w:jc w:val="left"/>
              <w:rPr>
                <w:sz w:val="4"/>
                <w:szCs w:val="4"/>
              </w:rPr>
            </w:pPr>
            <w:r>
              <w:rPr>
                <w:sz w:val="4"/>
                <w:szCs w:val="4"/>
              </w:rPr>
            </w:r>
          </w:p>
        </w:tc>
        <w:tc>
          <w:tcPr>
            <w:tcW w:w="3614" w:type="dxa"/>
            <w:gridSpan w:val="2"/>
            <w:tcBorders/>
            <w:vAlign w:val="center"/>
          </w:tcPr>
          <w:p>
            <w:pPr>
              <w:pStyle w:val="TableContents"/>
              <w:bidi w:val="0"/>
              <w:spacing w:before="0" w:after="283"/>
              <w:jc w:val="left"/>
              <w:rPr>
                <w:sz w:val="4"/>
                <w:szCs w:val="4"/>
              </w:rPr>
            </w:pPr>
            <w:r>
              <w:rPr>
                <w:sz w:val="4"/>
                <w:szCs w:val="4"/>
              </w:rPr>
            </w:r>
          </w:p>
        </w:tc>
      </w:tr>
      <w:tr>
        <w:trPr/>
        <w:tc>
          <w:tcPr>
            <w:tcW w:w="46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353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68"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68"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SYNLOGIC, INC.</w:t>
            </w:r>
          </w:p>
        </w:tc>
      </w:tr>
      <w:tr>
        <w:trPr>
          <w:trHeight w:val="240" w:hRule="atLeast"/>
        </w:trPr>
        <w:tc>
          <w:tcPr>
            <w:tcW w:w="468" w:type="dxa"/>
            <w:tcBorders/>
            <w:vAlign w:val="center"/>
          </w:tcPr>
          <w:p>
            <w:pPr>
              <w:pStyle w:val="TableContents"/>
              <w:bidi w:val="0"/>
              <w:spacing w:before="0" w:after="283"/>
              <w:jc w:val="left"/>
              <w:rPr>
                <w:sz w:val="4"/>
                <w:szCs w:val="4"/>
              </w:rPr>
            </w:pPr>
            <w:r>
              <w:rPr>
                <w:sz w:val="4"/>
                <w:szCs w:val="4"/>
              </w:rPr>
            </w:r>
          </w:p>
        </w:tc>
        <w:tc>
          <w:tcPr>
            <w:tcW w:w="3614" w:type="dxa"/>
            <w:gridSpan w:val="2"/>
            <w:tcBorders/>
            <w:vAlign w:val="center"/>
          </w:tcPr>
          <w:p>
            <w:pPr>
              <w:pStyle w:val="TableContents"/>
              <w:bidi w:val="0"/>
              <w:spacing w:before="0" w:after="283"/>
              <w:jc w:val="left"/>
              <w:rPr>
                <w:sz w:val="4"/>
                <w:szCs w:val="4"/>
              </w:rPr>
            </w:pPr>
            <w:r>
              <w:rPr>
                <w:sz w:val="4"/>
                <w:szCs w:val="4"/>
              </w:rPr>
            </w:r>
          </w:p>
        </w:tc>
      </w:tr>
      <w:tr>
        <w:trPr/>
        <w:tc>
          <w:tcPr>
            <w:tcW w:w="46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353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68"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68"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 Warrant to Purchase Common Stock Amending Agreement} </w:t>
      </w:r>
    </w:p>
    <w:p>
      <w:pPr>
        <w:pStyle w:val="TextBody"/>
        <w:bidi w:val="0"/>
        <w:spacing w:before="0" w:after="0"/>
        <w:jc w:val="right"/>
        <w:rPr>
          <w:rFonts w:ascii="Times New Roman" w:hAnsi="Times New Roman"/>
          <w:sz w:val="20"/>
        </w:rPr>
      </w:pPr>
      <w:bookmarkStart w:id="16" w:name="d91010dex991.htm"/>
      <w:bookmarkStart w:id="17" w:name="ksd91010dex991"/>
      <w:bookmarkEnd w:id="16"/>
      <w:bookmarkEnd w:id="17"/>
      <w:r>
        <w:rPr>
          <w:rFonts w:ascii="Times New Roman" w:hAnsi="Times New Roman"/>
          <w:b/>
          <w:i/>
          <w:sz w:val="20"/>
        </w:rPr>
        <w:t>Exhibit 99.1</w:t>
      </w:r>
      <w:r>
        <w:rPr>
          <w:rFonts w:ascii="Times New Roman" w:hAnsi="Times New Roman"/>
          <w:sz w:val="20"/>
        </w:rPr>
        <w:t xml:space="preserve">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36"/>
        <w:gridCol w:w="120"/>
        <w:gridCol w:w="4949"/>
      </w:tblGrid>
      <w:tr>
        <w:trPr/>
        <w:tc>
          <w:tcPr>
            <w:tcW w:w="51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36" w:type="dxa"/>
            <w:tcBorders/>
          </w:tcPr>
          <w:p>
            <w:pPr>
              <w:pStyle w:val="TableContents"/>
              <w:bidi w:val="0"/>
              <w:spacing w:before="0" w:after="283"/>
              <w:jc w:val="left"/>
              <w:rPr/>
            </w:pPr>
            <w:r>
              <w:rPr/>
              <w:drawing>
                <wp:inline distT="0" distB="0" distL="0" distR="0">
                  <wp:extent cx="147891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78915" cy="5524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right"/>
              <w:rPr/>
            </w:pPr>
            <w:r>
              <w:rPr/>
              <w:drawing>
                <wp:inline distT="0" distB="0" distL="0" distR="0">
                  <wp:extent cx="1662430" cy="7073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62430" cy="707390"/>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Synlogic and Caldera Therapeutics Announce Merger Agreement and Concurrent Private Placement </w:t>
      </w:r>
    </w:p>
    <w:p>
      <w:pPr>
        <w:pStyle w:val="TextBody"/>
        <w:bidi w:val="0"/>
        <w:spacing w:before="240" w:after="0"/>
        <w:jc w:val="left"/>
        <w:rPr>
          <w:rFonts w:ascii="Times New Roman" w:hAnsi="Times New Roman"/>
          <w:sz w:val="20"/>
        </w:rPr>
      </w:pPr>
      <w:r>
        <w:rPr>
          <w:rFonts w:ascii="Times New Roman" w:hAnsi="Times New Roman"/>
          <w:sz w:val="20"/>
        </w:rPr>
        <w:t xml:space="preserve">July 29, 2026 </w:t>
      </w:r>
    </w:p>
    <w:p>
      <w:pPr>
        <w:pStyle w:val="TextBody"/>
        <w:bidi w:val="0"/>
        <w:spacing w:before="240" w:after="0"/>
        <w:jc w:val="center"/>
        <w:rPr>
          <w:rFonts w:ascii="Times New Roman" w:hAnsi="Times New Roman"/>
          <w:i/>
          <w:sz w:val="20"/>
        </w:rPr>
      </w:pPr>
      <w:r>
        <w:rPr>
          <w:rFonts w:ascii="Times New Roman" w:hAnsi="Times New Roman"/>
          <w:i/>
          <w:sz w:val="20"/>
        </w:rPr>
        <w:t xml:space="preserve">Combined company to operate as Caldera Therapeutics, developing CLD-423, a potential first-in-class </w:t>
      </w:r>
    </w:p>
    <w:p>
      <w:pPr>
        <w:pStyle w:val="TextBody"/>
        <w:bidi w:val="0"/>
        <w:spacing w:before="0" w:after="0"/>
        <w:jc w:val="center"/>
        <w:rPr>
          <w:rFonts w:ascii="Times New Roman" w:hAnsi="Times New Roman"/>
          <w:i/>
          <w:sz w:val="20"/>
        </w:rPr>
      </w:pPr>
      <w:r>
        <w:rPr>
          <w:rFonts w:ascii="Times New Roman" w:hAnsi="Times New Roman"/>
          <w:i/>
          <w:sz w:val="20"/>
        </w:rPr>
        <w:t xml:space="preserve">TL1A x IL-23p19 bispecific antibody for inflammatory bowel disease and other immune-mediated diseases </w:t>
      </w:r>
    </w:p>
    <w:p>
      <w:pPr>
        <w:pStyle w:val="TextBody"/>
        <w:bidi w:val="0"/>
        <w:spacing w:before="120" w:after="0"/>
        <w:jc w:val="center"/>
        <w:rPr>
          <w:rFonts w:ascii="Times New Roman" w:hAnsi="Times New Roman"/>
          <w:i/>
          <w:sz w:val="20"/>
        </w:rPr>
      </w:pPr>
      <w:r>
        <w:rPr>
          <w:rFonts w:ascii="Times New Roman" w:hAnsi="Times New Roman"/>
          <w:i/>
          <w:sz w:val="20"/>
        </w:rPr>
        <w:t xml:space="preserve">Concurrent upsized $278 million private placement committed by a syndicate of leading healthcare </w:t>
      </w:r>
    </w:p>
    <w:p>
      <w:pPr>
        <w:pStyle w:val="TextBody"/>
        <w:bidi w:val="0"/>
        <w:spacing w:before="0" w:after="0"/>
        <w:jc w:val="center"/>
        <w:rPr>
          <w:rFonts w:ascii="Times New Roman" w:hAnsi="Times New Roman"/>
          <w:i/>
          <w:sz w:val="20"/>
        </w:rPr>
      </w:pPr>
      <w:r>
        <w:rPr>
          <w:rFonts w:ascii="Times New Roman" w:hAnsi="Times New Roman"/>
          <w:i/>
          <w:sz w:val="20"/>
        </w:rPr>
        <w:t xml:space="preserve">institutional investors and mutual funds expected to fund operations through Phase 2 clinical trials in </w:t>
      </w:r>
    </w:p>
    <w:p>
      <w:pPr>
        <w:pStyle w:val="TextBody"/>
        <w:bidi w:val="0"/>
        <w:spacing w:before="0" w:after="0"/>
        <w:jc w:val="center"/>
        <w:rPr>
          <w:rFonts w:ascii="Times New Roman" w:hAnsi="Times New Roman"/>
          <w:i/>
          <w:sz w:val="20"/>
        </w:rPr>
      </w:pPr>
      <w:r>
        <w:rPr>
          <w:rFonts w:ascii="Times New Roman" w:hAnsi="Times New Roman"/>
          <w:i/>
          <w:sz w:val="20"/>
        </w:rPr>
        <w:t xml:space="preserve">ulcerative colitis and Crohn’s disease, with cash runway projected into 2029 </w:t>
      </w:r>
    </w:p>
    <w:p>
      <w:pPr>
        <w:pStyle w:val="TextBody"/>
        <w:bidi w:val="0"/>
        <w:spacing w:before="240" w:after="0"/>
        <w:jc w:val="left"/>
        <w:rPr>
          <w:rFonts w:ascii="Times New Roman" w:hAnsi="Times New Roman"/>
          <w:sz w:val="20"/>
        </w:rPr>
      </w:pPr>
      <w:r>
        <w:rPr>
          <w:rFonts w:ascii="Times New Roman" w:hAnsi="Times New Roman"/>
          <w:sz w:val="20"/>
        </w:rPr>
        <w:t xml:space="preserve">CAMBRIDGE, Mass., July 29, 2026 – Synlogic, Inc. (OTC: SYBX) (“Synlogic”) and Caldera Therapeutics, Inc. (“Caldera”), a privately held clinical-stage biotechnology company developing CLD-423, a potential first-in-class TL1A x IL-23p19 bispecific antibody for inflammatory bowel disease (IBD) and other immune-mediated diseases, today announced that they have entered into a definitive merger agreement to combine in an all-stock transaction. The combination will be accomplished by both companies becoming wholly-owned subsidiaries of a newly formed holding company. Upon closing, the combined company plans to operate under the name Caldera Therapeutics, Inc. and intends to apply to trade on the Nasdaq Capital Market under the ticker symbol “CALD.” </w:t>
      </w:r>
    </w:p>
    <w:p>
      <w:pPr>
        <w:pStyle w:val="TextBody"/>
        <w:bidi w:val="0"/>
        <w:spacing w:before="240" w:after="0"/>
        <w:jc w:val="left"/>
        <w:rPr>
          <w:rFonts w:ascii="Times New Roman" w:hAnsi="Times New Roman"/>
          <w:sz w:val="20"/>
        </w:rPr>
      </w:pPr>
      <w:r>
        <w:rPr>
          <w:rFonts w:ascii="Times New Roman" w:hAnsi="Times New Roman"/>
          <w:sz w:val="20"/>
        </w:rPr>
        <w:t xml:space="preserve">In support of the proposed merger, Caldera has secured commitments for an upsized concurrent private placement expected to generate approximately $278 million in gross proceeds from a syndicate of leading healthcare institutional investors and mutual funds, including Bain Capital Life Sciences, TCGX, Atlas Venture, venBio Partners, Omega Funds, Blackstone Multi-Asset Investing, LAV, Wellington Management, Janus Henderson Investors, Sirenia Capital Management LP, Vivo Capital, several additional mutual funds and other institutional investors. </w:t>
      </w:r>
    </w:p>
    <w:p>
      <w:pPr>
        <w:pStyle w:val="TextBody"/>
        <w:bidi w:val="0"/>
        <w:spacing w:before="240" w:after="0"/>
        <w:jc w:val="left"/>
        <w:rPr>
          <w:rFonts w:ascii="Times New Roman" w:hAnsi="Times New Roman"/>
          <w:sz w:val="20"/>
        </w:rPr>
      </w:pPr>
      <w:r>
        <w:rPr>
          <w:rFonts w:ascii="Times New Roman" w:hAnsi="Times New Roman"/>
          <w:sz w:val="20"/>
        </w:rPr>
        <w:t xml:space="preserve">The financing is expected to support the Phase 2 clinical development of CLD-423 in ulcerative colitis and Crohn’s disease, as well as potential development in additional immune-mediated diseases. The combined company’s cash and cash equivalents at closing, together with the proceeds from the concurrent private placement, are expected to fund the combined company’s operations into 2029. The financing is expected to close concurrently with the merger, subject to the satisfaction of customary closing conditions. </w:t>
      </w:r>
    </w:p>
    <w:p>
      <w:pPr>
        <w:pStyle w:val="TextBody"/>
        <w:bidi w:val="0"/>
        <w:spacing w:before="240" w:after="0"/>
        <w:jc w:val="left"/>
        <w:rPr/>
      </w:pPr>
      <w:r>
        <w:rPr/>
        <w:t>“</w:t>
      </w:r>
      <w:r>
        <w:rPr>
          <w:rFonts w:ascii="Times New Roman" w:hAnsi="Times New Roman"/>
          <w:sz w:val="20"/>
        </w:rPr>
        <w:t xml:space="preserve">In just over a year, we’ve shown our team’s ability to open up a lead with compelling data from a molecule poised to deliver the next horizon of I&amp;I therapy,” said Praveen Tipirneni, MD, MBA, Chief Executive Officer of Caldera. “These transactions provide the capital and public company platform to advance our vision as we move into Phase 2 development in IBD and continue exploring the potential of CLD-423 across additional immune-mediated diseases.”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Following our evaluation of strategic alternatives, we believe this transaction represents the best path forward for our shareholders and an exciting opportunity to support the advancement of an innovative program with the potential to break through the current efficacy ceiling in inflammatory bowel disease,” said Mary Beth Dooley, Principal Executive Officer and Principal Financial Officer of Synlogic. “We are impressed by the strength of Caldera’s team, CLD-423’s differentiated profile, and the clear development strategy for the combined company. We look forward to supporting this next chapter and the important work ahead.” </w:t>
      </w:r>
    </w:p>
    <w:p>
      <w:pPr>
        <w:pStyle w:val="TextBody"/>
        <w:bidi w:val="0"/>
        <w:spacing w:before="360" w:after="0"/>
        <w:jc w:val="left"/>
        <w:rPr>
          <w:rFonts w:ascii="Times New Roman" w:hAnsi="Times New Roman"/>
          <w:b/>
          <w:sz w:val="20"/>
        </w:rPr>
      </w:pPr>
      <w:r>
        <w:rPr>
          <w:rFonts w:ascii="Times New Roman" w:hAnsi="Times New Roman"/>
          <w:b/>
          <w:sz w:val="20"/>
        </w:rPr>
        <w:t xml:space="preserve">About CLD-423 </w:t>
      </w:r>
    </w:p>
    <w:p>
      <w:pPr>
        <w:pStyle w:val="TextBody"/>
        <w:bidi w:val="0"/>
        <w:spacing w:before="120" w:after="0"/>
        <w:jc w:val="left"/>
        <w:rPr>
          <w:rFonts w:ascii="Times New Roman" w:hAnsi="Times New Roman"/>
          <w:sz w:val="20"/>
        </w:rPr>
      </w:pPr>
      <w:r>
        <w:rPr>
          <w:rFonts w:ascii="Times New Roman" w:hAnsi="Times New Roman"/>
          <w:sz w:val="20"/>
        </w:rPr>
        <w:t xml:space="preserve">CLD-423 is an investigational bispecific antibody designed to simultaneously inhibit the clinically validated TL1A and IL-23p19 pathways for the treatment of inflammatory bowel disease (IBD) and other immune-mediated diseases. By combining both mechanisms in one molecule, CLD-423 has the potential to deliver greater efficacy than single-targeted standards of care. CLD-423 was rationally designed with a natural IgG structure and a monovalent 1+1 format to reduce TL1A target-based immunogenicity liabilities. In addition, CLD-423 incorporates the YTE half-life extension mutation to enable a competitive dosing profile. </w:t>
      </w:r>
    </w:p>
    <w:p>
      <w:pPr>
        <w:pStyle w:val="TextBody"/>
        <w:bidi w:val="0"/>
        <w:spacing w:before="240" w:after="0"/>
        <w:jc w:val="left"/>
        <w:rPr>
          <w:rFonts w:ascii="Times New Roman" w:hAnsi="Times New Roman"/>
          <w:sz w:val="20"/>
        </w:rPr>
      </w:pPr>
      <w:r>
        <w:rPr>
          <w:rFonts w:ascii="Times New Roman" w:hAnsi="Times New Roman"/>
          <w:sz w:val="20"/>
        </w:rPr>
        <w:t xml:space="preserve">CLD-423 is currently being evaluated in a Phase 1 healthy volunteer clinical trial in Australia. The trial commenced in January 2026 and has completed dosing. Unblinded data from the first four single ascending dose (SAD) cohorts through 85 days (cohorts 1 and 2) and 57 days (cohorts 3 and 4) support trial objectives and provide a strong foundation for future efficacy trials. In these SAD cohorts, CLD-423 was generally well tolerated with no dose-limiting toxicities. CLD-423 demonstrated a favorable pharmacokinetic (PK) profile, with approximately dose-proportional exposure, a serum half-life exceeding 40 days within the anticipated therapeutic exposure range, and approximately 80% subcutaneous bioavailability. These properties support the potential for a convenient maintenance dosing regimen of once every 8 or 12 weeks in IBD patients. CLD-423 demonstrated rapid and sustained TL1A target engagement as measured by inhibition of pNF-kB signaling in whole blood. Anti-drug antibody (ADA) incidence was low in the SAD cohorts, with late onset and low titers, reflecting a favorable immunogenicity profile consistent with well-behaved therapeutic antibodies and not characteristic of bivalent anti-TL1A antibodies. Caldera expects to report additional data from all five SAD cohorts and data from the multiple-dose cohorts later in 2026. </w:t>
      </w:r>
    </w:p>
    <w:p>
      <w:pPr>
        <w:pStyle w:val="TextBody"/>
        <w:bidi w:val="0"/>
        <w:spacing w:before="240" w:after="0"/>
        <w:jc w:val="left"/>
        <w:rPr>
          <w:rFonts w:ascii="Times New Roman" w:hAnsi="Times New Roman"/>
          <w:sz w:val="20"/>
        </w:rPr>
      </w:pPr>
      <w:r>
        <w:rPr>
          <w:rFonts w:ascii="Times New Roman" w:hAnsi="Times New Roman"/>
          <w:sz w:val="20"/>
        </w:rPr>
        <w:t xml:space="preserve">Caldera holds exclusive worldwide rights to develop and commercialize CLD-423 under a license agreement with Qyuns Therapeutics Co., Ltd. Caldera plans to initially develop CLD-423 in ulcerative colitis and Crohn’s disease before potentially expanding into additional immune-mediated diseases.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Proposed Transaction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as of the closing of the proposed merger, pre-merger Synlogic stockholders are expected to own approximately 2.3% of the combined company, pre-merger Caldera stockholders are expected to own approximately 62.8% of the combined company, and investors participating in the concurrent private placement are expected to own approximately 34.9% of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percentage ownership of the combined company that Synlogic stockholders will own as of the closing of the proposed merger is subject to adjustment based on the estimated amount of Synlogic’s net cash immediately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has been approved by the Board of Directors of both companies and is expected to close by early 2027, subject to the satisfaction of customary closing conditions, including, among others, approval by the stockholders of each company, the effectiveness of a registration statement to be filed with the U.S. Securities and Exchange Commission (“SEC”) to register the securities to be issued in connection with the proposed acquisitions of Caldera and Synlogic and the satisfaction of other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the combined company will operate under the name Caldera Therapeutics, Inc. and intends to apply to trade on the Nasdaq Capital Market under the ticker symbol “CALD.” The combined company will be led by Praveen Tipirneni, MD, MBA, Caldera’s current Chief Executive Officer. Caldera’s Board of Directors will become the directors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Lucid Capital Markets is serving as exclusive financial advisor to Synlogic, and Mintz, Levin, Cohn, Ferris, Glovsky and Popeo, P.C. is serving as legal counsel to Synlogic. </w:t>
      </w:r>
    </w:p>
    <w:p>
      <w:pPr>
        <w:pStyle w:val="TextBody"/>
        <w:bidi w:val="0"/>
        <w:spacing w:before="240" w:after="0"/>
        <w:jc w:val="left"/>
        <w:rPr>
          <w:rFonts w:ascii="Times New Roman" w:hAnsi="Times New Roman"/>
          <w:sz w:val="20"/>
        </w:rPr>
      </w:pPr>
      <w:r>
        <w:rPr>
          <w:rFonts w:ascii="Times New Roman" w:hAnsi="Times New Roman"/>
          <w:sz w:val="20"/>
        </w:rPr>
        <w:t xml:space="preserve">Jefferies, TD Cowen, Guggenheim Securities, UBS Investment Bank, and LifeSci Capital are serving as placement agents to Caldera. Fenwick &amp; West LLP is serving as legal counsel to Caldera. Cooley LLP is serving as legal counsel to the placement agents. </w:t>
      </w:r>
    </w:p>
    <w:p>
      <w:pPr>
        <w:pStyle w:val="TextBody"/>
        <w:bidi w:val="0"/>
        <w:spacing w:before="360" w:after="0"/>
        <w:jc w:val="left"/>
        <w:rPr>
          <w:rFonts w:ascii="Times New Roman" w:hAnsi="Times New Roman"/>
          <w:b/>
          <w:sz w:val="20"/>
        </w:rPr>
      </w:pPr>
      <w:r>
        <w:rPr>
          <w:rFonts w:ascii="Times New Roman" w:hAnsi="Times New Roman"/>
          <w:b/>
          <w:sz w:val="20"/>
        </w:rPr>
        <w:t xml:space="preserve">About Caldera Therapeutics, Inc. </w:t>
      </w:r>
    </w:p>
    <w:p>
      <w:pPr>
        <w:pStyle w:val="TextBody"/>
        <w:bidi w:val="0"/>
        <w:spacing w:before="120" w:after="0"/>
        <w:jc w:val="left"/>
        <w:rPr>
          <w:rFonts w:ascii="Times New Roman" w:hAnsi="Times New Roman"/>
          <w:sz w:val="20"/>
        </w:rPr>
      </w:pPr>
      <w:r>
        <w:rPr>
          <w:rFonts w:ascii="Times New Roman" w:hAnsi="Times New Roman"/>
          <w:sz w:val="20"/>
        </w:rPr>
        <w:t xml:space="preserve">Caldera Therapeutics is a clinical-stage company developing CLD-423, a potential first-in-class bispecific antibody targeting the clinically validated IL-23p19 and TL1A pathways for the treatment of inflammatory bowel disease (IBD) and other immune-mediated diseases. Caldera has assembled a senior leadership team with deep experience in the discovery and development of IBD therapeutics and a proven track record of building biotechnology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About Synlogic </w:t>
      </w:r>
    </w:p>
    <w:p>
      <w:pPr>
        <w:pStyle w:val="TextBody"/>
        <w:bidi w:val="0"/>
        <w:spacing w:before="120" w:after="0"/>
        <w:jc w:val="left"/>
        <w:rPr>
          <w:rFonts w:ascii="Times New Roman" w:hAnsi="Times New Roman"/>
          <w:sz w:val="20"/>
        </w:rPr>
      </w:pPr>
      <w:r>
        <w:rPr>
          <w:rFonts w:ascii="Times New Roman" w:hAnsi="Times New Roman"/>
          <w:sz w:val="20"/>
        </w:rPr>
        <w:t xml:space="preserve">Synlogic is a biopharmaceutical company historically focused on advancing novel therapeutics to transform the care of serious disease in need of new treatment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between Caldera and Synlogic, Synlogic and the newly formed company will file relevant materials with the SEC. The newly formed company will file a registration statement on Form S-4 that will include a proxy statement and prospectus relating to the proposed transaction, which will constitute a proxy statement of Synlogic and a prospectus of the newly formed company (the “Prospectus”). Synlogic and the newly formed company may also file other documents with the SEC regarding the proposed transaction. These documents are not a substitute for the Prospectus or any other document which Synlogic or the newly formed company may file with the SEC or send to stockholders of Synlogic or Caldera in connection with the proposed transaction. The Prospectus will be mailed to Synlogic’s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OF SYNLOGIC AND CALDERA ARE URGED TO READ THE PROSPECTUS AND ANY OTHER RELEVANT DOCUMENTS FILED OR THAT WILL BE FILED WITH THE SEC CAREFULLY AND IN THEIR ENTIRETY BECAUSE THEY WILL CONTAIN IMPORTANT INFORMATION REGARDING SYNLOGIC, CALDERA, AND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will be able to obtain free copies of the registration statement and the Prospectus (when available) and other documents filed with the SEC by Synlogic or the newly formed company through the website maintained by the SEC at www.sec.gov. Copies of the documents filed with the SEC by Synlogic will be available free of charge on Synlogic’s website at www.synlogictx.com.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not intended to constitute, and shall not constitute, an offer to subscribe for, buy or sell, or the solicitation of an offer to subscribe, buy, or sell, any securities of Caldera, Synlogic, or the combined company, or the solicitation of any vote or approval in any jurisdiction for the proposed merger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 and otherwise in accordance with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a solicitation of a proxy from any security holder of Synlogic or Caldera. However, Synlogic and Caldera and each of their respective directors and executive officers may be considered participants in the solicitation of proxies in connection with the proposed transaction. Information about the directors and executive officers of Synlogic may be found in its Annual Report on Form 10-K for the year ended December 31, 2025, which was filed with the SEC on March 12, 2026 and its Amendment to its Annual Report on Form 10-K for the year ended December 31, 2025, which was filed with the SEC on April 30, 2026. Other information regarding the participants in the proxy solicitations and a description of their direct and indirect interests, by security holdings or otherwise, will be contained in the Prospectus and other relevant materials to be filed with the SEC when they become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including, among others, statements regarding the expected timing of the closing of the transaction; the potential benefits of the proposed transaction; the prospective performance and outlook of the combined company’s business, performance and opportunities; the ability of the parties to complete the proposed transaction; the competitive position of the combined company; the expected post-closing ownership of the combined company; the expected management team and Board of Directors of the combined company; the combined company’s expected cash at closing and cash runway; the therapeutic potential of CLD-423 and its safety, tolerability, pharmacokinetic, pharmacodynamic and immunogenicity profile, including the anticipated benefits of its design; the interpretation and significance of interim and preliminary data from Caldera’s ongoing and planned clinical trials of CLD-423; the estimated half-life of CLD-423 and its potential for extended subcutaneous maintenance dosing; the design, timing, initiation, enrollment, endpoints and anticipated results of Caldera’s current and planned clinical trials and preclinical studies, and the timing of related regulatory submissions and interactions with applicable regulatory authorities; the potential of CLD-423 in inflammatory bowel disease and other indications, and the size of the associated market and patient population opportunities; and Caldera’s clinical development plans, strategy and timelines; as well as any assumptions underlying any of the foregoing. The words “believe,” “may,” “will,” “estimate,” “continue,” “anticipate,” “intend,” “expect,” and similar expressions are intended to identify forward-looking statements. These forward-looking statements are subject to risks, uncertainties, and assumptions.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ability to obtain the requisite approval from stockholders of Synlogic and Caldera; (ii) the risk that the proposed transaction may not be completed in a timely manner or at all; (iii) the possibility that competing offers or acquisition proposals will be made; (iv) the possibility that any or all of the various conditions to the consummation of the proposed transaction may not be satisfied or waived, including the failure to receive any required regulatory approvals from any applicable governmental entities; (v) the occurrence of any event, change or other circumstance that could give rise to the termination of the merger agreement, including in circumstances that would require either party to pay a termination fee or other expenses; (vi) the effect of the pendency of the proposed transaction on the parties’ ability to retain and hire key personnel, their ability to maintain relationships with customers, suppliers and others with whom they do business, their business generally or their stock price; (vii) risks related to diverting management’s attention from ongoing business operations or the loss of one or more members of the management team; (viii) the risk that stockholder litigation in connection with the proposed transaction may result in significant costs of defense, indemnification and liability; (ix) the parties’ ability to realize the anticipated benefits of the proposed transaction; (x) the risk that the parties may assume unexpected liabilities and expenses as a result of the transaction; (xi) uncertainties as to Caldera’s anticipated preclinical and clinical drug development activities and related timelines, including the expected timing for commencing clinical trials and announcing data and other clinical results; (xii) the risk that interim, preliminary or topline clinical data may change as additional data become available, and that early clinical results may not be predictive of results in later-stage clinical trials or in patients; and (xiii) uncertainties regarding the safety, efficacy,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immunogenicity, pharmacokinetic profile and regulatory path of CLD-423, including interactions with and approvals from applicable regulatory authorities. For information regarding other related risks, see the “Risk Factors” section of Synlogic’s Annual Report on Form 10-K for the year ended December 31, 2025, filed with the SEC on March 12, 2026, as amended on April 30, 2026, Synlogic’s most recent Quarterly Report on Form 10-Q and Synlogic’s other filings with the SEC. Should any of these risks or uncertainties materialize, actual results could differ materially from expectations. These forward-looking statements speak only as of the date hereof. Neither Synlogic nor Caldera assumes any obligation to, and does not currently intend to, update any such forward-looking statements except as may be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For Caldera Therapeutics Inquiries: </w:t>
      </w:r>
    </w:p>
    <w:p>
      <w:pPr>
        <w:pStyle w:val="TextBody"/>
        <w:bidi w:val="0"/>
        <w:spacing w:before="120" w:after="0"/>
        <w:jc w:val="left"/>
        <w:rPr>
          <w:rFonts w:ascii="Times New Roman" w:hAnsi="Times New Roman"/>
          <w:sz w:val="20"/>
        </w:rPr>
      </w:pPr>
      <w:r>
        <w:rPr>
          <w:rFonts w:ascii="Times New Roman" w:hAnsi="Times New Roman"/>
          <w:sz w:val="20"/>
        </w:rPr>
        <w:t xml:space="preserve">Lauren Arnold </w:t>
      </w:r>
    </w:p>
    <w:p>
      <w:pPr>
        <w:pStyle w:val="TextBody"/>
        <w:bidi w:val="0"/>
        <w:spacing w:before="0" w:after="0"/>
        <w:jc w:val="left"/>
        <w:rPr>
          <w:rFonts w:ascii="Times New Roman" w:hAnsi="Times New Roman"/>
          <w:sz w:val="20"/>
        </w:rPr>
      </w:pPr>
      <w:r>
        <w:rPr>
          <w:rFonts w:ascii="Times New Roman" w:hAnsi="Times New Roman"/>
          <w:sz w:val="20"/>
        </w:rPr>
        <w:t xml:space="preserve">LA Communications </w:t>
      </w:r>
    </w:p>
    <w:p>
      <w:pPr>
        <w:pStyle w:val="TextBody"/>
        <w:bidi w:val="0"/>
        <w:spacing w:before="0" w:after="0"/>
        <w:jc w:val="left"/>
        <w:rPr>
          <w:rFonts w:ascii="Times New Roman" w:hAnsi="Times New Roman"/>
          <w:sz w:val="20"/>
        </w:rPr>
      </w:pPr>
      <w:r>
        <w:rPr>
          <w:rFonts w:ascii="Times New Roman" w:hAnsi="Times New Roman"/>
          <w:sz w:val="20"/>
        </w:rPr>
        <w:t xml:space="preserve">Lauren@LaCommunications.net </w:t>
      </w:r>
    </w:p>
    <w:p>
      <w:pPr>
        <w:pStyle w:val="TextBody"/>
        <w:bidi w:val="0"/>
        <w:spacing w:before="240" w:after="0"/>
        <w:jc w:val="left"/>
        <w:rPr>
          <w:rFonts w:ascii="Times New Roman" w:hAnsi="Times New Roman"/>
          <w:b/>
          <w:sz w:val="20"/>
        </w:rPr>
      </w:pPr>
      <w:r>
        <w:rPr>
          <w:rFonts w:ascii="Times New Roman" w:hAnsi="Times New Roman"/>
          <w:b/>
          <w:sz w:val="20"/>
        </w:rPr>
        <w:t xml:space="preserve">For Synlogic Inquiries: </w:t>
      </w:r>
    </w:p>
    <w:p>
      <w:pPr>
        <w:pStyle w:val="TextBody"/>
        <w:bidi w:val="0"/>
        <w:spacing w:before="120" w:after="0"/>
        <w:jc w:val="left"/>
        <w:rPr>
          <w:rFonts w:ascii="Times New Roman" w:hAnsi="Times New Roman"/>
          <w:sz w:val="20"/>
        </w:rPr>
      </w:pPr>
      <w:r>
        <w:rPr>
          <w:rFonts w:ascii="Times New Roman" w:hAnsi="Times New Roman"/>
          <w:sz w:val="20"/>
        </w:rPr>
        <w:t xml:space="preserve">info@synlogictx.com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212</Pages>
  <Words>113554</Words>
  <Characters>614287</Characters>
  <CharactersWithSpaces>728399</CharactersWithSpaces>
  <Paragraphs>3522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