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40" w:hanging="492"/>
        <w:spacing w:after="0" w:line="243"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ind w:left="500" w:hanging="492"/>
        <w:spacing w:after="0" w:line="189" w:lineRule="auto"/>
        <w:tabs>
          <w:tab w:leader="none" w:pos="5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w:t>
      </w:r>
    </w:p>
    <w:p>
      <w:pPr>
        <w:spacing w:after="0" w:line="220" w:lineRule="exact"/>
        <w:rPr>
          <w:sz w:val="24"/>
          <w:szCs w:val="24"/>
          <w:color w:val="auto"/>
        </w:rPr>
      </w:pPr>
    </w:p>
    <w:p>
      <w:pPr>
        <w:ind w:left="500"/>
        <w:spacing w:after="0"/>
        <w:tabs>
          <w:tab w:leader="none" w:pos="568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53"/>
        </w:trPr>
        <w:tc>
          <w:tcPr>
            <w:tcW w:w="7880" w:type="dxa"/>
            <w:vAlign w:val="bottom"/>
            <w:gridSpan w:val="6"/>
          </w:tcPr>
          <w:p>
            <w:pPr>
              <w:jc w:val="center"/>
              <w:ind w:right="270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1700"/>
              <w:spacing w:after="0" w:line="153"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6"/>
                <w:szCs w:val="16"/>
                <w:color w:val="auto"/>
                <w:w w:val="94"/>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ind w:right="2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5, 2021, there were 52,373,311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46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58"/>
        </w:trPr>
        <w:tc>
          <w:tcPr>
            <w:tcW w:w="1022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10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996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0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Balance Sheets</w:t>
              </w:r>
            </w:hyperlink>
          </w:p>
        </w:tc>
        <w:tc>
          <w:tcPr>
            <w:tcW w:w="674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and Comprehensive Loss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w:t>
              </w:r>
            </w:hyperlink>
          </w:p>
        </w:tc>
        <w:tc>
          <w:tcPr>
            <w:tcW w:w="1120" w:type="dxa"/>
            <w:vAlign w:val="bottom"/>
            <w:tcBorders>
              <w:top w:val="single" w:sz="8" w:color="0000EE"/>
            </w:tcBorders>
            <w:gridSpan w:val="3"/>
          </w:tcPr>
          <w:p>
            <w:pPr>
              <w:spacing w:after="0"/>
              <w:rPr>
                <w:sz w:val="24"/>
                <w:szCs w:val="24"/>
                <w:color w:val="auto"/>
              </w:rPr>
            </w:pPr>
          </w:p>
        </w:tc>
        <w:tc>
          <w:tcPr>
            <w:tcW w:w="41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596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568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6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 Results of Operations</w:t>
              </w:r>
            </w:hyperlink>
          </w:p>
        </w:tc>
        <w:tc>
          <w:tcPr>
            <w:tcW w:w="29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260" w:type="dxa"/>
            <w:vAlign w:val="bottom"/>
          </w:tcPr>
          <w:p>
            <w:pPr>
              <w:spacing w:after="0"/>
              <w:rPr>
                <w:sz w:val="24"/>
                <w:szCs w:val="24"/>
                <w:color w:val="auto"/>
              </w:rPr>
            </w:pPr>
          </w:p>
        </w:tc>
        <w:tc>
          <w:tcPr>
            <w:tcW w:w="99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 Quantitative and Qualitative Disclosures about Market Risk</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 Controls and Procedures</w:t>
              </w:r>
            </w:hyperlink>
          </w:p>
        </w:tc>
        <w:tc>
          <w:tcPr>
            <w:tcW w:w="2500" w:type="dxa"/>
            <w:vAlign w:val="bottom"/>
            <w:tcBorders>
              <w:top w:val="single" w:sz="8" w:color="0000EE"/>
            </w:tcBorders>
            <w:gridSpan w:val="6"/>
          </w:tcPr>
          <w:p>
            <w:pPr>
              <w:spacing w:after="0"/>
              <w:rPr>
                <w:sz w:val="24"/>
                <w:szCs w:val="24"/>
                <w:color w:val="auto"/>
              </w:rPr>
            </w:pPr>
          </w:p>
        </w:tc>
        <w:tc>
          <w:tcPr>
            <w:tcW w:w="510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58"/>
        </w:trPr>
        <w:tc>
          <w:tcPr>
            <w:tcW w:w="1022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10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806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836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60" w:type="dxa"/>
            <w:vAlign w:val="bottom"/>
          </w:tcPr>
          <w:p>
            <w:pPr>
              <w:spacing w:after="0"/>
              <w:rPr>
                <w:sz w:val="24"/>
                <w:szCs w:val="24"/>
                <w:color w:val="auto"/>
              </w:rPr>
            </w:pPr>
          </w:p>
        </w:tc>
        <w:tc>
          <w:tcPr>
            <w:tcW w:w="996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 Unregistered Sales of Equity Securities and Use of Proceeds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260" w:type="dxa"/>
            <w:vAlign w:val="bottom"/>
          </w:tcPr>
          <w:p>
            <w:pPr>
              <w:spacing w:after="0"/>
              <w:rPr>
                <w:sz w:val="24"/>
                <w:szCs w:val="24"/>
                <w:color w:val="auto"/>
              </w:rPr>
            </w:pPr>
          </w:p>
        </w:tc>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3. Defaults Upon Senior Securities</w:t>
              </w:r>
            </w:hyperlink>
          </w:p>
        </w:tc>
        <w:tc>
          <w:tcPr>
            <w:tcW w:w="506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2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4"/>
                <w:szCs w:val="24"/>
                <w:color w:val="auto"/>
              </w:rPr>
            </w:pPr>
          </w:p>
        </w:tc>
        <w:tc>
          <w:tcPr>
            <w:tcW w:w="708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26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5. Other Information</w:t>
              </w:r>
            </w:hyperlink>
          </w:p>
        </w:tc>
        <w:tc>
          <w:tcPr>
            <w:tcW w:w="8080" w:type="dxa"/>
            <w:vAlign w:val="bottom"/>
            <w:gridSpan w:val="13"/>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260" w:type="dxa"/>
            <w:vAlign w:val="bottom"/>
          </w:tcPr>
          <w:p>
            <w:pPr>
              <w:spacing w:after="0"/>
              <w:rPr>
                <w:sz w:val="24"/>
                <w:szCs w:val="24"/>
                <w:color w:val="auto"/>
              </w:rPr>
            </w:pPr>
          </w:p>
        </w:tc>
        <w:tc>
          <w:tcPr>
            <w:tcW w:w="996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6. 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26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880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215"/>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122,681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 - operating lease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156,884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2,121</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500"/>
              <w:spacing w:after="0"/>
              <w:rPr>
                <w:sz w:val="20"/>
                <w:szCs w:val="20"/>
                <w:color w:val="auto"/>
              </w:rPr>
            </w:pPr>
            <w:r>
              <w:rPr>
                <w:rFonts w:ascii="Arial" w:cs="Arial" w:eastAsia="Arial" w:hAnsi="Arial"/>
                <w:sz w:val="18"/>
                <w:szCs w:val="18"/>
                <w:color w:val="auto"/>
              </w:rPr>
              <w:t>250,000,000 shares authorized as of June 30, 2021 and December 31, 2020.</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color w:val="auto"/>
              </w:rPr>
              <w:t>52,375,344 shares issued and outstanding as of June 30, 2021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640"/>
              <w:spacing w:after="0"/>
              <w:rPr>
                <w:sz w:val="20"/>
                <w:szCs w:val="20"/>
                <w:color w:val="auto"/>
              </w:rPr>
            </w:pPr>
            <w:r>
              <w:rPr>
                <w:rFonts w:ascii="Arial" w:cs="Arial" w:eastAsia="Arial" w:hAnsi="Arial"/>
                <w:sz w:val="18"/>
                <w:szCs w:val="18"/>
                <w:color w:val="auto"/>
              </w:rPr>
              <w:t>38,183,273 shares issued and outstanding as of December 31, 2020.</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387,782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(259,767)</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(230,311)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128,078</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156,884</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6"/>
              </w:rPr>
              <w:t>June 30, 2021</w:t>
            </w: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(15,535)</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(29,456)</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2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5"/>
              </w:rPr>
              <w:t>Weighted-average common stock outstanding - basic and diluted</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52,049,424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34,967,761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46,876,216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34,604,738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(14,485)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(15,535)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(29,456)</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(31,363)</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unrealized (loss) gain on marketable securities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8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02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$0.001 par value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80" w:type="dxa"/>
            <w:vAlign w:val="bottom"/>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3"/>
                <w:szCs w:val="13"/>
                <w:color w:val="auto"/>
              </w:rPr>
            </w:pPr>
          </w:p>
        </w:tc>
        <w:tc>
          <w:tcPr>
            <w:tcW w:w="1020" w:type="dxa"/>
            <w:vAlign w:val="bottom"/>
            <w:gridSpan w:val="2"/>
          </w:tcPr>
          <w:p>
            <w:pPr>
              <w:jc w:val="center"/>
              <w:ind w:right="19"/>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2"/>
              </w:rPr>
              <w:t>deficit</w:t>
            </w:r>
          </w:p>
        </w:tc>
        <w:tc>
          <w:tcPr>
            <w:tcW w:w="720" w:type="dxa"/>
            <w:vAlign w:val="bottom"/>
          </w:tcPr>
          <w:p>
            <w:pPr>
              <w:jc w:val="right"/>
              <w:ind w:right="139"/>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Borders>
              <w:top w:val="single" w:sz="8" w:color="auto"/>
            </w:tcBorders>
            <w:gridSpan w:val="8"/>
          </w:tcPr>
          <w:p>
            <w:pPr>
              <w:jc w:val="center"/>
              <w:ind w:right="19"/>
              <w:spacing w:after="0"/>
              <w:rPr>
                <w:sz w:val="20"/>
                <w:szCs w:val="20"/>
                <w:color w:val="auto"/>
              </w:rPr>
            </w:pPr>
            <w:r>
              <w:rPr>
                <w:rFonts w:ascii="Arial" w:cs="Arial" w:eastAsia="Arial" w:hAnsi="Arial"/>
                <w:sz w:val="16"/>
                <w:szCs w:val="16"/>
                <w:b w:val="1"/>
                <w:bCs w:val="1"/>
                <w:color w:val="auto"/>
                <w:w w:val="92"/>
              </w:rPr>
              <w:t>For the Three Months Ended June 30, 2021</w:t>
            </w: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2021</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40,873,526</w:t>
            </w: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354,286</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(245,282)</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$ 109,050</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11,500,000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32,564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32,575</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Exercise of options</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31,897</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w w:val="97"/>
              </w:rPr>
              <w:t>Restricted stock awards withheld for payment of employees' withholding</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6"/>
                <w:szCs w:val="16"/>
                <w:color w:val="auto"/>
              </w:rPr>
              <w:t>tax liability</w:t>
            </w:r>
          </w:p>
        </w:tc>
        <w:tc>
          <w:tcPr>
            <w:tcW w:w="980" w:type="dxa"/>
            <w:vAlign w:val="bottom"/>
          </w:tcPr>
          <w:p>
            <w:pPr>
              <w:jc w:val="right"/>
              <w:spacing w:after="0"/>
              <w:rPr>
                <w:sz w:val="20"/>
                <w:szCs w:val="20"/>
                <w:color w:val="auto"/>
              </w:rPr>
            </w:pPr>
            <w:r>
              <w:rPr>
                <w:rFonts w:ascii="Arial" w:cs="Arial" w:eastAsia="Arial" w:hAnsi="Arial"/>
                <w:sz w:val="16"/>
                <w:szCs w:val="16"/>
                <w:color w:val="auto"/>
              </w:rPr>
              <w:t>(2,217)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Cancellation of restricted stock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(27,862)</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(loss) on securities</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w:t>
            </w: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w:t>
            </w: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Balance at June 30, 2021</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52,375,344</w:t>
            </w: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387,782</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(259,767)</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$ 128,078</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auto"/>
              <w:bottom w:val="single" w:sz="8" w:color="auto"/>
            </w:tcBorders>
            <w:gridSpan w:val="8"/>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8"/>
          </w:tcPr>
          <w:p>
            <w:pPr>
              <w:jc w:val="center"/>
              <w:ind w:right="19"/>
              <w:spacing w:after="0"/>
              <w:rPr>
                <w:sz w:val="20"/>
                <w:szCs w:val="20"/>
                <w:color w:val="auto"/>
              </w:rPr>
            </w:pPr>
            <w:r>
              <w:rPr>
                <w:rFonts w:ascii="Arial" w:cs="Arial" w:eastAsia="Arial" w:hAnsi="Arial"/>
                <w:sz w:val="16"/>
                <w:szCs w:val="16"/>
                <w:b w:val="1"/>
                <w:bCs w:val="1"/>
                <w:color w:val="auto"/>
                <w:w w:val="92"/>
              </w:rPr>
              <w:t>For the Three Months Ended June 30, 2020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Balance at March 31, 2020</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32,459,394</w:t>
            </w: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328,995</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(186,966)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$ 142,117</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Proceeds from issuance of common stock in connection with ATM</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6"/>
                <w:szCs w:val="16"/>
                <w:color w:val="auto"/>
              </w:rPr>
              <w:t>offering, net of issuance costs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1,778,982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Cancellation of restricted stock</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(93,265)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(loss) on securities</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(15,535)</w:t>
            </w: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(15,535)</w:t>
            </w: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Balance at June 30, 2020</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34,145,111</w:t>
            </w: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34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333,925</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(202,501)</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$ 131,672</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gridSpan w:val="7"/>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7"/>
          </w:tcPr>
          <w:p>
            <w:pPr>
              <w:jc w:val="center"/>
              <w:ind w:right="119"/>
              <w:spacing w:after="0"/>
              <w:rPr>
                <w:sz w:val="20"/>
                <w:szCs w:val="20"/>
                <w:color w:val="auto"/>
              </w:rPr>
            </w:pPr>
            <w:r>
              <w:rPr>
                <w:rFonts w:ascii="Arial" w:cs="Arial" w:eastAsia="Arial" w:hAnsi="Arial"/>
                <w:sz w:val="16"/>
                <w:szCs w:val="16"/>
                <w:b w:val="1"/>
                <w:bCs w:val="1"/>
                <w:color w:val="auto"/>
                <w:w w:val="91"/>
              </w:rPr>
              <w:t>For the Six Months Ended June 30, 2021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38,183,273</w:t>
            </w: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345,394</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(230,311)</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$ 115,135</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Proceeds from issuance of common stock in connection with ATM</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6"/>
                <w:szCs w:val="16"/>
                <w:color w:val="auto"/>
              </w:rPr>
              <w:t>offering, net of issuance costs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2,447,211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8,047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11,500,000</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32,564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32,575</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Exercise of options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32,113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stock</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242,454</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Issuance of common stock under employee stock purchase plan</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19,061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w w:val="97"/>
              </w:rPr>
              <w:t>Restricted stock awards withheld for payment of employees' withholding</w:t>
            </w: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tax liability</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(18,187)</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Cancellation of restricted stock</w:t>
            </w:r>
          </w:p>
        </w:tc>
        <w:tc>
          <w:tcPr>
            <w:tcW w:w="980" w:type="dxa"/>
            <w:vAlign w:val="bottom"/>
          </w:tcPr>
          <w:p>
            <w:pPr>
              <w:jc w:val="right"/>
              <w:spacing w:after="0"/>
              <w:rPr>
                <w:sz w:val="20"/>
                <w:szCs w:val="20"/>
                <w:color w:val="auto"/>
              </w:rPr>
            </w:pPr>
            <w:r>
              <w:rPr>
                <w:rFonts w:ascii="Arial" w:cs="Arial" w:eastAsia="Arial" w:hAnsi="Arial"/>
                <w:sz w:val="16"/>
                <w:szCs w:val="16"/>
                <w:color w:val="auto"/>
              </w:rPr>
              <w:t>(30,581)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Equity-based compensation expense</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1,753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1,753</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Unrealized gain (loss) on securities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(29,456)</w:t>
            </w: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(29,456)</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Balance at June 30, 2021</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52,375,344</w:t>
            </w:r>
          </w:p>
        </w:tc>
        <w:tc>
          <w:tcPr>
            <w:tcW w:w="80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387,782</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(259,767)</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$ 128,078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7"/>
          </w:tcPr>
          <w:p>
            <w:pPr>
              <w:jc w:val="center"/>
              <w:ind w:right="119"/>
              <w:spacing w:after="0"/>
              <w:rPr>
                <w:sz w:val="20"/>
                <w:szCs w:val="20"/>
                <w:color w:val="auto"/>
              </w:rPr>
            </w:pPr>
            <w:r>
              <w:rPr>
                <w:rFonts w:ascii="Arial" w:cs="Arial" w:eastAsia="Arial" w:hAnsi="Arial"/>
                <w:sz w:val="16"/>
                <w:szCs w:val="16"/>
                <w:b w:val="1"/>
                <w:bCs w:val="1"/>
                <w:color w:val="auto"/>
                <w:w w:val="91"/>
              </w:rPr>
              <w:t>For the Six Months Ended June 30, 2020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32,266,814</w:t>
            </w: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327,900</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w:t>
            </w: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(171,138)</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$ 156,905</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Proceeds from issuance of common stock in connection with ATM</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Arial" w:cs="Arial" w:eastAsia="Arial" w:hAnsi="Arial"/>
                <w:sz w:val="16"/>
                <w:szCs w:val="16"/>
                <w:color w:val="auto"/>
              </w:rPr>
              <w:t>offering, net of issuance costs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1,778,982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Issuance of restricted stock</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226,335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Cancellation of restricted stock</w:t>
            </w:r>
          </w:p>
        </w:tc>
        <w:tc>
          <w:tcPr>
            <w:tcW w:w="980" w:type="dxa"/>
            <w:vAlign w:val="bottom"/>
          </w:tcPr>
          <w:p>
            <w:pPr>
              <w:jc w:val="right"/>
              <w:spacing w:after="0"/>
              <w:rPr>
                <w:sz w:val="20"/>
                <w:szCs w:val="20"/>
                <w:color w:val="auto"/>
              </w:rPr>
            </w:pPr>
            <w:r>
              <w:rPr>
                <w:rFonts w:ascii="Arial" w:cs="Arial" w:eastAsia="Arial" w:hAnsi="Arial"/>
                <w:sz w:val="16"/>
                <w:szCs w:val="16"/>
                <w:color w:val="auto"/>
              </w:rPr>
              <w:t>(127,020)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Equity-based compensation expense</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Unrealized gain (loss) on securities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(31,363)</w:t>
            </w:r>
          </w:p>
        </w:tc>
        <w:tc>
          <w:tcPr>
            <w:tcW w:w="1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(31,363)</w:t>
            </w:r>
          </w:p>
        </w:tc>
        <w:tc>
          <w:tcPr>
            <w:tcW w:w="0" w:type="dxa"/>
            <w:vAlign w:val="bottom"/>
          </w:tcPr>
          <w:p>
            <w:pPr>
              <w:spacing w:after="0"/>
              <w:rPr>
                <w:sz w:val="1"/>
                <w:szCs w:val="1"/>
                <w:color w:val="auto"/>
              </w:rPr>
            </w:pPr>
          </w:p>
        </w:tc>
      </w:tr>
      <w:tr>
        <w:trPr>
          <w:trHeight w:val="207"/>
        </w:trPr>
        <w:tc>
          <w:tcPr>
            <w:tcW w:w="5000" w:type="dxa"/>
            <w:vAlign w:val="bottom"/>
          </w:tcPr>
          <w:p>
            <w:pPr>
              <w:spacing w:after="0"/>
              <w:rPr>
                <w:sz w:val="20"/>
                <w:szCs w:val="20"/>
                <w:color w:val="auto"/>
              </w:rPr>
            </w:pPr>
            <w:r>
              <w:rPr>
                <w:rFonts w:ascii="Arial" w:cs="Arial" w:eastAsia="Arial" w:hAnsi="Arial"/>
                <w:sz w:val="16"/>
                <w:szCs w:val="16"/>
                <w:color w:val="auto"/>
              </w:rPr>
              <w:t>Balance at June 30, 2020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34,145,111</w:t>
            </w:r>
          </w:p>
        </w:tc>
        <w:tc>
          <w:tcPr>
            <w:tcW w:w="80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333,925</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(202,501)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$ 131,672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7" w:right="339" w:bottom="1440" w:gutter="0" w:footer="0" w:header="0"/>
        </w:sectPr>
      </w:pPr>
    </w:p>
    <w:p>
      <w:pPr>
        <w:spacing w:after="0" w:line="298" w:lineRule="exact"/>
        <w:rPr>
          <w:sz w:val="20"/>
          <w:szCs w:val="20"/>
          <w:color w:val="auto"/>
        </w:rPr>
      </w:pPr>
    </w:p>
    <w:p>
      <w:pPr>
        <w:jc w:val="center"/>
        <w:ind w:left="792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13970</wp:posOffset>
            </wp:positionV>
            <wp:extent cx="986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6"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13970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6"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sectPr>
          <w:pgSz w:w="11900" w:h="16838" w:orient="portrait"/>
          <w:cols w:equalWidth="0" w:num="2">
            <w:col w:w="9060" w:space="700"/>
            <w:col w:w="14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(29,456)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(31,363)</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29"/>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 of use asset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8,849</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(2,524)</w:t>
            </w:r>
          </w:p>
        </w:tc>
      </w:tr>
      <w:tr>
        <w:trPr>
          <w:trHeight w:val="230"/>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w:t>
            </w: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(1,264)</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(25,321)</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(74,010)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(35,744)</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54,272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43,732</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32,578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Proceeds from issuance of common stock in connection with at-the-market offering, net of issuance</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8,050</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3,856</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employee withholding taxes relating to restricted stock awards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40,649</w:t>
            </w:r>
          </w:p>
        </w:tc>
        <w:tc>
          <w:tcPr>
            <w:tcW w:w="3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33,604</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27,281</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Assets acquired under operating lease obligation</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under finance lease</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Issuance costs included in accounts payable and accrued expenses</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44"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Synlogic, Inc., together with its wholly owned and consolidated subsidiaries (“Synlogic” or the “Company”), is a clinical-stage biopharmaceutical company focused on the drug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or compensate for missing or damaged metabolic pathways. Synlogic’s goal is to discover, develop and ultimately commercialize Synthetic Biotic medicines. Since incorporation, the Company has devoted substantially all of its efforts to the research and development of its product candidates.</w:t>
      </w:r>
    </w:p>
    <w:p>
      <w:pPr>
        <w:spacing w:after="0" w:line="9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At June 30, 2021, the Company had approximately $115.5 million in cash, cash equivalents, and short-term marketable securities, $1.1 million of restricted cash and an accumulated deficit of approximately $259.8 million. Since its inception through June 30, 2021, the Company has primarily financed its operations through the issuance of preferred stock, units and warrants, the sale of its common stock,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92"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significant accounting policies described in the Company’s audited financial statements as of and for the year ended December 31, 2020, and the notes thereto, which are included in the Company’s Annual Report on Form 10-K for the year ended December 31, 2020, filed with the Securities and Exchange Commission (“SEC”) on March 25, 2021 (the “2020 Annual Report”), have had no material changes during the three and six months ended June 30,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accompanying consolidated financial statements and the related disclosures as of June 30, 2021 and for the three and six months ended June 30, 2021 and 2020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2020 and 2019 audited consolidated financial statements and notes included in the Company’s 2020 Annual Report. The December 31, 2020 consolidated balance sheet included herein was derived from the audited financial statements as of that date but does not include all disclosures including notes required by GAAP for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right="100"/>
        <w:spacing w:after="0" w:line="279" w:lineRule="auto"/>
        <w:rPr>
          <w:sz w:val="20"/>
          <w:szCs w:val="20"/>
          <w:color w:val="auto"/>
        </w:rPr>
      </w:pPr>
      <w:r>
        <w:rPr>
          <w:rFonts w:ascii="Arial" w:cs="Arial" w:eastAsia="Arial" w:hAnsi="Arial"/>
          <w:sz w:val="17"/>
          <w:szCs w:val="17"/>
          <w:color w:val="auto"/>
        </w:rPr>
        <w:t>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2021 and 2020. The results of operations for the interim periods are not necessarily indicative of the results to be expected for the year ending December 31, 2021 or any other interim period or future year or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October 2020, the FASB issued an amendment, ASU 2020-08, </w:t>
      </w:r>
      <w:r>
        <w:rPr>
          <w:rFonts w:ascii="Arial" w:cs="Arial" w:eastAsia="Arial" w:hAnsi="Arial"/>
          <w:sz w:val="18"/>
          <w:szCs w:val="18"/>
          <w:i w:val="1"/>
          <w:iCs w:val="1"/>
          <w:color w:val="auto"/>
        </w:rPr>
        <w:t>Codification Improvements to Subtopic 310-20, Receivables – Nonrefundable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Costs, </w:t>
      </w:r>
      <w:r>
        <w:rPr>
          <w:rFonts w:ascii="Arial" w:cs="Arial" w:eastAsia="Arial" w:hAnsi="Arial"/>
          <w:sz w:val="18"/>
          <w:szCs w:val="18"/>
          <w:color w:val="auto"/>
        </w:rPr>
        <w:t>to the guidance in ASU 2017-08,</w:t>
      </w:r>
      <w:r>
        <w:rPr>
          <w:rFonts w:ascii="Arial" w:cs="Arial" w:eastAsia="Arial" w:hAnsi="Arial"/>
          <w:sz w:val="18"/>
          <w:szCs w:val="18"/>
          <w:i w:val="1"/>
          <w:iCs w:val="1"/>
          <w:color w:val="auto"/>
        </w:rPr>
        <w:t xml:space="preserve"> Receivables-Nonrefundable Fees and Other Costs (Subtopic 310-20): Premium Amortization on Purchased Callable Debt Securities. </w:t>
      </w:r>
      <w:r>
        <w:rPr>
          <w:rFonts w:ascii="Arial" w:cs="Arial" w:eastAsia="Arial" w:hAnsi="Arial"/>
          <w:sz w:val="18"/>
          <w:szCs w:val="18"/>
          <w:color w:val="auto"/>
        </w:rPr>
        <w:t>The amendment requires companies to reevaluate whether a callable debt security that has multiple call dates is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paragraph 310-20-65-2. The amendment shall be effective for fiscal years, and interim periods within those fiscal years, beginning after December 15, 2020. The Company adopted the new guidance effective on January 1, 2021 which had an immaterial impact on its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Statements</w:t>
      </w:r>
      <w:r>
        <w:rPr>
          <w:rFonts w:ascii="Arial" w:cs="Arial" w:eastAsia="Arial" w:hAnsi="Arial"/>
          <w:sz w:val="17"/>
          <w:szCs w:val="17"/>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7"/>
          <w:szCs w:val="17"/>
          <w:i w:val="1"/>
          <w:iCs w:val="1"/>
          <w:color w:val="auto"/>
        </w:rPr>
        <w:t>Financial Instruments – Credit Losses (Topic 326), Derivatives and Hedging (Topic 815), and Leases (Topic 842): Effective Dates</w:t>
      </w:r>
      <w:r>
        <w:rPr>
          <w:rFonts w:ascii="Arial" w:cs="Arial" w:eastAsia="Arial" w:hAnsi="Arial"/>
          <w:sz w:val="17"/>
          <w:szCs w:val="17"/>
          <w:color w:val="auto"/>
        </w:rPr>
        <w:t>, which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for certain companies. The standard is effective for public companies 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May 2021, the FASB issued Accounting Standards Update 2021-04</w:t>
      </w:r>
      <w:r>
        <w:rPr>
          <w:rFonts w:ascii="Arial" w:cs="Arial" w:eastAsia="Arial" w:hAnsi="Arial"/>
          <w:sz w:val="18"/>
          <w:szCs w:val="18"/>
          <w:i w:val="1"/>
          <w:iCs w:val="1"/>
          <w:color w:val="auto"/>
        </w:rPr>
        <w:t>—Issuer’s Accounting for Certain Modifications or Exchanges of</w:t>
      </w:r>
      <w:r>
        <w:rPr>
          <w:rFonts w:ascii="Arial" w:cs="Arial" w:eastAsia="Arial" w:hAnsi="Arial"/>
          <w:sz w:val="18"/>
          <w:szCs w:val="18"/>
          <w:color w:val="auto"/>
        </w:rPr>
        <w:t xml:space="preserve"> </w:t>
      </w:r>
      <w:r>
        <w:rPr>
          <w:rFonts w:ascii="Arial" w:cs="Arial" w:eastAsia="Arial" w:hAnsi="Arial"/>
          <w:sz w:val="18"/>
          <w:szCs w:val="18"/>
          <w:i w:val="1"/>
          <w:iCs w:val="1"/>
          <w:color w:val="auto"/>
        </w:rPr>
        <w:t>Freestanding Equity-Classified Written Call Options</w:t>
      </w:r>
      <w:r>
        <w:rPr>
          <w:rFonts w:ascii="Arial" w:cs="Arial" w:eastAsia="Arial" w:hAnsi="Arial"/>
          <w:sz w:val="18"/>
          <w:szCs w:val="18"/>
          <w:color w:val="auto"/>
        </w:rPr>
        <w:t>. The standard provides a principles-based framework to determine whether an issuer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the modification or exchange as an adjustment to equity or an expense. The Company is currently evaluating the potential impact ASU 2021-04 will have on its consolidated financial statements and disclosures.</w:t>
      </w:r>
    </w:p>
    <w:p>
      <w:pPr>
        <w:spacing w:after="0" w:line="295"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The Company has evaluated other recently issued accounting pronouncements and has concluded that that the impact of recently issued standards that are not yet effective will not have a material impact on the Company’s financial position or results of operations upon adoption.</w:t>
      </w:r>
    </w:p>
    <w:p>
      <w:pPr>
        <w:spacing w:after="0" w:line="29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2020 Annual Report.</w:t>
      </w:r>
    </w:p>
    <w:p>
      <w:pPr>
        <w:spacing w:after="0" w:line="184"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At June 30, 2021 and December 31, 2020, the Company has classified assets measured at fair value on a recurring basis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29,243</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29,243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w w:val="98"/>
              </w:rPr>
              <w:t>U.S. government agency securities and treasuries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40" w:type="dxa"/>
            <w:vAlign w:val="bottom"/>
            <w:gridSpan w:val="2"/>
          </w:tcPr>
          <w:p>
            <w:pPr>
              <w:spacing w:after="0"/>
              <w:rPr>
                <w:sz w:val="20"/>
                <w:szCs w:val="20"/>
                <w:color w:val="auto"/>
              </w:rPr>
            </w:pPr>
            <w:r>
              <w:rPr>
                <w:rFonts w:ascii="Arial" w:cs="Arial" w:eastAsia="Arial" w:hAnsi="Arial"/>
                <w:sz w:val="18"/>
                <w:szCs w:val="18"/>
                <w:color w:val="auto"/>
              </w:rPr>
              <w:t>U.S. government agency securities and</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treasuries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June 30, 2021 and December 31, 2020 are carried at amounts that approximate fair value due to their short-term maturities. Finance lease obligations at June 30, 2021 and December 31, 2020 approximate fair value as they bear interest at a rate approximating a market interest rate.</w:t>
      </w:r>
    </w:p>
    <w:p>
      <w:pPr>
        <w:spacing w:after="0" w:line="28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June 30, 2021 and December 31, 2020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1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86,207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contractual maturity of all securities held at June 30, 2021 was ten months or less. There were five and eight investments in an unrealized loss position at June 30, 2021 and December 31, 2020, respectively, none of which had been in an unrealized loss position for more than twelve months. The aggregate fair value of the securities in an unrealized loss position at June 30, 2021 and December 31, 2020 was $15.5 million and $20.1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June 30, 2021.</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0" w:name="page11"/>
    <w:bookmarkEnd w:id="10"/>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200" w:lineRule="exact"/>
        <w:rPr>
          <w:sz w:val="20"/>
          <w:szCs w:val="20"/>
          <w:color w:val="auto"/>
        </w:rPr>
      </w:pPr>
    </w:p>
    <w:p>
      <w:pPr>
        <w:spacing w:after="0" w:line="20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19,025</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(9,470)</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(8,249)</w:t>
            </w:r>
          </w:p>
        </w:tc>
      </w:tr>
      <w:tr>
        <w:trPr>
          <w:trHeight w:val="223"/>
        </w:trPr>
        <w:tc>
          <w:tcPr>
            <w:tcW w:w="5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June 2019, the Company issued to Ginkgo Bioworks, Inc. (“Ginkgo”)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None of the Pre-Funded Warrants have been exercised as of June 30, 2021.</w:t>
      </w:r>
    </w:p>
    <w:p>
      <w:pPr>
        <w:spacing w:after="0" w:line="22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On October 13, 2017 the Company entered into a sales agreement with Cowen and Company, LLC (“Cowen”) with respect to an at-the-market (“ATM”) offering program under which the Company may offer and sell, from time to time at its sole discretion, shares of its common stock, through Cowen as its sales agent. In an ATM offering, exchange-listed companies incrementally sell newly issued shares into the secondary trading market through a designated broker-dealer at prevailing market prices. During the three months ended June 30, 2021, no shares of common stock were sold pursuant to the ATM. During the six months ended June 30, 2021, 2,447,211 shares of common stock were sold pursuant to the ATM, resulting in net proceeds of approximately $8.1 million.</w:t>
      </w:r>
    </w:p>
    <w:p>
      <w:pPr>
        <w:spacing w:after="0" w:line="200" w:lineRule="exact"/>
        <w:rPr>
          <w:sz w:val="20"/>
          <w:szCs w:val="20"/>
          <w:color w:val="auto"/>
        </w:rPr>
      </w:pPr>
    </w:p>
    <w:p>
      <w:pPr>
        <w:spacing w:after="0" w:line="208"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060" w:type="dxa"/>
            <w:vAlign w:val="bottom"/>
            <w:tcBorders>
              <w:bottom w:val="single" w:sz="8" w:color="CFF0FC"/>
            </w:tcBorders>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2860" w:type="dxa"/>
            <w:vAlign w:val="bottom"/>
            <w:tcBorders>
              <w:bottom w:val="single" w:sz="8" w:color="auto"/>
            </w:tcBorders>
          </w:tcPr>
          <w:p>
            <w:pPr>
              <w:jc w:val="right"/>
              <w:ind w:right="996"/>
              <w:spacing w:after="0"/>
              <w:rPr>
                <w:sz w:val="20"/>
                <w:szCs w:val="20"/>
                <w:color w:val="auto"/>
              </w:rPr>
            </w:pPr>
            <w:r>
              <w:rPr>
                <w:rFonts w:ascii="Arial" w:cs="Arial" w:eastAsia="Arial" w:hAnsi="Arial"/>
                <w:sz w:val="14"/>
                <w:szCs w:val="14"/>
                <w:b w:val="1"/>
                <w:bCs w:val="1"/>
                <w:color w:val="auto"/>
              </w:rPr>
              <w:t>June 30,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issuable under pre-funded warrants</w:t>
            </w:r>
          </w:p>
        </w:tc>
        <w:tc>
          <w:tcPr>
            <w:tcW w:w="2060" w:type="dxa"/>
            <w:vAlign w:val="bottom"/>
            <w:shd w:val="clear" w:color="auto" w:fill="CFF0FC"/>
          </w:tcPr>
          <w:p>
            <w:pPr>
              <w:spacing w:after="0"/>
              <w:rPr>
                <w:sz w:val="19"/>
                <w:szCs w:val="19"/>
                <w:color w:val="auto"/>
              </w:rPr>
            </w:pPr>
          </w:p>
        </w:tc>
        <w:tc>
          <w:tcPr>
            <w:tcW w:w="2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2,548,117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Options exercisable to purchase common stock</w:t>
            </w:r>
          </w:p>
        </w:tc>
        <w:tc>
          <w:tcPr>
            <w:tcW w:w="4920" w:type="dxa"/>
            <w:vAlign w:val="bottom"/>
            <w:gridSpan w:val="2"/>
          </w:tcPr>
          <w:p>
            <w:pPr>
              <w:jc w:val="right"/>
              <w:ind w:right="36"/>
              <w:spacing w:after="0"/>
              <w:rPr>
                <w:sz w:val="20"/>
                <w:szCs w:val="20"/>
                <w:color w:val="auto"/>
              </w:rPr>
            </w:pPr>
            <w:r>
              <w:rPr>
                <w:rFonts w:ascii="Arial" w:cs="Arial" w:eastAsia="Arial" w:hAnsi="Arial"/>
                <w:sz w:val="18"/>
                <w:szCs w:val="18"/>
                <w:color w:val="auto"/>
              </w:rPr>
              <w:t>1,807,951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49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20,480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060" w:type="dxa"/>
            <w:vAlign w:val="bottom"/>
          </w:tcPr>
          <w:p>
            <w:pPr>
              <w:spacing w:after="0"/>
              <w:rPr>
                <w:sz w:val="19"/>
                <w:szCs w:val="19"/>
                <w:color w:val="auto"/>
              </w:rPr>
            </w:pPr>
          </w:p>
        </w:tc>
        <w:tc>
          <w:tcPr>
            <w:tcW w:w="2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4,376,548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60" w:type="dxa"/>
            <w:vAlign w:val="bottom"/>
            <w:vMerge w:val="restart"/>
          </w:tcPr>
          <w:p>
            <w:pPr>
              <w:jc w:val="right"/>
              <w:ind w:right="1510"/>
              <w:spacing w:after="0"/>
              <w:rPr>
                <w:sz w:val="20"/>
                <w:szCs w:val="20"/>
                <w:color w:val="auto"/>
              </w:rPr>
            </w:pPr>
            <w:r>
              <w:rPr>
                <w:rFonts w:ascii="Arial" w:cs="Arial" w:eastAsia="Arial" w:hAnsi="Arial"/>
                <w:sz w:val="18"/>
                <w:szCs w:val="18"/>
                <w:color w:val="auto"/>
              </w:rPr>
              <w:t>8</w:t>
            </w:r>
          </w:p>
        </w:tc>
        <w:tc>
          <w:tcPr>
            <w:tcW w:w="2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left="500" w:hanging="492"/>
        <w:spacing w:after="0" w:line="207" w:lineRule="exact"/>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has three active equity plans.</w:t>
      </w:r>
    </w:p>
    <w:p>
      <w:pPr>
        <w:spacing w:after="0" w:line="11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Pursuant to the evergreen provision of the 2015 Equity Incentive Award Plan (the “2015 Plan”), which allows for an annual increase in the number of shares of common stock available for issuance, the Company added 1,909,163 shares to the 2015 Plan on January 1, 2021.</w:t>
      </w:r>
    </w:p>
    <w:p>
      <w:pPr>
        <w:spacing w:after="0" w:line="14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Pursuant to the evergreen provision of the 2015 Employee Stock Purchase Plan (“ESPP”), which allows for an annual increase in the number of shares of common stock available for issuance, the Company added 381,832 shares to the ESPP on January 1, 2021. There were no options exercised to purchase shares of common stock under the ESPP during the three months ended June 30, 2021 and 19,061 options were exercised during the six months ended June 30, 2021.</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June 30, 2021, there were an aggregate of 1,633,453 shares available for future grant under the 2017 Stock Incentive Plan (the “2017 Plan”) and the 2015 Plan, and 708,433 shares available for future grant under the ESPP.</w:t>
      </w:r>
    </w:p>
    <w:p>
      <w:pPr>
        <w:spacing w:after="0" w:line="17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9,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Company’s 2020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during the six months ended June 30,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Stock 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r>
      <w:tr>
        <w:trPr>
          <w:trHeight w:val="186"/>
        </w:trPr>
        <w:tc>
          <w:tcPr>
            <w:tcW w:w="5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intrinsic</w:t>
            </w:r>
          </w:p>
        </w:tc>
      </w:tr>
      <w:tr>
        <w:trPr>
          <w:trHeight w:val="219"/>
        </w:trPr>
        <w:tc>
          <w:tcPr>
            <w:tcW w:w="5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3,343,836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1,642,296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(32,113)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(348,305)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4,605,714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June 30, 2021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4,605,714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1000" w:type="dxa"/>
            <w:vAlign w:val="bottom"/>
          </w:tcPr>
          <w:p>
            <w:pPr>
              <w:jc w:val="right"/>
              <w:spacing w:after="0"/>
              <w:rPr>
                <w:sz w:val="20"/>
                <w:szCs w:val="20"/>
                <w:color w:val="auto"/>
              </w:rPr>
            </w:pPr>
            <w:r>
              <w:rPr>
                <w:rFonts w:ascii="Arial" w:cs="Arial" w:eastAsia="Arial" w:hAnsi="Arial"/>
                <w:sz w:val="18"/>
                <w:szCs w:val="18"/>
                <w:color w:val="auto"/>
              </w:rPr>
              <w:t>1,807,951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50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June 30, 2021 and December 31, 2020. 3,100,835 and 970,826 options were in the money at June 30, 2021 and December 31, 2020, respectively.</w:t>
      </w:r>
    </w:p>
    <w:p>
      <w:pPr>
        <w:spacing w:after="0" w:line="184"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As of June 30, 2021, there was $6.5 million of unrecognized share-based compensation related to unvested stock option grants which is expected to be recognized over a weighted average period of 2.6 years. The total unrecognized share-based compensation cost will be adjusted for actual forfeitures as they occur.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six months ended June 30,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Restricted stock awards</w:t>
            </w:r>
          </w:p>
        </w:tc>
      </w:tr>
      <w:tr>
        <w:trPr>
          <w:trHeight w:val="133"/>
        </w:trPr>
        <w:tc>
          <w:tcPr>
            <w:tcW w:w="694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39"/>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r>
      <w:tr>
        <w:trPr>
          <w:trHeight w:val="148"/>
        </w:trPr>
        <w:tc>
          <w:tcPr>
            <w:tcW w:w="6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62"/>
        </w:trPr>
        <w:tc>
          <w:tcPr>
            <w:tcW w:w="6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grant date</w:t>
            </w:r>
          </w:p>
        </w:tc>
      </w:tr>
      <w:tr>
        <w:trPr>
          <w:trHeight w:val="162"/>
        </w:trPr>
        <w:tc>
          <w:tcPr>
            <w:tcW w:w="694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694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242,454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(343,619)</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(30,581)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346,461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June 30, 2021, there was approximately $0.9 million of unrecognized share-based compensation related to restricted stock awards granted, which is expected to be recognized over a weighted average period of 3.5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periods. The compensation cost for the three and six months ended June 30, 2021 was $14,000 and $20,000, respectively. The compensation expense related to the ESPP for the three and six months ended June 30, 2020 was $12,000.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540" w:firstLine="510"/>
        <w:spacing w:after="0" w:line="342" w:lineRule="auto"/>
        <w:rPr>
          <w:sz w:val="20"/>
          <w:szCs w:val="20"/>
          <w:color w:val="auto"/>
        </w:rPr>
      </w:pPr>
      <w:r>
        <w:rPr>
          <w:rFonts w:ascii="Arial" w:cs="Arial" w:eastAsia="Arial" w:hAnsi="Arial"/>
          <w:sz w:val="16"/>
          <w:szCs w:val="16"/>
          <w:color w:val="auto"/>
        </w:rPr>
        <w:t>The Company has recorded total equity-based compensation expense of approximately $0.9 million and $1.8 million during the three and six months ended June 30, 2021, respectively and $1.1 million and $2.2 million during the three and six months ended June 30, 2020, respectively.</w:t>
      </w:r>
    </w:p>
    <w:p>
      <w:pPr>
        <w:spacing w:after="0" w:line="124" w:lineRule="exact"/>
        <w:rPr>
          <w:sz w:val="20"/>
          <w:szCs w:val="20"/>
          <w:color w:val="auto"/>
        </w:rPr>
      </w:pPr>
    </w:p>
    <w:p>
      <w:pPr>
        <w:ind w:right="10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six months ended June 30, 2021 and 2020 (in thousands):</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6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Borders>
              <w:top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5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5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FF0FC"/>
            </w:tcBorders>
          </w:tcPr>
          <w:p>
            <w:pPr>
              <w:spacing w:after="0"/>
              <w:rPr>
                <w:sz w:val="19"/>
                <w:szCs w:val="19"/>
                <w:color w:val="auto"/>
              </w:rPr>
            </w:pPr>
          </w:p>
        </w:tc>
      </w:tr>
      <w:tr>
        <w:trPr>
          <w:trHeight w:val="223"/>
        </w:trPr>
        <w:tc>
          <w:tcPr>
            <w:tcW w:w="25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six months ended June 30, 2021 and 2020 (in thousands):</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7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100" w:type="dxa"/>
            <w:vAlign w:val="bottom"/>
          </w:tcPr>
          <w:p>
            <w:pPr>
              <w:spacing w:after="0"/>
              <w:rPr>
                <w:sz w:val="13"/>
                <w:szCs w:val="13"/>
                <w:color w:val="auto"/>
              </w:rPr>
            </w:pPr>
          </w:p>
        </w:tc>
        <w:tc>
          <w:tcPr>
            <w:tcW w:w="104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4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0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310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22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 w:name="page14"/>
    <w:bookmarkEnd w:id="13"/>
    <w:p>
      <w:pPr>
        <w:ind w:right="460"/>
        <w:spacing w:after="0" w:line="277" w:lineRule="auto"/>
        <w:rPr>
          <w:sz w:val="20"/>
          <w:szCs w:val="20"/>
          <w:color w:val="auto"/>
        </w:rPr>
      </w:pPr>
      <w:r>
        <w:rPr>
          <w:rFonts w:ascii="Arial" w:cs="Arial" w:eastAsia="Arial" w:hAnsi="Arial"/>
          <w:sz w:val="18"/>
          <w:szCs w:val="18"/>
          <w:color w:val="auto"/>
        </w:rPr>
        <w:t>to research and pre-clinically develop a Synthetic Biotic medicine for addressing an undisclosed novel target for the treatment of inflammatory bowel disease (the “Product Candidate”).</w:t>
      </w:r>
    </w:p>
    <w:p>
      <w:pPr>
        <w:spacing w:after="0" w:line="170"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Pursuant to the Roche Collaboration and Option Agreement, Roche agreed to pay the Company, an upfront, nonrefundable technology access fee of $1.0 million, which the Company received in July 2021. In addition, the Company is eligible to receive up to $5.0 million in milestone payments upon the achievement of certain success criteria. Following the research period, Roche holds an exclusive option right (the “Option”) to negotiate a definitive Collaboration and License Agreement (“CLA”) for further development and commercialization of the Product Candidate.</w:t>
      </w:r>
    </w:p>
    <w:p>
      <w:pPr>
        <w:spacing w:after="0" w:line="17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(“JRC”) to oversee and manage the execution of the underlying study plan for the Roche Collaboration and Option Agreement.</w:t>
      </w:r>
    </w:p>
    <w:p>
      <w:pPr>
        <w:spacing w:after="0" w:line="157" w:lineRule="exact"/>
        <w:rPr>
          <w:sz w:val="20"/>
          <w:szCs w:val="20"/>
          <w:color w:val="auto"/>
        </w:rPr>
      </w:pPr>
    </w:p>
    <w:p>
      <w:pPr>
        <w:ind w:right="320" w:firstLine="749"/>
        <w:spacing w:after="0" w:line="279" w:lineRule="auto"/>
        <w:rPr>
          <w:sz w:val="20"/>
          <w:szCs w:val="20"/>
          <w:color w:val="auto"/>
        </w:rPr>
      </w:pPr>
      <w:r>
        <w:rPr>
          <w:rFonts w:ascii="Arial" w:cs="Arial" w:eastAsia="Arial" w:hAnsi="Arial"/>
          <w:sz w:val="17"/>
          <w:szCs w:val="17"/>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the Company. Either party may terminate the Roche Collaboration and Option Agreement in the event of an uncured material breach of the other party.</w:t>
      </w:r>
    </w:p>
    <w:p>
      <w:pPr>
        <w:spacing w:after="0" w:line="171"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color w:val="auto"/>
        </w:rPr>
        <w:t>The research and development will be performed by the Company for approximately 12 to 18 months according to three phases of research as defined in the research plan. The Company is eligible to receive milestone payments from Roche upon the achievement of success criteria for respective milestones.</w:t>
      </w:r>
    </w:p>
    <w:p>
      <w:pPr>
        <w:spacing w:after="0" w:line="184"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 xml:space="preserve">The Company assessed this arrangement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concluded that the contract counterparty, Roche, is a customer. The Company identified the following material promises made by the Company to Roche at the outset of the arrangement: (1) a non-exclusive royalty-free research and development license; (2) research and development services for pre-clinical activities under the research plan; (3) implicit renewal options created by Roche’s decision not to terminate the contract; (4) the Company’s participation on the JRC; and (5) an exclusive right to negotiate a definitive CLA for further development and commercialization of the Product Candidate. The Company determined that the license and research and development activities were not distinct from one another, as the license has limited value without the performance of research and development activities. The Company’s participation on the JRC was determined to be quantitatively and qualitatively immaterial and therefore is excluded from performance obligations. As such, the Company determined that the promises associated with the license and research and development services should be combined into a single performance obligation.</w:t>
      </w:r>
    </w:p>
    <w:p>
      <w:pPr>
        <w:spacing w:after="0" w:line="18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next evaluated the milestone payments relating to the three phases of research as defined in the research plan and the option to negotiate and enter into the CLA, to determine whether they provide Roche with any material rights. The Company concluded that the option was not issued at a significant and incremental discount, and therefore do not provide material rights. As such, they were excluded as performance obligations at the outset of the arrangement. If Roche elects to exercise the options, the additional consideration will be added to the transaction price and allocated to the resulting performance obligations.</w:t>
      </w:r>
    </w:p>
    <w:p>
      <w:pPr>
        <w:spacing w:after="0" w:line="18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Collaboration and Option Agreement, which consists of: (1) the non-exclusive license and (2) the research and development activities.</w:t>
      </w:r>
    </w:p>
    <w:p>
      <w:pPr>
        <w:spacing w:after="0" w:line="170"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At the outset of the arrangement, the transaction price included only the $1.0 million up-front consideration received and which was allocated to the single performance obligation. The milestone payments that may be received are excluded from the transaction price until each respective milestone has been achieved. The Company will reevaluate the transaction price at the end of each reporting period and as uncertain events are resolved or other changes in circumstances occur, and, if necessary, adjust its estimate of the transaction price.</w:t>
      </w:r>
    </w:p>
    <w:p>
      <w:pPr>
        <w:spacing w:after="0" w:line="187"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In June 2021, the Company began work on the research and development services for the first phase of the research plan and the $1.0 million upfront payment is being recognized over the time of the first phase of the research plan. Upon the Company’s completion of these activities and subject to Roche’s termination right, the additional milestone payments based on the achievement of specific events outlined in the Roche Collaboration and Option Agreement will become due.</w:t>
      </w:r>
    </w:p>
    <w:p>
      <w:pPr>
        <w:spacing w:after="0" w:line="18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Revenue associated with performance obligations under the Roche Collaboration and Option Agreement are recognized as the research and development services are provided using an input method, according to the full-time equivalents incurred. The transfer of control occurs over time and, in management’s judgment, is the best measure of progress towards satisfying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860"/>
        <w:spacing w:after="0" w:line="277" w:lineRule="auto"/>
        <w:rPr>
          <w:sz w:val="20"/>
          <w:szCs w:val="20"/>
          <w:color w:val="auto"/>
        </w:rPr>
      </w:pPr>
      <w:r>
        <w:rPr>
          <w:rFonts w:ascii="Arial" w:cs="Arial" w:eastAsia="Arial" w:hAnsi="Arial"/>
          <w:sz w:val="18"/>
          <w:szCs w:val="18"/>
          <w:color w:val="auto"/>
        </w:rPr>
        <w:t>performance obligation. The amounts received that have not yet been recognized as revenue are recorded in deferred revenue on the Company’s consolidated balance sheet.</w:t>
      </w:r>
    </w:p>
    <w:p>
      <w:pPr>
        <w:spacing w:after="0" w:line="170"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For the three and six months ended June 30, 2021, the Company recognized revenue of $0.2 million, as collaboration revenue in the Company’s consolidated statements of operations and comprehensive loss. Deferred revenue from the collaboration amounted to $0.8 million as of June 30, 2021, all of which is included in 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June 30, 2021 consolidated balance sheet. At June 30, 2021, the Company had remaining balances of $4.5 million and $7.5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17" w:lineRule="exact"/>
        <w:rPr>
          <w:sz w:val="20"/>
          <w:szCs w:val="20"/>
          <w:color w:val="auto"/>
        </w:rPr>
      </w:pPr>
    </w:p>
    <w:p>
      <w:pPr>
        <w:jc w:val="both"/>
        <w:ind w:right="180" w:firstLine="510"/>
        <w:spacing w:after="0" w:line="301" w:lineRule="auto"/>
        <w:rPr>
          <w:sz w:val="20"/>
          <w:szCs w:val="20"/>
          <w:color w:val="auto"/>
        </w:rPr>
      </w:pPr>
      <w:r>
        <w:rPr>
          <w:rFonts w:ascii="Arial" w:cs="Arial" w:eastAsia="Arial" w:hAnsi="Arial"/>
          <w:sz w:val="16"/>
          <w:szCs w:val="16"/>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Revenue associated with performance obligations under the AbbVie Agreement was recognized as the research and development services were provided using an input method, according to the full-time equivalents incurred. The research and development activities were expected to be performed over a period of approximately 54 months. The transfer of control occurs over time and, in management’s judgment, was the best measure of progress towards satisfying the performance obligation. The amounts received that had not yet been recognized as revenue were recorded in deferred revenue on the Company’s consolidated balance sheet.</w:t>
      </w:r>
    </w:p>
    <w:p>
      <w:pPr>
        <w:spacing w:after="0" w:line="18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recognized no revenue for the three months ended June 30, 2021 and $0.4 million for the corresponding period in 2020. There is no deferred revenue on the Company’s consolidated balance sheet related to the AbbVie collaboration as of June 30, 2021, as the remainder of the revenue was recognized when the agreement was terminated.</w:t>
      </w:r>
    </w:p>
    <w:p>
      <w:pPr>
        <w:spacing w:after="0" w:line="28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Arial" w:cs="Arial" w:eastAsia="Arial" w:hAnsi="Arial"/>
          <w:sz w:val="17"/>
          <w:szCs w:val="17"/>
          <w:i w:val="1"/>
          <w:iCs w:val="1"/>
          <w:color w:val="auto"/>
        </w:rPr>
        <w:t>, Ginkgo Collaboration,</w:t>
      </w:r>
      <w:r>
        <w:rPr>
          <w:rFonts w:ascii="Arial" w:cs="Arial" w:eastAsia="Arial" w:hAnsi="Arial"/>
          <w:sz w:val="17"/>
          <w:szCs w:val="17"/>
          <w:color w:val="auto"/>
        </w:rPr>
        <w:t xml:space="preserve"> in the audited financial statements included in the Company’s 2020 Annual Report). The shares of common stock into which the warrants may be exercised are considered outstanding for the purposes of computing net loss per share.</w:t>
      </w:r>
    </w:p>
    <w:p>
      <w:pPr>
        <w:spacing w:after="0" w:line="17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right="320" w:firstLine="510"/>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8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6"/>
              </w:rPr>
              <w:t>As of June 30,</w:t>
            </w:r>
          </w:p>
        </w:tc>
        <w:tc>
          <w:tcPr>
            <w:tcW w:w="940" w:type="dxa"/>
            <w:vAlign w:val="bottom"/>
            <w:tcBorders>
              <w:bottom w:val="single" w:sz="8" w:color="auto"/>
            </w:tcBorders>
          </w:tcPr>
          <w:p>
            <w:pPr>
              <w:spacing w:after="0"/>
              <w:rPr>
                <w:sz w:val="14"/>
                <w:szCs w:val="14"/>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346,461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669,140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4,605,714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3,176,092</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Potential shares issuable under the ESPP</w:t>
            </w: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10,240</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2020 and the notes thereto included in the Company’s Annual Report on Form 10-K filed with the SEC on March 25, 2021, have had no material changes during the six months ended June 30, 2021.</w:t>
      </w:r>
    </w:p>
    <w:p>
      <w:pPr>
        <w:spacing w:after="0" w:line="28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 xml:space="preserve">In June 2019, the Company expanded its collaboration and entered into an agreement with Ginkgo for the research and development of engineered microbial therapeutic products. As of June 30, 2021, Ginkgo owns 6,340,771 shares of the Company’s outstanding common stock. See Note 10, </w:t>
      </w:r>
      <w:r>
        <w:rPr>
          <w:rFonts w:ascii="Arial" w:cs="Arial" w:eastAsia="Arial" w:hAnsi="Arial"/>
          <w:sz w:val="17"/>
          <w:szCs w:val="17"/>
          <w:i w:val="1"/>
          <w:iCs w:val="1"/>
          <w:color w:val="auto"/>
        </w:rPr>
        <w:t>Ginkgo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w:t>
      </w:r>
      <w:r>
        <w:rPr>
          <w:rFonts w:ascii="Arial" w:cs="Arial" w:eastAsia="Arial" w:hAnsi="Arial"/>
          <w:sz w:val="17"/>
          <w:szCs w:val="17"/>
          <w:color w:val="auto"/>
        </w:rPr>
        <w:t>in the audited financial statements included in the Company’s 2020 Annual Report.</w:t>
      </w:r>
    </w:p>
    <w:p>
      <w:pPr>
        <w:spacing w:after="0" w:line="16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June 30, 2021, the Company had remaining balances of $4.5 million and $7.5 million of current and non-current pre-paid research and development costs related to this transaction, respectively. The Company used $0.7 million and $1.6 million of the pre-paid research and development expenses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2020 and 2019 included in our Annual Report on Form 10-K filed with the SEC on March 25, 2021 (the “2020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[26] of this Quarterly Report on Form 10-Q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Synlogic is a clinical-stage biopharmaceutical company focused on the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Synlogic’s proprietary pipeline includes Synthetic Biotic medicines for the treatment of metabolic disorders including Phenylketonuria (PKU) and Enteric Hyperoxaluria. We are building a portfolio of partner-able assets in immunology and oncology.</w:t>
      </w:r>
    </w:p>
    <w:p>
      <w:pPr>
        <w:spacing w:after="0" w:line="222"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We have established proof of mechanism in healthy volunteers for both of our co-lead Synthetic Biotic medicines for the treatment of metabolic disorders, SYNB1618 for the treatment of PKU and SYNB8802 for the treatment of Enteric Hyperoxaluria. Studies in patients for both programs are ongoing.</w:t>
      </w:r>
    </w:p>
    <w:p>
      <w:pPr>
        <w:spacing w:after="0" w:line="265"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Phase 1 clinical trials of SYNB1618, we demonstrated consumption of phenylalanine (Phe) and production of strain specific biomarkers of activity in both healthy volunteers and patients. We are currently executing a Phase 2 clinical trial of SYNB1618 in patients with PKU. The buildup of Phe in patients with PKU can lead to serious health problems, including severe neurocognitive complications. Patients have few approved therapies today.</w:t>
      </w:r>
    </w:p>
    <w:p>
      <w:pPr>
        <w:spacing w:after="0" w:line="24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 Phase 1 clinical trial of SYNB8802, we demonstrated consumption of oxalate in healthy volunteers placed on a high oxalate, low calcium diet to induce temporary Dietary Hyperoxaluria. We are currently executing a clinical trial of SYNB8802 in patients with Enteric Hyperoxaluria. The absorption of oxalate in patients with Enteric Hyperoxaluria leads to dangerously high levels of urinary oxalate and potentially severe renal complications. Patients have no approved therapies today.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Capabilities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believe we have the core competencies in synthetic biology and manufacturing, as well as translational medicine, regulatory experience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 provides us with a synthetic biology-based cell programming platform for testing thousands of microbial strains to accelerate progression of early preclinical leads to drug candidates optimized for clinical development.</w:t>
      </w:r>
    </w:p>
    <w:p>
      <w:pPr>
        <w:spacing w:after="0" w:line="16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While we believe our Synthetic Biotic platform has potential to address a broad range of diseases, our initial pipeline focus is on metabolic diseases. We will consider leveraging partnerships to advance programs for other diseases including oncology and inflammatory disorders. Our most advanced programs target metabolic diseases that could potentially be treated by oral delivery of Synthetic Biotic medicines. These include conditions caused by a genetic mutation characterized by a dysfunctional metabolic pathway including PKU, as well as acquired metabolic diseases caused by organ dysfunction, such as Enteric Hyperoxaluria. When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7" w:name="page18"/>
    <w:bookmarkEnd w:id="17"/>
    <w:p>
      <w:pPr>
        <w:ind w:right="600"/>
        <w:spacing w:after="0" w:line="311" w:lineRule="auto"/>
        <w:rPr>
          <w:sz w:val="20"/>
          <w:szCs w:val="20"/>
          <w:color w:val="auto"/>
        </w:rPr>
      </w:pPr>
      <w:r>
        <w:rPr>
          <w:rFonts w:ascii="Arial" w:cs="Arial" w:eastAsia="Arial" w:hAnsi="Arial"/>
          <w:sz w:val="16"/>
          <w:szCs w:val="16"/>
          <w:color w:val="auto"/>
        </w:rPr>
        <w:t>delivered orally, Synthetic Biotic medicines are designed to function in the gut to consume a disease-causing toxic metabolite with the intended consequence of reducing its systemic or urinary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Metabolic Programs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Phenylketonuria</w:t>
      </w:r>
    </w:p>
    <w:p>
      <w:pPr>
        <w:spacing w:after="0" w:line="121" w:lineRule="exact"/>
        <w:rPr>
          <w:sz w:val="20"/>
          <w:szCs w:val="20"/>
          <w:color w:val="auto"/>
        </w:rPr>
      </w:pPr>
    </w:p>
    <w:p>
      <w:pPr>
        <w:ind w:firstLine="578"/>
        <w:spacing w:after="0" w:line="301" w:lineRule="auto"/>
        <w:rPr>
          <w:sz w:val="20"/>
          <w:szCs w:val="20"/>
          <w:color w:val="auto"/>
        </w:rPr>
      </w:pPr>
      <w:r>
        <w:rPr>
          <w:rFonts w:ascii="Arial" w:cs="Arial" w:eastAsia="Arial" w:hAnsi="Arial"/>
          <w:sz w:val="16"/>
          <w:szCs w:val="16"/>
          <w:color w:val="auto"/>
        </w:rPr>
        <w:t>Our most advanced product candidate is SYNB1618, an oral therapy intended for the treatment of PKU, a rare metabolic disease in which an amino acid known as phenylalanine (Phe) accumulates in the body. Elevated levels of Phe are toxic to the brain and can lead to neurological and cognitive deficits. SYNB1618 is designed to function in the gut of patients to reduce excess Phe, with the goal of lowering levels in the blood and other tissues. SYNB1618 has received both Fast Track designation and orphan drug designation for PKU from the U.S. Food and Drug Administration (FDA).</w:t>
      </w:r>
    </w:p>
    <w:p>
      <w:pPr>
        <w:spacing w:after="0" w:line="157" w:lineRule="exact"/>
        <w:rPr>
          <w:sz w:val="20"/>
          <w:szCs w:val="20"/>
          <w:color w:val="auto"/>
        </w:rPr>
      </w:pPr>
    </w:p>
    <w:p>
      <w:pPr>
        <w:ind w:right="140" w:firstLine="578"/>
        <w:spacing w:after="0" w:line="296" w:lineRule="auto"/>
        <w:rPr>
          <w:sz w:val="20"/>
          <w:szCs w:val="20"/>
          <w:color w:val="auto"/>
        </w:rPr>
      </w:pPr>
      <w:r>
        <w:rPr>
          <w:rFonts w:ascii="Arial" w:cs="Arial" w:eastAsia="Arial" w:hAnsi="Arial"/>
          <w:sz w:val="16"/>
          <w:szCs w:val="16"/>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lyophilized formulation of SYNB1618. We have evaluated this lyophilized formulation in a bridging study in healthy volunteers. The study of this more patient- and commercialization-appropriate presentation of SYNB1618 demonstrated activity and improved tolerability over the early liquid formulation.</w:t>
      </w:r>
    </w:p>
    <w:p>
      <w:pPr>
        <w:spacing w:after="0" w:line="161" w:lineRule="exact"/>
        <w:rPr>
          <w:sz w:val="20"/>
          <w:szCs w:val="20"/>
          <w:color w:val="auto"/>
        </w:rPr>
      </w:pPr>
    </w:p>
    <w:p>
      <w:pPr>
        <w:ind w:right="20" w:firstLine="578"/>
        <w:spacing w:after="0" w:line="259" w:lineRule="auto"/>
        <w:rPr>
          <w:sz w:val="20"/>
          <w:szCs w:val="20"/>
          <w:color w:val="auto"/>
        </w:rPr>
      </w:pPr>
      <w:r>
        <w:rPr>
          <w:rFonts w:ascii="Arial" w:cs="Arial" w:eastAsia="Arial" w:hAnsi="Arial"/>
          <w:sz w:val="18"/>
          <w:szCs w:val="18"/>
          <w:color w:val="auto"/>
        </w:rPr>
        <w:t>We initiated a Phase 2 clinical trial with SYNB1618 in the third quarter of 2020, referred to as the SynPheny-1 Study. The SynPheny-1 Study is designed to evaluate safety and tolerability of a solid oral formulation of SYNB1618 as well as its potential to lower blood Phe levels in adult PKU patients. The SynPheny-1 Study is constructed to be flexible, with subjects physically coming to the clinic or participating from their homes utilizing home healthcare services.</w:t>
      </w:r>
    </w:p>
    <w:p>
      <w:pPr>
        <w:spacing w:after="0" w:line="187" w:lineRule="exact"/>
        <w:rPr>
          <w:sz w:val="20"/>
          <w:szCs w:val="20"/>
          <w:color w:val="auto"/>
        </w:rPr>
      </w:pPr>
    </w:p>
    <w:p>
      <w:pPr>
        <w:ind w:right="360" w:firstLine="578"/>
        <w:spacing w:after="0" w:line="277" w:lineRule="auto"/>
        <w:rPr>
          <w:sz w:val="20"/>
          <w:szCs w:val="20"/>
          <w:color w:val="auto"/>
        </w:rPr>
      </w:pPr>
      <w:r>
        <w:rPr>
          <w:rFonts w:ascii="Arial" w:cs="Arial" w:eastAsia="Arial" w:hAnsi="Arial"/>
          <w:sz w:val="18"/>
          <w:szCs w:val="18"/>
          <w:color w:val="auto"/>
        </w:rPr>
        <w:t>SYNB1618 is a member of a family of SYNB strains that consume Phe. We have an additional Phe consuming strain for PKU in development, called SYNB1934.</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Enteric Hyperoxaluria</w:t>
      </w:r>
    </w:p>
    <w:p>
      <w:pPr>
        <w:spacing w:after="0" w:line="121"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Enteric Hyperoxaluria is an acquired metabolic disorder. Enteric Hyperoxaluria is caused by increased absorption of dietary oxalate. The disorder may cause dangerously high levels of urinary oxalate and progressive kidney damage, kidney stone formation, and nephrocalcinosis. Oxalate is present in many healthy foods such as leafy greens, nuts, and chocolate, making it difficult to control with dietary interventions. Enteric Hyperoxaluria often occurs as a result of a primary insult to the bowel, such as inflammatory bowel disease, short bowel syndrome, or surgical procedures such as Roux-en-Y bariatric weight-loss surgery. There are no approved treatments.</w:t>
      </w:r>
    </w:p>
    <w:p>
      <w:pPr>
        <w:spacing w:after="0" w:line="80" w:lineRule="exact"/>
        <w:rPr>
          <w:sz w:val="20"/>
          <w:szCs w:val="20"/>
          <w:color w:val="auto"/>
        </w:rPr>
      </w:pPr>
    </w:p>
    <w:p>
      <w:pPr>
        <w:ind w:right="80" w:firstLine="578"/>
        <w:spacing w:after="0" w:line="257" w:lineRule="auto"/>
        <w:rPr>
          <w:sz w:val="20"/>
          <w:szCs w:val="20"/>
          <w:color w:val="auto"/>
        </w:rPr>
      </w:pPr>
      <w:r>
        <w:rPr>
          <w:rFonts w:ascii="Arial" w:cs="Arial" w:eastAsia="Arial" w:hAnsi="Arial"/>
          <w:sz w:val="18"/>
          <w:szCs w:val="18"/>
          <w:color w:val="auto"/>
        </w:rPr>
        <w:t>In May 2020, we announced the nomination of a clinical candidate for Enteric Hyperoxaluria, SYNB8802. We initiated a Phase 1 clinical trial of SYNB8802 in the fourth quarter of 2020. This study will assess the safety, tolerability and kinetics of SYNB8802 as well as the effect SYNB8802 has on changes in plasma and urine biomarkers of strain activity, and the potential to reduce urinary oxalate. The study has two parts: Part A is a multiple ascending dose study in healthy volunteers in whom we will induce temporary hyperoxaluria via diet; and Part B is a placebo controlled, cross-over design study in patients with Enteric Hyperoxaluria following Roux-n-Y gastric bypass surgery.</w:t>
      </w:r>
    </w:p>
    <w:p>
      <w:pPr>
        <w:spacing w:after="0" w:line="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announced results of Part A of the Phase 1 study in March 2021. SYNB8802 achieved proof of mechanism and was advanced to Part B of the study. SYNB8802 was generally well tolerated in healthy volunteers. There were no serious or systemic adverse events. Dose responsive changes in urinary oxalate levels were observed with a significant reduction in urinary oxalate relative to placebo across three dose levels, one of which was selected as the Part B dose. Full results of the study will be presented at a future medical meeting.</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Metabolic Programs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are leveraging the capabilities built in the development of our PKU and Enteric Hyperoxaluria programs to design and pre-clinically develop Synthetic Biotic medicines for other inherited and acquired metabolic disorders with high levels of unmet medical need.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Immuno-modulation Programs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 xml:space="preserve">We have also developed a portfolio of Synthetic Biotic medicines designed to modify the tumor microenvironment and result in tumor reduction, intended for use in combination with other cancer therapies such as checkpoint inhibitors. Our first immuno-oncology (“IO”) candidate is SYNB1891, an intratumorally administered Synthetic Biotic medicine. SYNB1891 is designed to activate the immune response in tumors via the </w:t>
      </w:r>
      <w:r>
        <w:rPr>
          <w:rFonts w:ascii="Arial" w:cs="Arial" w:eastAsia="Arial" w:hAnsi="Arial"/>
          <w:sz w:val="17"/>
          <w:szCs w:val="17"/>
          <w:i w:val="1"/>
          <w:iCs w:val="1"/>
          <w:color w:val="auto"/>
        </w:rPr>
        <w:t>E.coli</w:t>
      </w:r>
      <w:r>
        <w:rPr>
          <w:rFonts w:ascii="Arial" w:cs="Arial" w:eastAsia="Arial" w:hAnsi="Arial"/>
          <w:sz w:val="17"/>
          <w:szCs w:val="17"/>
          <w:color w:val="auto"/>
        </w:rPr>
        <w:t xml:space="preserve"> Nissle chassis and production of cyclic di-AMP, an activator of the Stimulator of Interferon Genes (STING) pathway. In January 2020, we treated the first subject in a Phase 1 clinical trial of SYNB1891 in patients with advanced solid tumors and lymphoma. The clinical trial is designed to identify a maximum tolerated dose (MTD) of SYNB1891 delivered as a monotherapy and a recommended Phase 2 dose in combination therapy with the checkpoint inhibitor atezolizumab (Tecentriq), provided through a supply agreement with Roche. We released interim data from the ongoing monotherapy arm of this trial in December 2020, which demonstrated target engagement and production of biomarkers consistent with STING activation. In December 2020, we also initiated the combination arm of the Phase 1 clinical trial.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Disorders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are also designing and developing Synthetic Biotic medicines to treat auto-immune and inflammatory disorders. To achieve this goal, we plan to collaborate with leading drug development organizations.</w:t>
      </w:r>
    </w:p>
    <w:p>
      <w:pPr>
        <w:spacing w:after="0" w:line="27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Inflammatory bowel disease (IBD) is an attractive target for our technology as Synthetic Biotic medicines can be designed to locally deliver to the gut therapeutic effectors or combinations of effectors to potentially address the unmet medical need in patients suffering from IBD. In May 2020, we announced the termination of our collaboration with AbbVie S.à.r.l. (“AbbVie”) to develop Synthetic Biotic medicines for the treatment of IBD. Upon termination, we regained all rights to develop these and new IBD Synthetic Biotic medicines for all effectors targeting IBD.</w:t>
      </w:r>
    </w:p>
    <w:p>
      <w:pPr>
        <w:spacing w:after="0" w:line="171"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June 2021, we entered into entered into a Pilot Collaboration and Option Agreement (the “Roche Collaboration and Option Agreement”) with F. Hoffmann-La Roche Ltd (“Roche Basel”) and Hoffmann-La Roche Inc. (“Roche US”, and together with Roche Basel, “Roche”). Under the terms of the Roche Collaboration and Option Agreement, we and Roche will seek to collaborate to research and pre-clinically develop a Synthetic Biotic medicine for addressing an undisclosed novel target for the treatment of inflammatory bowel disease (the “Product Candidate”).</w:t>
      </w:r>
    </w:p>
    <w:p>
      <w:pPr>
        <w:spacing w:after="0" w:line="17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Pursuant to the Roche Collaboration and Option Agreement, Roche agreed to pay us, an upfront, nonrefundable technology access fee of $1.0 million, which we received in July 2021. In addition, we are eligible to receive up to $5.0 million in milestone payments upon the achievement of certain success criteria. Following the research period, Roche holds an exclusive option right (the “Option”) to negotiate a definitive Collaboration and License Agreement (CLA) for further development of the Product Candidate.</w:t>
      </w:r>
    </w:p>
    <w:p>
      <w:pPr>
        <w:spacing w:after="0" w:line="18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(JRC) to oversee and manage the execution of the underlying study plan for the Roche Collaboration and Option Agreement.</w:t>
      </w:r>
    </w:p>
    <w:p>
      <w:pPr>
        <w:spacing w:after="0" w:line="15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continue to design and develop additional Synthetic Biotic medicines in IBD, utilizing our expertise in strain engineering, quantitative biology, regulatory, and manufacturing. We retain all rights to these programs and may enter into additional strategic partnerships in the future to maximize the clinical and commercial value of our programs and our Synthetic Biotic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currently operate in one reportable business segment—the discovery and development of Synthetic Biotic medicines. To date, we have dedicated substantially all of our activities to the research and development of our product candidates. As of June 30, 2021, we have received approximately $377.3 million in proceeds as we financed our operations primarily through the sale of preferred stock, common stock, preferred units, warrants, payments received under the AbbVie collaboration agreement, interest earned on investments, and cash received in the Merger.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9" w:name="page20"/>
    <w:bookmarkEnd w:id="19"/>
    <w:p>
      <w:pPr>
        <w:ind w:right="40" w:firstLine="510"/>
        <w:spacing w:after="0" w:line="275"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$14.5 million and $29.5 million for the three and six months ended June 30, 2021, respectively and $15.5 million and $31.4 million for the three and six months ended June 30, 2020, respectively. As of June 30, 2021, we had an accumulated deficit of approximately $259.8 million, and we expect to incur losses for the foreseeable future as we develop our product candidates. We expect our expenses and capital requirements will increase substantially in connection with our ongoing activities, as we:</w:t>
      </w:r>
    </w:p>
    <w:p>
      <w:pPr>
        <w:spacing w:after="0" w:line="68"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commercial,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and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Our ability to enroll our clinical trials will be dependent on many factors, including the progression of the pandemic and its impact on patients and the investigators at our clinical trial sites. We are actively working with sites and investigators to mitigate these risks. We continue to carefully monitor the situation with respect to each of our clinical trials and follow guidance from local and federal health authorities.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Revenue for the three months ended June 30, 2021 was generated from our collaboration agreement with Roche. In June 2021, we announced that we entered into the Roche Collaboration and Option Agreement for the discovery of a novel Synthetic Biotic medicine for the treatment of inflammatory bowel disease (IBD). The collaboration agreement contains multiple deliverables, which include an exclusive option for Roche to negotiate a definitive collaboration and license agreement (CLA) for further development of the Product Candidate and acquire research and development milestones. See Note 9, </w:t>
      </w:r>
      <w:r>
        <w:rPr>
          <w:rFonts w:ascii="Arial" w:cs="Arial" w:eastAsia="Arial" w:hAnsi="Arial"/>
          <w:sz w:val="18"/>
          <w:szCs w:val="18"/>
          <w:i w:val="1"/>
          <w:iCs w:val="1"/>
          <w:color w:val="auto"/>
        </w:rPr>
        <w:t>Collaboration Agreements: Roche Collaboration</w:t>
      </w:r>
      <w:r>
        <w:rPr>
          <w:rFonts w:ascii="Arial" w:cs="Arial" w:eastAsia="Arial" w:hAnsi="Arial"/>
          <w:sz w:val="18"/>
          <w:szCs w:val="18"/>
          <w:color w:val="auto"/>
        </w:rPr>
        <w:t xml:space="preserve"> in the notes to the unaudited consolidated financial statements appearing elsewhere in this Quarterly Report on Form 10-Q for a full discussion of the arrangement.</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0" w:name="page21"/>
    <w:bookmarkEnd w:id="20"/>
    <w:p>
      <w:pPr>
        <w:ind w:firstLine="510"/>
        <w:spacing w:after="0" w:line="275" w:lineRule="auto"/>
        <w:rPr>
          <w:sz w:val="20"/>
          <w:szCs w:val="20"/>
          <w:color w:val="auto"/>
        </w:rPr>
      </w:pPr>
      <w:r>
        <w:rPr>
          <w:rFonts w:ascii="Arial" w:cs="Arial" w:eastAsia="Arial" w:hAnsi="Arial"/>
          <w:sz w:val="17"/>
          <w:szCs w:val="17"/>
          <w:color w:val="auto"/>
        </w:rPr>
        <w:t xml:space="preserve">Revenue generated prior to June 30, 2021 was from our collaboration agreement with AbbVie. In May 2020, we announced the termination of our collaboration with AbbVie. Upon termination of the collaboration with AbbVie, we regained all rights to develop the IBD Synthetic Biotic medicines previously developed with AbbVie as well as new IBD Synthetic Biotic medicines for all effectors targeting IBD. Due to the termination of this Agreement, we do not expect further revenue from AbbVie. See Note 9, </w:t>
      </w:r>
      <w:r>
        <w:rPr>
          <w:rFonts w:ascii="Arial" w:cs="Arial" w:eastAsia="Arial" w:hAnsi="Arial"/>
          <w:sz w:val="17"/>
          <w:szCs w:val="17"/>
          <w:i w:val="1"/>
          <w:iCs w:val="1"/>
          <w:color w:val="auto"/>
        </w:rPr>
        <w:t>Collaboration Agreements: AbbVie Collaboration</w:t>
      </w:r>
      <w:r>
        <w:rPr>
          <w:rFonts w:ascii="Arial" w:cs="Arial" w:eastAsia="Arial" w:hAnsi="Arial"/>
          <w:sz w:val="17"/>
          <w:szCs w:val="17"/>
          <w:color w:val="auto"/>
        </w:rPr>
        <w:t xml:space="preserve"> in the notes to the unaudited consolidated financial statements appearing elsewhere in this Quarterly Report on Form 10-Q for a full discussion of the arrangement.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Six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SYNB1618</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5,702</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SYNB1891</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SYNB8802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SYNB1934</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External pre-development candidate expenses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4,489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2,167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6,770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and unallocated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Internal research and development expenses</w:t>
            </w:r>
          </w:p>
        </w:tc>
        <w:tc>
          <w:tcPr>
            <w:tcW w:w="1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6,876</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13,454</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10,719</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12,909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and professional fees for accounting and legal services. We anticipate that our general and administrative expenses will increase in the future as we support our continued research and development activities. We also anticipate continued expenses associated with being a public company, including costs for audit, legal, regulatory and tax-related services, costs for director and officer liability insurance, and costs associated with complying with corporate governance, internal controls and similar requirements applicable to public companies. We charge all general and administrative expenses to operations as incurred.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critical accounting policies are described in our 2020 Annual Report. During the six months ended June 30, 2021, there were no material changes to our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w:t>
            </w: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Borders>
              <w:bottom w:val="single" w:sz="8" w:color="auto"/>
            </w:tcBorders>
          </w:tcPr>
          <w:p>
            <w:pPr>
              <w:spacing w:after="0"/>
              <w:rPr>
                <w:sz w:val="14"/>
                <w:szCs w:val="14"/>
                <w:color w:val="auto"/>
              </w:rPr>
            </w:pPr>
          </w:p>
        </w:tc>
      </w:tr>
      <w:tr>
        <w:trPr>
          <w:trHeight w:val="156"/>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w w:val="76"/>
              </w:rPr>
              <w:t>$</w:t>
            </w:r>
          </w:p>
        </w:tc>
      </w:tr>
      <w:tr>
        <w:trPr>
          <w:trHeight w:val="156"/>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10,719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12,909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w:t>
            </w:r>
          </w:p>
        </w:tc>
      </w:tr>
      <w:tr>
        <w:trPr>
          <w:trHeight w:val="229"/>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588</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14,780</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16,382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1,403</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30"/>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w:t>
            </w:r>
          </w:p>
        </w:tc>
        <w:tc>
          <w:tcPr>
            <w:tcW w:w="1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1,050</w:t>
            </w: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Revenue was $0.2 million for the three months ended June 30, 2021, as compared to $0.4 for the three months ended June 30, 2020. Revenue for the three months ended June 30, 2021 was related to services performed under the Roche collaboration. Revenue for the three months ended June 30, 2020 was related to services performed under the AbbVie collaboration. In May 2020, we announced the termination of our collaboration with AbbVie.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Research and development expense was $10.7 million for the three months ended June 30, 2021 compared to $12.9 million in the corresponding period in 2020. The decrease in research and development expense was primarily due to a decrease of $5.0 million of nonclinical development costs, primarily related to SYNB1618. These decreases were partially offset by increases of $1.5 million of clinical development costs for our clinical programs, primarily related to SYNB8802, SYNB1618 and SYNB1934 and an increase of $1.0 million of compensation, benefits and other employee-related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General and administrative expense was $4.1 million for the three months ended June 30, 2021 compared to $3.5 million for the corresponding period in 2020. The increase was primarily due to increases in professional services and corporate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income (expense) was $0.1 million for the three months ended June 30, 2021, compared to $0.4 million for the corresponding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other income (expense) of $0.3 million was related to lower interest income generated by our investment account.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For the Six Months Ended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156"/>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21,899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25,586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w:t>
            </w:r>
          </w:p>
        </w:tc>
      </w:tr>
      <w:tr>
        <w:trPr>
          <w:trHeight w:val="229"/>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7,294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618</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29,811</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32,880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2,770</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r>
      <w:tr>
        <w:trPr>
          <w:trHeight w:val="230"/>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w:t>
            </w:r>
          </w:p>
        </w:tc>
        <w:tc>
          <w:tcPr>
            <w:tcW w:w="1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(29,456)</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1,907</w:t>
            </w: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40"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Revenue was $0.2 million for the six months ended June 30, 2021 as compared to $0.5 million for the six months ended June 30, 2020. Revenue for the six months ended June 30, 2021 was related to services performed under the Roche collaboration. Revenue for the six months ended June 30, 2020 was related to services performed under the AbbVie collaboration. In May 2020, we announced the termination of our collaboration with AbbVie.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50"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Research and development expense was $21.9 million for the six months ended June 30, 2021 compared to $25.6 million in the corresponding period in 2020. The decrease in research and development expense was primarily due to a decrease of $8.3 million of nonclinical development costs, primarily related to SYNB1618, and decreases in clinical development costs of $0.2 million for SYNB1618. These decreases were partially offset by increases of $1.2 million of compensation, benefits and other employee-related expenses, and increased clinical development costs of $3.3 million for SYNB8802, SYNB1891and SYNB1934.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50" w:lineRule="exact"/>
        <w:rPr>
          <w:sz w:val="20"/>
          <w:szCs w:val="20"/>
          <w:color w:val="auto"/>
        </w:rPr>
      </w:pPr>
    </w:p>
    <w:p>
      <w:pPr>
        <w:jc w:val="both"/>
        <w:ind w:right="300" w:firstLine="749"/>
        <w:spacing w:after="0" w:line="263" w:lineRule="auto"/>
        <w:rPr>
          <w:sz w:val="20"/>
          <w:szCs w:val="20"/>
          <w:color w:val="auto"/>
        </w:rPr>
      </w:pPr>
      <w:r>
        <w:rPr>
          <w:rFonts w:ascii="Arial" w:cs="Arial" w:eastAsia="Arial" w:hAnsi="Arial"/>
          <w:sz w:val="18"/>
          <w:szCs w:val="18"/>
          <w:color w:val="auto"/>
        </w:rPr>
        <w:t>General and administrative expense was $7.9 million for the six months ended June 30, 2021 compared to $7.3 million for the corresponding period in 2020. The increase was primarily due to increases in consulting expenses, offset by decreases in compensation, benefits and other employee-related expenses, and headcount-related expenses.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Other income (expense) was $0.1 million for the six months ended June 30, 2021, compared to $1.0 million for the corresponding period in 2020. The decrease in other income (expense) of $0.9 million was related to a decrease in interest and investment income resulting from lower interest income generated by our investment account.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have incurred losses since our inception on March 14, 2014 and, as of June 30, 2021 we had an accumulated deficit of approximately $259.8 million. We have financed our operations to date primarily through the sale of preferred stock, common stock, preferred units, warrants, payments received under the AbbVie collaboration agreement, payments received under the technology collaboration with Ginkgo, interest earned on investments, and cash received in the Merger. At June 30, 2021, we had approximately $115.5 million in cash, cash equivalents, and short-term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commercial paper and U.S. government agency securities and treasuries. We invest cash in excess of immediate requirements in accordance with our investment policy, which limits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0"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During the six months ended June 30, 2021, our cash, cash equivalents and marketable securities balance increased approximately $15.0 million. This increase was primarily due to the sale of our common stock in an underwritten public offering in April 2021 and proceeds from the sale of our common stock in the ATM offering program. These increases were offset by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5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 provided by</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5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(25,321)</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(21,467)</w:t>
            </w:r>
          </w:p>
        </w:tc>
      </w:tr>
      <w:tr>
        <w:trPr>
          <w:trHeight w:val="230"/>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(18,591)</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22,915</w:t>
            </w:r>
          </w:p>
        </w:tc>
      </w:tr>
      <w:tr>
        <w:trPr>
          <w:trHeight w:val="229"/>
        </w:trPr>
        <w:tc>
          <w:tcPr>
            <w:tcW w:w="5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40,649</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3,718</w:t>
            </w: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Net (decrease) increase in cash, cash equivalents and restricted cash</w:t>
            </w: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5,166</w:t>
            </w:r>
          </w:p>
        </w:tc>
      </w:tr>
      <w:tr>
        <w:trPr>
          <w:trHeight w:val="20"/>
        </w:trPr>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Net cash, cash equivalents and restricted cash used in operating activities was approximately $25.3 million for the six months ended June 30, 2021. The primary use of cash was our net loss of $29.5 million, which was partially offset by $4.1 million of non-cash items primarily including depreciation, equity-based compensation, and the right of use asset. There was a decrease in working capital, primarily related to decreases in prepaid research and development expenses, as a result of the work being completed on the Ginkgo collaboration, decreases in prepaid expenses and other current assets, decreases in accrued expenses, offset by increases in accounts payable, operating lease liability, and deferred revenue.</w:t>
      </w:r>
    </w:p>
    <w:p>
      <w:pPr>
        <w:spacing w:after="0" w:line="284"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Net cash, cash equivalents and restricted cash used in operating activities was approximately $21.5 million for the six months ended June 30, 2020. The primary use of cash was our net loss of $31.4 million, which was partially offset by $4.3 million of non-cash items primarily including depreciation and equity-based compensation. There was an increase in working capital of $5.6 million, primarily related to decreases in prepaid research and development expenses, as a result of our June 2019 services agreement with Ginkgo, decreases in prepaid expenses and other current assets, decreases in accounts payable and accrued expenses, a decrease in operating lease liability, offset by a decrease in deferred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2021 was $18.6 million and resulted primarily from the proceeds from maturity of marketable securities of $54.3 million and proceeds from redemption of marketable securities of $1.3 million. This was offset by the purchases of marketable securities of $74.0 million and property and equipment of $0.1 million.</w:t>
      </w:r>
    </w:p>
    <w:p>
      <w:pPr>
        <w:spacing w:after="0" w:line="29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Net cash provided by investing activities for the six months ended June 30, 2020 was $22.9 million and resulted primarily from the proceeds from maturity of marketable securities of $43.7 million and proceeds from redemption of marketable securities of $15.2 million. This was offset by the purchases of marketable securities of $35.7 million and property and equipment of $0.3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2021 totaled $40.6 million, primarily related to net proceeds of $32.6 million from the sale of our common stock in an underwritten public offering in April 2021, $8.0 million from the sale of our common stock in the ATM offering program and proceeds of $0.1 million from exercise of stock options and ESPP contributions, offset by payments of withholding taxes for employees relating to restricted stock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5" w:name="page26"/>
    <w:bookmarkEnd w:id="25"/>
    <w:p>
      <w:pPr>
        <w:ind w:right="240" w:firstLine="51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totaled $3.7 million related to net proceeds of $3.9 million from the sale of our common stock in the ATM offering program, offset by payments on our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We are currently generating revenue from our Roche collaboration and have historically generated revenue from our AbbVie collaboration (which was terminated in May 2020), but have not generated any product revenue since our inception and do not expect to generate any product revenue unless we receive regulatory approval for our product candidates. We believe that our cash, cash equivalents, and short-term marketable securities as of June 30, 2021,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78"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extent to which our business is adversely impacted by the effects of the coronavirus outbreak or by other health epidemics or pandemics.</w:t>
      </w:r>
    </w:p>
    <w:p>
      <w:pPr>
        <w:spacing w:after="0" w:line="24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6" w:name="page27"/>
    <w:bookmarkEnd w:id="26"/>
    <w:p>
      <w:pPr>
        <w:ind w:right="140"/>
        <w:spacing w:after="0" w:line="301" w:lineRule="auto"/>
        <w:rPr>
          <w:sz w:val="20"/>
          <w:szCs w:val="20"/>
          <w:color w:val="auto"/>
        </w:rPr>
      </w:pPr>
      <w:r>
        <w:rPr>
          <w:rFonts w:ascii="Arial" w:cs="Arial" w:eastAsia="Arial" w:hAnsi="Arial"/>
          <w:sz w:val="16"/>
          <w:szCs w:val="16"/>
          <w:color w:val="auto"/>
        </w:rPr>
        <w:t>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There have been no material changes to our contractual obligations and commitments set forth under the heading “Management’s Discussion and Analysis of Financial Condition and Results of Operations- Contractual Obligations and Commitments” in our 2020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For a description of transactions with related parties which may fall outside of the reporting period of this section, please see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xml:space="preserve"> in our proxy statement filed with the SEC on April 27,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June 30, 2021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00" w:right="3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00" w:right="4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00" w:hanging="493"/>
        <w:spacing w:after="0" w:line="296"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9" w:name="page30"/>
    <w:bookmarkEnd w:id="29"/>
    <w:p>
      <w:pPr>
        <w:ind w:left="500" w:right="30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such as COVID-19 may materially and adversely affect our business and our financial results.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500" w:right="440" w:hanging="493"/>
        <w:spacing w:after="0" w:line="342"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 w:lineRule="exact"/>
        <w:rPr>
          <w:rFonts w:ascii="Arial" w:cs="Arial" w:eastAsia="Arial" w:hAnsi="Arial"/>
          <w:sz w:val="16"/>
          <w:szCs w:val="16"/>
          <w:color w:val="auto"/>
        </w:rPr>
      </w:pPr>
    </w:p>
    <w:p>
      <w:pPr>
        <w:ind w:left="500" w:right="120" w:hanging="493"/>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0" w:right="10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0" w:right="18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0" w:hanging="493"/>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 We may not be successful in obtaining or maintaining necessary rights to Synthetic Biotic medicines, product candidates and processes for our development pipeline through acquisitions and in-licenses.</w:t>
      </w:r>
    </w:p>
    <w:p>
      <w:pPr>
        <w:spacing w:after="0" w:line="75"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30" w:lineRule="exact"/>
        <w:rPr>
          <w:rFonts w:ascii="Arial" w:cs="Arial" w:eastAsia="Arial" w:hAnsi="Arial"/>
          <w:sz w:val="18"/>
          <w:szCs w:val="18"/>
          <w:color w:val="auto"/>
        </w:rPr>
      </w:pPr>
    </w:p>
    <w:p>
      <w:pPr>
        <w:ind w:left="500" w:right="22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30"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30"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30" w:lineRule="exact"/>
        <w:rPr>
          <w:rFonts w:ascii="Arial" w:cs="Arial" w:eastAsia="Arial" w:hAnsi="Arial"/>
          <w:sz w:val="18"/>
          <w:szCs w:val="18"/>
          <w:color w:val="auto"/>
        </w:rPr>
      </w:pPr>
    </w:p>
    <w:p>
      <w:pPr>
        <w:ind w:left="500" w:right="40" w:hanging="493"/>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0" w:right="40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0" w:right="100" w:hanging="493"/>
        <w:spacing w:after="0" w:line="31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0" w:hanging="493"/>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53" w:lineRule="exact"/>
        <w:rPr>
          <w:rFonts w:ascii="Arial" w:cs="Arial" w:eastAsia="Arial" w:hAnsi="Arial"/>
          <w:sz w:val="16"/>
          <w:szCs w:val="16"/>
          <w:color w:val="auto"/>
        </w:rPr>
      </w:pPr>
    </w:p>
    <w:p>
      <w:pPr>
        <w:ind w:left="500" w:right="300" w:hanging="493"/>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rFonts w:ascii="Arial" w:cs="Arial" w:eastAsia="Arial" w:hAnsi="Arial"/>
          <w:sz w:val="17"/>
          <w:szCs w:val="17"/>
          <w:color w:val="auto"/>
        </w:rPr>
      </w:pPr>
    </w:p>
    <w:p>
      <w:pPr>
        <w:ind w:left="500" w:right="20" w:hanging="493"/>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20" w:top="476" w:right="379" w:bottom="1440" w:gutter="0" w:footer="0" w:header="0"/>
        </w:sectPr>
      </w:pPr>
    </w:p>
    <w:bookmarkStart w:id="30" w:name="page31"/>
    <w:bookmarkEnd w:id="30"/>
    <w:p>
      <w:pPr>
        <w:ind w:left="1000" w:right="2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320" w:firstLine="510"/>
        <w:spacing w:after="0" w:line="254"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$14.5 million and $29.5 million for the three and six months ended June 30, 2021, respectively and $15.5 million and 31.4 million for the three and six months ended June 30, 2020, respectively. As of June 30, 2021, we had an accumulated deficit of approximately $259.8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9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1" w:name="page32"/>
    <w:bookmarkEnd w:id="31"/>
    <w:p>
      <w:pPr>
        <w:ind w:right="40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00" w:right="5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32" w:name="page33"/>
    <w:bookmarkEnd w:id="32"/>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November of 2020, we announced that we had initiated the Phase 2 clinical study of SYNB1618 and the Phase 1 study of SYNB8802. All of our other therapeutic programs are still in the preclinical or clinical development stage.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3" w:name="page34"/>
    <w:bookmarkEnd w:id="33"/>
    <w:p>
      <w:pPr>
        <w:ind w:left="1000" w:right="1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1"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decrease our ability to generate sufficient product revenue, and our business, financial condition, results of operations and prospects may be harmed.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5" w:name="page36"/>
    <w:bookmarkEnd w:id="35"/>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 August 20, 2019, we announced that we were discontinuing our first therapeutic program to enter clinical trials, SYNB1020, an early 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 tolerated in Phase 1b/2a study, the study showed it did not lower blood ammonia in patients with cirrhosis. As a result, we have become more dependent on the success of our SYNB1618, SYNB8802 and SYNB1891 programs.</w:t>
      </w:r>
    </w:p>
    <w:p>
      <w:pPr>
        <w:spacing w:after="0" w:line="1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6" w:name="page37"/>
    <w:bookmarkEnd w:id="36"/>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7" w:name="page38"/>
    <w:bookmarkEnd w:id="37"/>
    <w:p>
      <w:pPr>
        <w:ind w:firstLine="510"/>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212529"/>
        </w:rPr>
        <w:t>The coronavirus outbreak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8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20" w:firstLine="510"/>
        <w:spacing w:after="0" w:line="275" w:lineRule="auto"/>
        <w:rPr>
          <w:sz w:val="20"/>
          <w:szCs w:val="20"/>
          <w:color w:val="auto"/>
        </w:rPr>
      </w:pPr>
      <w:r>
        <w:rPr>
          <w:rFonts w:ascii="Arial" w:cs="Arial" w:eastAsia="Arial" w:hAnsi="Arial"/>
          <w:sz w:val="17"/>
          <w:szCs w:val="17"/>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Over the coming weeks and months, we will continue to carefully monitor the situation with respect to each of our clinical trials and follow guidance from local and federal health authorities.</w:t>
      </w:r>
    </w:p>
    <w:p>
      <w:pPr>
        <w:spacing w:after="0" w:line="176" w:lineRule="exact"/>
        <w:rPr>
          <w:sz w:val="20"/>
          <w:szCs w:val="20"/>
          <w:color w:val="auto"/>
        </w:rPr>
      </w:pPr>
    </w:p>
    <w:p>
      <w:pPr>
        <w:ind w:right="220" w:firstLine="510"/>
        <w:spacing w:after="0" w:line="274" w:lineRule="auto"/>
        <w:rPr>
          <w:sz w:val="20"/>
          <w:szCs w:val="20"/>
          <w:color w:val="auto"/>
        </w:rPr>
      </w:pPr>
      <w:r>
        <w:rPr>
          <w:rFonts w:ascii="Arial" w:cs="Arial" w:eastAsia="Arial" w:hAnsi="Arial"/>
          <w:sz w:val="17"/>
          <w:szCs w:val="17"/>
          <w:color w:val="212529"/>
        </w:rPr>
        <w:t xml:space="preserve">COVID-19 may also affect employees of third-party contract research organizations and </w:t>
      </w:r>
      <w:r>
        <w:rPr>
          <w:rFonts w:ascii="Arial" w:cs="Arial" w:eastAsia="Arial" w:hAnsi="Arial"/>
          <w:sz w:val="17"/>
          <w:szCs w:val="17"/>
          <w:color w:val="000000"/>
        </w:rPr>
        <w:t>contract manufacturing organizations</w:t>
      </w:r>
      <w:r>
        <w:rPr>
          <w:rFonts w:ascii="Arial" w:cs="Arial" w:eastAsia="Arial" w:hAnsi="Arial"/>
          <w:sz w:val="17"/>
          <w:szCs w:val="17"/>
          <w:color w:val="212529"/>
        </w:rPr>
        <w:t xml:space="preserve"> located in affected geographies that we rely upon to carry out our clinical trials. In addition, we have taken precautionary measures, and may take additional</w:t>
      </w:r>
    </w:p>
    <w:p>
      <w:pPr>
        <w:ind w:right="20"/>
        <w:spacing w:after="0" w:line="255" w:lineRule="auto"/>
        <w:rPr>
          <w:sz w:val="20"/>
          <w:szCs w:val="20"/>
          <w:color w:val="auto"/>
        </w:rPr>
      </w:pPr>
      <w:r>
        <w:rPr>
          <w:rFonts w:ascii="Arial" w:cs="Arial" w:eastAsia="Arial" w:hAnsi="Arial"/>
          <w:sz w:val="18"/>
          <w:szCs w:val="18"/>
          <w:color w:val="212529"/>
        </w:rPr>
        <w:t>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In addition, a recession or market correction resulting from the spread of COVID-19 could materially affect our business and the price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0" w:name="page41"/>
    <w:bookmarkEnd w:id="40"/>
    <w:p>
      <w:pPr>
        <w:ind w:right="140"/>
        <w:spacing w:after="0" w:line="259" w:lineRule="auto"/>
        <w:rPr>
          <w:sz w:val="20"/>
          <w:szCs w:val="20"/>
          <w:color w:val="auto"/>
        </w:rPr>
      </w:pPr>
      <w:r>
        <w:rPr>
          <w:rFonts w:ascii="Arial" w:cs="Arial" w:eastAsia="Arial" w:hAnsi="Arial"/>
          <w:sz w:val="18"/>
          <w:szCs w:val="18"/>
          <w:color w:val="auto"/>
        </w:rPr>
        <w:t>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8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1" w:name="page42"/>
    <w:bookmarkEnd w:id="41"/>
    <w:p>
      <w:pPr>
        <w:ind w:left="1000" w:hanging="493"/>
        <w:spacing w:after="0" w:line="27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00" w:right="20" w:hanging="493"/>
        <w:spacing w:after="0" w:line="272"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6"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2" w:name="page43"/>
    <w:bookmarkEnd w:id="42"/>
    <w:p>
      <w:pPr>
        <w:ind w:right="2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The interplay of federal and state laws may be subject to varying interpretations by courts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agencies, creating complex compliance issues for us and our clients and potentially exposing us to additional expense, adverse publicity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Further, as regulatory focus on privacy issues continues to increase and laws and regulations concerning the protection of personal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expand and become more complex, these potential risks to our business could intensify.</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9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3" w:name="page44"/>
    <w:bookmarkEnd w:id="43"/>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ind w:right="42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5" w:name="page46"/>
    <w:bookmarkEnd w:id="45"/>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right="6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7" w:name="page48"/>
    <w:bookmarkEnd w:id="47"/>
    <w:p>
      <w:pPr>
        <w:ind w:right="140"/>
        <w:spacing w:after="0" w:line="275" w:lineRule="auto"/>
        <w:rPr>
          <w:sz w:val="20"/>
          <w:szCs w:val="20"/>
          <w:color w:val="auto"/>
        </w:rPr>
      </w:pPr>
      <w:r>
        <w:rPr>
          <w:rFonts w:ascii="Arial" w:cs="Arial" w:eastAsia="Arial" w:hAnsi="Arial"/>
          <w:sz w:val="17"/>
          <w:szCs w:val="17"/>
          <w:color w:val="auto"/>
        </w:rPr>
        <w:t>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right="60"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ind w:right="10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2" w:name="page53"/>
    <w:bookmarkEnd w:id="52"/>
    <w:p>
      <w:pPr>
        <w:ind w:left="1000" w:right="2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Sangamo Therapeutics, Inc., Sanofi S.A., Generation Bio Co., Agios Pharmaceuticals, Inc., Trucode Gene Repair, Inc., SOM Biotech SL and other discovery stage companies have developed or are developing product candidates for the treatment of PKU. Allena Pharmaceuticals, Inc, Novome Biotechnologies, Inc., Federation Bio, Inc., Oxidien Pharmaceuticals L.L.C. and others are developing product candidates for Enteric Hyperoxaluria. Merck &amp; Co. Inc., Spring Bank Pharmaceuticals, Inc., GlaxoSmithKline plc., Bristol Myers Squibb Company, and Silicon Therapeutics have STING agonists in clinical development. Companies developing other modalities which target STING or similar mechanisms include companies such as Roche (Genentech) and Pfizer Inc. / Merck KgaA. Multiple companies develop and market antibodies called checkpoint inhibitors including Pfizer Inc., Roche (Genentech), Merck, Bristol-Myers Squibb Company, Eli Lilly &amp; Co, and others.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6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2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5" w:name="page56"/>
    <w:bookmarkEnd w:id="55"/>
    <w:p>
      <w:pPr>
        <w:ind w:right="100" w:firstLine="510"/>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2"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4"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August 5, 2021, our executive officers and directors, together with holders of 5% or more of our common stock outstanding and their respective affiliates, beneficially own approximately 47.1%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August 5, 2021, there were a total of 52,373,311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00" w:right="2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57" w:name="page58"/>
    <w:bookmarkEnd w:id="57"/>
    <w:p>
      <w:pPr>
        <w:ind w:left="1000" w:right="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8" w:name="page59"/>
    <w:bookmarkEnd w:id="58"/>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Employees surrendered 18,187 shares to us, at purchase prices ranging from $3.50 to $4.12, during the six months ended June 30, 2021, for the payment of the minimum tax liability withholding obligations upon the vesting of shares of restricted stock. We do not consider this a share buyback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Filed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760" w:type="dxa"/>
            <w:vAlign w:val="bottom"/>
            <w:gridSpan w:val="10"/>
            <w:vMerge w:val="restart"/>
          </w:tcPr>
          <w:p>
            <w:pPr>
              <w:ind w:left="132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with this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58"/>
        </w:trPr>
        <w:tc>
          <w:tcPr>
            <w:tcW w:w="780" w:type="dxa"/>
            <w:vAlign w:val="bottom"/>
          </w:tcPr>
          <w:p>
            <w:pPr>
              <w:ind w:left="8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5760" w:type="dxa"/>
            <w:vAlign w:val="bottom"/>
            <w:gridSpan w:val="14"/>
          </w:tcPr>
          <w:p>
            <w:pPr>
              <w:spacing w:after="0"/>
              <w:rPr>
                <w:rFonts w:ascii="Arial" w:cs="Arial" w:eastAsia="Arial" w:hAnsi="Arial"/>
                <w:sz w:val="16"/>
                <w:szCs w:val="16"/>
                <w:color w:val="0000EE"/>
                <w:w w:val="93"/>
              </w:rPr>
            </w:pPr>
            <w:hyperlink w:anchor="page62">
              <w:r>
                <w:rPr>
                  <w:rFonts w:ascii="Arial" w:cs="Arial" w:eastAsia="Arial" w:hAnsi="Arial"/>
                  <w:sz w:val="16"/>
                  <w:szCs w:val="16"/>
                  <w:color w:val="0000EE"/>
                  <w:w w:val="93"/>
                </w:rPr>
                <w:t>License and Services Agreement and Statement of Work, dated April 28, 2021, by and</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Borders>
              <w:top w:val="single" w:sz="8" w:color="0000EE"/>
            </w:tcBorders>
            <w:gridSpan w:val="11"/>
          </w:tcPr>
          <w:p>
            <w:pPr>
              <w:spacing w:after="0" w:line="183" w:lineRule="exact"/>
              <w:rPr>
                <w:rFonts w:ascii="Arial" w:cs="Arial" w:eastAsia="Arial" w:hAnsi="Arial"/>
                <w:sz w:val="16"/>
                <w:szCs w:val="16"/>
                <w:color w:val="0000EE"/>
                <w:w w:val="96"/>
              </w:rPr>
            </w:pPr>
            <w:hyperlink w:anchor="page62">
              <w:r>
                <w:rPr>
                  <w:rFonts w:ascii="Arial" w:cs="Arial" w:eastAsia="Arial" w:hAnsi="Arial"/>
                  <w:sz w:val="16"/>
                  <w:szCs w:val="16"/>
                  <w:color w:val="0000EE"/>
                  <w:w w:val="96"/>
                </w:rPr>
                <w:t>between Synlogic Operating Company, Inc. and Azzur Cleanrooms-On-Demand –</w:t>
              </w:r>
            </w:hyperlink>
          </w:p>
        </w:tc>
        <w:tc>
          <w:tcPr>
            <w:tcW w:w="16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5"/>
              </w:rPr>
            </w:pPr>
            <w:hyperlink w:anchor="page62">
              <w:r>
                <w:rPr>
                  <w:rFonts w:ascii="Arial" w:cs="Arial" w:eastAsia="Arial" w:hAnsi="Arial"/>
                  <w:sz w:val="16"/>
                  <w:szCs w:val="16"/>
                  <w:color w:val="0000EE"/>
                  <w:w w:val="95"/>
                </w:rPr>
                <w:t>Boston, LLC.</w:t>
              </w:r>
            </w:hyperlink>
          </w:p>
        </w:tc>
        <w:tc>
          <w:tcPr>
            <w:tcW w:w="4440" w:type="dxa"/>
            <w:vAlign w:val="bottom"/>
            <w:tcBorders>
              <w:top w:val="single" w:sz="8" w:color="0000EE"/>
            </w:tcBorders>
            <w:gridSpan w:val="6"/>
          </w:tcPr>
          <w:p>
            <w:pPr>
              <w:spacing w:after="0"/>
              <w:rPr>
                <w:sz w:val="15"/>
                <w:szCs w:val="15"/>
                <w:color w:val="auto"/>
              </w:rPr>
            </w:pPr>
          </w:p>
        </w:tc>
        <w:tc>
          <w:tcPr>
            <w:tcW w:w="42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5760" w:type="dxa"/>
            <w:vAlign w:val="bottom"/>
            <w:gridSpan w:val="14"/>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Pilot Collaboration and Option Agreement, dated June 16, 2021, among Synlogic</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w:anchor="page83">
              <w:r>
                <w:rPr>
                  <w:rFonts w:ascii="Arial" w:cs="Arial" w:eastAsia="Arial" w:hAnsi="Arial"/>
                  <w:sz w:val="16"/>
                  <w:szCs w:val="16"/>
                  <w:color w:val="0000EE"/>
                </w:rPr>
                <w:t>Operating Company, Inc. and Hoffman-La Roche Inc.</w:t>
              </w:r>
            </w:hyperlink>
          </w:p>
        </w:tc>
        <w:tc>
          <w:tcPr>
            <w:tcW w:w="48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640" w:type="dxa"/>
            <w:vAlign w:val="bottom"/>
            <w:tcBorders>
              <w:bottom w:val="single" w:sz="8" w:color="0000EE"/>
            </w:tcBorders>
            <w:gridSpan w:val="12"/>
          </w:tcPr>
          <w:p>
            <w:pPr>
              <w:spacing w:after="0"/>
              <w:rPr>
                <w:rFonts w:ascii="Arial" w:cs="Arial" w:eastAsia="Arial" w:hAnsi="Arial"/>
                <w:sz w:val="16"/>
                <w:szCs w:val="16"/>
                <w:color w:val="0000EE"/>
                <w:w w:val="93"/>
              </w:rPr>
            </w:pPr>
            <w:hyperlink w:anchor="page115">
              <w:r>
                <w:rPr>
                  <w:rFonts w:ascii="Arial" w:cs="Arial" w:eastAsia="Arial" w:hAnsi="Arial"/>
                  <w:sz w:val="16"/>
                  <w:szCs w:val="16"/>
                  <w:color w:val="0000EE"/>
                  <w:w w:val="93"/>
                </w:rPr>
                <w:t>Certification of Chief Executive Officer required by Rule 13a-14(a) or Rule 15d-14(a).</w:t>
              </w:r>
            </w:hyperlink>
          </w:p>
        </w:tc>
        <w:tc>
          <w:tcPr>
            <w:tcW w:w="120" w:type="dxa"/>
            <w:vAlign w:val="bottom"/>
            <w:gridSpan w:val="2"/>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60" w:type="dxa"/>
            <w:vAlign w:val="bottom"/>
            <w:gridSpan w:val="14"/>
          </w:tcPr>
          <w:p>
            <w:pPr>
              <w:spacing w:after="0"/>
              <w:rPr>
                <w:rFonts w:ascii="Arial" w:cs="Arial" w:eastAsia="Arial" w:hAnsi="Arial"/>
                <w:sz w:val="16"/>
                <w:szCs w:val="16"/>
                <w:color w:val="0000EE"/>
              </w:rPr>
            </w:pPr>
            <w:hyperlink w:anchor="page116">
              <w:r>
                <w:rPr>
                  <w:rFonts w:ascii="Arial" w:cs="Arial" w:eastAsia="Arial" w:hAnsi="Arial"/>
                  <w:sz w:val="16"/>
                  <w:szCs w:val="16"/>
                  <w:color w:val="0000EE"/>
                </w:rPr>
                <w:t>Certification of Interim Chief Financial Officer required by Rule 13a-14(a) or Rule</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EE"/>
            </w:tcBorders>
            <w:gridSpan w:val="10"/>
          </w:tcPr>
          <w:p>
            <w:pPr>
              <w:spacing w:after="0" w:line="183" w:lineRule="exact"/>
              <w:rPr>
                <w:rFonts w:ascii="Arial" w:cs="Arial" w:eastAsia="Arial" w:hAnsi="Arial"/>
                <w:sz w:val="16"/>
                <w:szCs w:val="16"/>
                <w:color w:val="0000EE"/>
              </w:rPr>
            </w:pPr>
            <w:hyperlink w:anchor="page116">
              <w:r>
                <w:rPr>
                  <w:rFonts w:ascii="Arial" w:cs="Arial" w:eastAsia="Arial" w:hAnsi="Arial"/>
                  <w:sz w:val="16"/>
                  <w:szCs w:val="16"/>
                  <w:color w:val="0000EE"/>
                </w:rPr>
                <w:t>15d-14(a).</w:t>
              </w:r>
            </w:hyperlink>
          </w:p>
        </w:tc>
        <w:tc>
          <w:tcPr>
            <w:tcW w:w="38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200" w:type="dxa"/>
            <w:vAlign w:val="bottom"/>
            <w:tcBorders>
              <w:bottom w:val="single" w:sz="8" w:color="0000EE"/>
            </w:tcBorders>
            <w:gridSpan w:val="7"/>
          </w:tcPr>
          <w:p>
            <w:pPr>
              <w:spacing w:after="0"/>
              <w:rPr>
                <w:rFonts w:ascii="Arial" w:cs="Arial" w:eastAsia="Arial" w:hAnsi="Arial"/>
                <w:sz w:val="16"/>
                <w:szCs w:val="16"/>
                <w:color w:val="0000EE"/>
                <w:w w:val="93"/>
              </w:rPr>
            </w:pPr>
            <w:hyperlink w:anchor="page117">
              <w:r>
                <w:rPr>
                  <w:rFonts w:ascii="Arial" w:cs="Arial" w:eastAsia="Arial" w:hAnsi="Arial"/>
                  <w:sz w:val="16"/>
                  <w:szCs w:val="16"/>
                  <w:color w:val="0000EE"/>
                  <w:w w:val="93"/>
                </w:rPr>
                <w:t>Certification required by Rule 13a-14(b) or Rule 15d-14(b) and Section 1350 of</w:t>
              </w:r>
            </w:hyperlink>
          </w:p>
        </w:tc>
        <w:tc>
          <w:tcPr>
            <w:tcW w:w="560" w:type="dxa"/>
            <w:vAlign w:val="bottom"/>
            <w:gridSpan w:val="7"/>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bottom w:val="single" w:sz="8" w:color="0000EE"/>
            </w:tcBorders>
            <w:gridSpan w:val="5"/>
          </w:tcPr>
          <w:p>
            <w:pPr>
              <w:spacing w:after="0" w:line="183" w:lineRule="exact"/>
              <w:rPr>
                <w:rFonts w:ascii="Arial" w:cs="Arial" w:eastAsia="Arial" w:hAnsi="Arial"/>
                <w:sz w:val="16"/>
                <w:szCs w:val="16"/>
                <w:color w:val="0000EE"/>
                <w:w w:val="91"/>
              </w:rPr>
            </w:pPr>
            <w:hyperlink w:anchor="page117">
              <w:r>
                <w:rPr>
                  <w:rFonts w:ascii="Arial" w:cs="Arial" w:eastAsia="Arial" w:hAnsi="Arial"/>
                  <w:sz w:val="16"/>
                  <w:szCs w:val="16"/>
                  <w:color w:val="0000EE"/>
                  <w:w w:val="91"/>
                </w:rPr>
                <w:t>Chapter 63 of Title 18 of the United States Code (18 U.S.C. §1350).</w:t>
              </w:r>
            </w:hyperlink>
          </w:p>
        </w:tc>
        <w:tc>
          <w:tcPr>
            <w:tcW w:w="1340" w:type="dxa"/>
            <w:vAlign w:val="bottom"/>
            <w:gridSpan w:val="9"/>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5760" w:type="dxa"/>
            <w:vAlign w:val="bottom"/>
            <w:gridSpan w:val="14"/>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Certification required by Rule 13a-14(b) or Rule 15d-14(b) and Section 1350 of</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1"/>
              </w:rPr>
            </w:pPr>
            <w:hyperlink w:anchor="page118">
              <w:r>
                <w:rPr>
                  <w:rFonts w:ascii="Arial" w:cs="Arial" w:eastAsia="Arial" w:hAnsi="Arial"/>
                  <w:sz w:val="16"/>
                  <w:szCs w:val="16"/>
                  <w:color w:val="0000EE"/>
                  <w:w w:val="91"/>
                </w:rPr>
                <w:t>Chapter 63 of Title 18 of the United States Code (18 U.S.C. §1350).</w:t>
              </w:r>
            </w:hyperlink>
          </w:p>
        </w:tc>
        <w:tc>
          <w:tcPr>
            <w:tcW w:w="760" w:type="dxa"/>
            <w:vAlign w:val="bottom"/>
            <w:tcBorders>
              <w:top w:val="single" w:sz="8" w:color="0000EE"/>
            </w:tcBorders>
          </w:tcPr>
          <w:p>
            <w:pPr>
              <w:spacing w:after="0"/>
              <w:rPr>
                <w:sz w:val="15"/>
                <w:szCs w:val="15"/>
                <w:color w:val="auto"/>
              </w:rPr>
            </w:pPr>
          </w:p>
        </w:tc>
        <w:tc>
          <w:tcPr>
            <w:tcW w:w="580" w:type="dxa"/>
            <w:vAlign w:val="bottom"/>
            <w:gridSpan w:val="8"/>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Interactive Date File because XBRL tags are embedded within the Inline XBRL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5760" w:type="dxa"/>
            <w:vAlign w:val="bottom"/>
            <w:gridSpan w:val="14"/>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6769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06" w:lineRule="exact"/>
        <w:rPr>
          <w:sz w:val="20"/>
          <w:szCs w:val="20"/>
          <w:color w:val="auto"/>
        </w:rPr>
      </w:pPr>
    </w:p>
    <w:p>
      <w:pPr>
        <w:ind w:left="500" w:right="20" w:hanging="492"/>
        <w:spacing w:after="0" w:line="273"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13"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in accordance with the rules of the Securities and Exchange Commission.</w:t>
      </w:r>
    </w:p>
    <w:p>
      <w:pPr>
        <w:spacing w:after="0" w:line="24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580" w:right="39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10.1</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Confidential</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Copy</w:t>
      </w:r>
    </w:p>
    <w:p>
      <w:pPr>
        <w:spacing w:after="0" w:line="194" w:lineRule="exact"/>
        <w:rPr>
          <w:sz w:val="20"/>
          <w:szCs w:val="20"/>
          <w:color w:val="auto"/>
        </w:rPr>
      </w:pPr>
    </w:p>
    <w:p>
      <w:pPr>
        <w:jc w:val="both"/>
        <w:ind w:firstLine="8"/>
        <w:spacing w:after="0" w:line="253" w:lineRule="auto"/>
        <w:tabs>
          <w:tab w:leader="none" w:pos="51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PARTIES HERETO ACKNOWLEDGE AND AGREE THAT THIS AGREEMENT IS NOT A LEASE AND IS A MERE LICENSE AND CREATES NO TENANCY INTEREST, LEASEHOLD ESTATE OR OTHER REAL PROPERTY INTEREST IN LICENSEE’S FAVOR. THE PARTIES HERETO FURTHER ACKNOWLEDGE THAT ALL INTELLECTUAL PROPERTY, WHETHER PATENTABLE OR NOT, CREATED, CONCEIVED OR REDUCED TO PRACTICE BY LICENSEE SHALL BE THE SOLE PROPERTY OF AND SHALL VEST IN LICENSEE.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LICENSE AND SERVICES AGREEMENT</w:t>
      </w:r>
    </w:p>
    <w:p>
      <w:pPr>
        <w:spacing w:after="0" w:line="22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This License and Services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the 28th day of April, 2021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AZZUR CLEANROOMS-ON-DEMAND - BOSTON, LLC, a Massachusetts limited liability company (the “</w:t>
      </w:r>
      <w:r>
        <w:rPr>
          <w:rFonts w:ascii="Arial" w:cs="Arial" w:eastAsia="Arial" w:hAnsi="Arial"/>
          <w:sz w:val="19"/>
          <w:szCs w:val="19"/>
          <w:u w:val="single" w:color="auto"/>
          <w:color w:val="auto"/>
        </w:rPr>
        <w:t>Licensor</w:t>
      </w:r>
      <w:r>
        <w:rPr>
          <w:rFonts w:ascii="Arial" w:cs="Arial" w:eastAsia="Arial" w:hAnsi="Arial"/>
          <w:sz w:val="19"/>
          <w:szCs w:val="19"/>
          <w:color w:val="auto"/>
        </w:rPr>
        <w:t>”), and Synlogic Operating Company, Inc. 301 Binney St. Suite 402 Cambridge, MA 02142, a Delaware corporation (the “</w:t>
      </w:r>
      <w:r>
        <w:rPr>
          <w:rFonts w:ascii="Arial" w:cs="Arial" w:eastAsia="Arial" w:hAnsi="Arial"/>
          <w:sz w:val="19"/>
          <w:szCs w:val="19"/>
          <w:u w:val="single" w:color="auto"/>
          <w:color w:val="auto"/>
        </w:rPr>
        <w:t>Licensee</w:t>
      </w:r>
      <w:r>
        <w:rPr>
          <w:rFonts w:ascii="Arial" w:cs="Arial" w:eastAsia="Arial" w:hAnsi="Arial"/>
          <w:sz w:val="19"/>
          <w:szCs w:val="19"/>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certain agreements (as may be amended, modified, and/or restated from time to time, the “</w:t>
      </w:r>
      <w:r>
        <w:rPr>
          <w:rFonts w:ascii="Arial" w:cs="Arial" w:eastAsia="Arial" w:hAnsi="Arial"/>
          <w:sz w:val="20"/>
          <w:szCs w:val="20"/>
          <w:u w:val="single" w:color="auto"/>
          <w:color w:val="auto"/>
        </w:rPr>
        <w:t>Lease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Licensor and DBCI, Inc. (the “</w:t>
      </w:r>
      <w:r>
        <w:rPr>
          <w:rFonts w:ascii="Arial" w:cs="Arial" w:eastAsia="Arial" w:hAnsi="Arial"/>
          <w:sz w:val="20"/>
          <w:szCs w:val="20"/>
          <w:u w:val="single" w:color="auto"/>
          <w:color w:val="auto"/>
        </w:rPr>
        <w:t>Landlord</w:t>
      </w:r>
      <w:r>
        <w:rPr>
          <w:rFonts w:ascii="Arial" w:cs="Arial" w:eastAsia="Arial" w:hAnsi="Arial"/>
          <w:sz w:val="20"/>
          <w:szCs w:val="20"/>
          <w:color w:val="auto"/>
        </w:rPr>
        <w:t>”), Licensor leases the buildings wherein it provides services to the Licensee (the “Premises”).</w:t>
      </w:r>
    </w:p>
    <w:p>
      <w:pPr>
        <w:spacing w:after="0" w:line="17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Licensor desires to license to Licensee, and Licensee desires to license from Licensor and use, a portion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Premises for the sole purpose of early phase clinical or preclinical manufacturing and related activities, together with other business activity related thereto; and</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Licensor and Licensee are willing to enter into such license, and for Licensee to engage Licensor to perform such</w:t>
      </w:r>
      <w:r>
        <w:rPr>
          <w:rFonts w:ascii="Arial" w:cs="Arial" w:eastAsia="Arial" w:hAnsi="Arial"/>
          <w:sz w:val="20"/>
          <w:szCs w:val="20"/>
          <w:b w:val="1"/>
          <w:bCs w:val="1"/>
          <w:color w:val="auto"/>
        </w:rPr>
        <w:t xml:space="preserve"> </w:t>
      </w:r>
      <w:r>
        <w:rPr>
          <w:rFonts w:ascii="Arial" w:cs="Arial" w:eastAsia="Arial" w:hAnsi="Arial"/>
          <w:sz w:val="20"/>
          <w:szCs w:val="20"/>
          <w:color w:val="auto"/>
        </w:rPr>
        <w:t>support services, all under the terms, covenants and conditions set forth herein.</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contained herein the parties, intending to be legally bound,</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6"/>
        </w:trPr>
        <w:tc>
          <w:tcPr>
            <w:tcW w:w="2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tcPr>
          <w:p>
            <w:pPr>
              <w:ind w:left="1560"/>
              <w:spacing w:after="0"/>
              <w:rPr>
                <w:sz w:val="20"/>
                <w:szCs w:val="20"/>
                <w:color w:val="auto"/>
              </w:rPr>
            </w:pPr>
            <w:r>
              <w:rPr>
                <w:rFonts w:ascii="Arial" w:cs="Arial" w:eastAsia="Arial" w:hAnsi="Arial"/>
                <w:sz w:val="20"/>
                <w:szCs w:val="20"/>
                <w:b w:val="1"/>
                <w:bCs w:val="1"/>
                <w:color w:val="auto"/>
              </w:rPr>
              <w:t>ARTICLE I.</w:t>
            </w:r>
          </w:p>
        </w:tc>
        <w:tc>
          <w:tcPr>
            <w:tcW w:w="146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446"/>
        </w:trPr>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20" w:type="dxa"/>
            <w:vAlign w:val="bottom"/>
          </w:tcPr>
          <w:p>
            <w:pPr>
              <w:ind w:left="1440"/>
              <w:spacing w:after="0"/>
              <w:rPr>
                <w:sz w:val="20"/>
                <w:szCs w:val="20"/>
                <w:color w:val="auto"/>
              </w:rPr>
            </w:pPr>
            <w:r>
              <w:rPr>
                <w:rFonts w:ascii="Arial" w:cs="Arial" w:eastAsia="Arial" w:hAnsi="Arial"/>
                <w:sz w:val="20"/>
                <w:szCs w:val="20"/>
                <w:b w:val="1"/>
                <w:bCs w:val="1"/>
                <w:color w:val="auto"/>
              </w:rPr>
              <w:t>DEFINITIONS</w:t>
            </w: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25"/>
        </w:trPr>
        <w:tc>
          <w:tcPr>
            <w:tcW w:w="2180" w:type="dxa"/>
            <w:vAlign w:val="bottom"/>
          </w:tcPr>
          <w:p>
            <w:pPr>
              <w:ind w:left="880"/>
              <w:spacing w:after="0"/>
              <w:rPr>
                <w:sz w:val="20"/>
                <w:szCs w:val="20"/>
                <w:color w:val="auto"/>
              </w:rPr>
            </w:pPr>
            <w:r>
              <w:rPr>
                <w:rFonts w:ascii="Arial" w:cs="Arial" w:eastAsia="Arial" w:hAnsi="Arial"/>
                <w:sz w:val="20"/>
                <w:szCs w:val="20"/>
                <w:color w:val="auto"/>
              </w:rPr>
              <w:t>Section 1.01</w:t>
            </w:r>
          </w:p>
        </w:tc>
        <w:tc>
          <w:tcPr>
            <w:tcW w:w="9040" w:type="dxa"/>
            <w:vAlign w:val="bottom"/>
            <w:gridSpan w:val="4"/>
          </w:tcPr>
          <w:p>
            <w:pPr>
              <w:ind w:left="320"/>
              <w:spacing w:after="0"/>
              <w:rPr>
                <w:sz w:val="20"/>
                <w:szCs w:val="20"/>
                <w:color w:val="auto"/>
              </w:rPr>
            </w:pPr>
            <w:r>
              <w:rPr>
                <w:rFonts w:ascii="Arial" w:cs="Arial" w:eastAsia="Arial" w:hAnsi="Arial"/>
                <w:sz w:val="20"/>
                <w:szCs w:val="20"/>
                <w:color w:val="auto"/>
                <w:w w:val="90"/>
              </w:rPr>
              <w:t>The following terms used herein shall have the meaning set forth in the corresponding section set forth in the</w:t>
            </w:r>
          </w:p>
        </w:tc>
      </w:tr>
      <w:tr>
        <w:trPr>
          <w:trHeight w:val="250"/>
        </w:trPr>
        <w:tc>
          <w:tcPr>
            <w:tcW w:w="2180" w:type="dxa"/>
            <w:vAlign w:val="bottom"/>
          </w:tcPr>
          <w:p>
            <w:pPr>
              <w:spacing w:after="0"/>
              <w:rPr>
                <w:sz w:val="20"/>
                <w:szCs w:val="20"/>
                <w:color w:val="auto"/>
              </w:rPr>
            </w:pPr>
            <w:r>
              <w:rPr>
                <w:rFonts w:ascii="Arial" w:cs="Arial" w:eastAsia="Arial" w:hAnsi="Arial"/>
                <w:sz w:val="20"/>
                <w:szCs w:val="20"/>
                <w:color w:val="auto"/>
              </w:rPr>
              <w:t>table below:</w:t>
            </w:r>
          </w:p>
        </w:tc>
        <w:tc>
          <w:tcPr>
            <w:tcW w:w="13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25"/>
        </w:trPr>
        <w:tc>
          <w:tcPr>
            <w:tcW w:w="2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shd w:val="clear" w:color="auto" w:fill="BFBFBF"/>
          </w:tcPr>
          <w:p>
            <w:pPr>
              <w:ind w:left="100"/>
              <w:spacing w:after="0" w:line="223" w:lineRule="exact"/>
              <w:rPr>
                <w:sz w:val="20"/>
                <w:szCs w:val="20"/>
                <w:color w:val="auto"/>
              </w:rPr>
            </w:pPr>
            <w:r>
              <w:rPr>
                <w:rFonts w:ascii="Arial" w:cs="Arial" w:eastAsia="Arial" w:hAnsi="Arial"/>
                <w:sz w:val="20"/>
                <w:szCs w:val="20"/>
                <w:b w:val="1"/>
                <w:bCs w:val="1"/>
                <w:color w:val="auto"/>
              </w:rPr>
              <w:t>Defined Term</w:t>
            </w:r>
          </w:p>
        </w:tc>
        <w:tc>
          <w:tcPr>
            <w:tcW w:w="1460" w:type="dxa"/>
            <w:vAlign w:val="bottom"/>
            <w:tcBorders>
              <w:bottom w:val="single" w:sz="8" w:color="auto"/>
              <w:right w:val="single" w:sz="8" w:color="auto"/>
            </w:tcBorders>
            <w:shd w:val="clear" w:color="auto" w:fill="BFBFBF"/>
          </w:tcPr>
          <w:p>
            <w:pPr>
              <w:ind w:left="100"/>
              <w:spacing w:after="0" w:line="223" w:lineRule="exact"/>
              <w:rPr>
                <w:sz w:val="20"/>
                <w:szCs w:val="20"/>
                <w:color w:val="auto"/>
              </w:rPr>
            </w:pPr>
            <w:r>
              <w:rPr>
                <w:rFonts w:ascii="Arial" w:cs="Arial" w:eastAsia="Arial" w:hAnsi="Arial"/>
                <w:sz w:val="20"/>
                <w:szCs w:val="20"/>
                <w:b w:val="1"/>
                <w:bCs w:val="1"/>
                <w:color w:val="auto"/>
              </w:rPr>
              <w:t>Section</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Agreement</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Preamble</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Cleanroom(s)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Common Space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Confidential Information</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9.01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Dedicated Space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Effective Date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Preamble</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Equipment</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3.03</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Fees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7.01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Landlord</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Recitals</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Lease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Recitals</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Licensed Space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License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Licensee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Preamble</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License Fee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7.01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Licensor</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Preamble</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Licensor’s FF&amp;E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2.02</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Losses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11.02</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Office Space</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Premises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Recitals</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Products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3.01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Intellectual Property</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8.01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Regulatory Approval</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6.02</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Regulatory Authority</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5.03</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SOPs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2.03</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SOW</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Support Services</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4.01</w:t>
            </w:r>
          </w:p>
        </w:tc>
        <w:tc>
          <w:tcPr>
            <w:tcW w:w="3420" w:type="dxa"/>
            <w:vAlign w:val="bottom"/>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Term</w:t>
            </w:r>
          </w:p>
        </w:tc>
        <w:tc>
          <w:tcPr>
            <w:tcW w:w="1460" w:type="dxa"/>
            <w:vAlign w:val="bottom"/>
            <w:tcBorders>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12.01</w:t>
            </w:r>
          </w:p>
        </w:tc>
        <w:tc>
          <w:tcPr>
            <w:tcW w:w="3420" w:type="dxa"/>
            <w:vAlign w:val="bottom"/>
          </w:tcPr>
          <w:p>
            <w:pPr>
              <w:spacing w:after="0"/>
              <w:rPr>
                <w:sz w:val="19"/>
                <w:szCs w:val="19"/>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LICENSE</w:t>
      </w:r>
    </w:p>
    <w:p>
      <w:pPr>
        <w:spacing w:after="0" w:line="22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Grant of License</w:t>
      </w:r>
      <w:r>
        <w:rPr>
          <w:rFonts w:ascii="Arial" w:cs="Arial" w:eastAsia="Arial" w:hAnsi="Arial"/>
          <w:sz w:val="19"/>
          <w:szCs w:val="19"/>
          <w:color w:val="auto"/>
        </w:rPr>
        <w:t>. Subject to the terms and conditions of this Agreement, Licensor does hereby grant to Licensee a limited license (the “</w:t>
      </w:r>
      <w:r>
        <w:rPr>
          <w:rFonts w:ascii="Arial" w:cs="Arial" w:eastAsia="Arial" w:hAnsi="Arial"/>
          <w:sz w:val="19"/>
          <w:szCs w:val="19"/>
          <w:u w:val="single" w:color="auto"/>
          <w:color w:val="auto"/>
        </w:rPr>
        <w:t>License</w:t>
      </w:r>
      <w:r>
        <w:rPr>
          <w:rFonts w:ascii="Arial" w:cs="Arial" w:eastAsia="Arial" w:hAnsi="Arial"/>
          <w:sz w:val="19"/>
          <w:szCs w:val="19"/>
          <w:color w:val="auto"/>
        </w:rPr>
        <w:t xml:space="preserve">”) to occupy cleanroom space and associated office space all of which are identified in </w:t>
      </w:r>
      <w:r>
        <w:rPr>
          <w:rFonts w:ascii="Arial" w:cs="Arial" w:eastAsia="Arial" w:hAnsi="Arial"/>
          <w:sz w:val="19"/>
          <w:szCs w:val="19"/>
          <w:u w:val="single" w:color="auto"/>
          <w:color w:val="auto"/>
        </w:rPr>
        <w:t>an individual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Scope of Work (“SOW”)</w:t>
      </w:r>
      <w:r>
        <w:rPr>
          <w:rFonts w:ascii="Arial" w:cs="Arial" w:eastAsia="Arial" w:hAnsi="Arial"/>
          <w:sz w:val="19"/>
          <w:szCs w:val="19"/>
          <w:color w:val="auto"/>
        </w:rPr>
        <w:t xml:space="preserve"> executed by the parties (respectively, the Cleanroom and the Office Space, collectively, the “</w:t>
      </w:r>
      <w:r>
        <w:rPr>
          <w:rFonts w:ascii="Arial" w:cs="Arial" w:eastAsia="Arial" w:hAnsi="Arial"/>
          <w:sz w:val="19"/>
          <w:szCs w:val="19"/>
          <w:u w:val="single" w:color="auto"/>
          <w:color w:val="auto"/>
        </w:rPr>
        <w:t>Dedicated Space</w:t>
      </w:r>
      <w:r>
        <w:rPr>
          <w:rFonts w:ascii="Arial" w:cs="Arial" w:eastAsia="Arial" w:hAnsi="Arial"/>
          <w:sz w:val="19"/>
          <w:szCs w:val="19"/>
          <w:color w:val="auto"/>
        </w:rPr>
        <w:t>”), together with a non-exclusive right in common with the Licensor and Licensor’s invitees, guests, customers, and other licensees at the Premises to access and use the following, including but not limited to: gown-in and gown-out areas, access corridors, main lobby, necessary hallways, shared breakrooms, shared rest-rooms, shared parking areas, stairs and ingress and egress points (the “</w:t>
      </w:r>
      <w:r>
        <w:rPr>
          <w:rFonts w:ascii="Arial" w:cs="Arial" w:eastAsia="Arial" w:hAnsi="Arial"/>
          <w:sz w:val="19"/>
          <w:szCs w:val="19"/>
          <w:u w:val="single" w:color="auto"/>
          <w:color w:val="auto"/>
        </w:rPr>
        <w:t>Common Space</w:t>
      </w:r>
      <w:r>
        <w:rPr>
          <w:rFonts w:ascii="Arial" w:cs="Arial" w:eastAsia="Arial" w:hAnsi="Arial"/>
          <w:sz w:val="19"/>
          <w:szCs w:val="19"/>
          <w:color w:val="auto"/>
        </w:rPr>
        <w:t>”, and collectively with the Dedicated Space, the “</w:t>
      </w:r>
      <w:r>
        <w:rPr>
          <w:rFonts w:ascii="Arial" w:cs="Arial" w:eastAsia="Arial" w:hAnsi="Arial"/>
          <w:sz w:val="19"/>
          <w:szCs w:val="19"/>
          <w:u w:val="single" w:color="auto"/>
          <w:color w:val="auto"/>
        </w:rPr>
        <w:t>Licensed Space</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3" w:name="page64"/>
    <w:bookmarkEnd w:id="63"/>
    <w:p>
      <w:pPr>
        <w:jc w:val="both"/>
        <w:ind w:firstLine="864"/>
        <w:spacing w:after="0" w:line="243"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Licensor Equipment</w:t>
      </w:r>
      <w:r>
        <w:rPr>
          <w:rFonts w:ascii="Arial" w:cs="Arial" w:eastAsia="Arial" w:hAnsi="Arial"/>
          <w:sz w:val="20"/>
          <w:szCs w:val="20"/>
          <w:color w:val="auto"/>
        </w:rPr>
        <w:t>. The foregoing License grant contained in this Agreement provides Licensee with the exclusive use of the Licensor’s equipment, furniture and other property located in the Dedicated Space and, subject to the SOPs, non-exclusive use of the equipment, furniture and other property located in the Common Space, each as described on an applicable SOW. Unless otherwise specified in an applicable SOW, all personal property, including furniture and equipment installed in or located in the Licensed Space prior to Licensee’s use of the Licensed Space is the property of Licensor and is to be described in the applicable SOW (collectively, the “</w:t>
      </w:r>
      <w:r>
        <w:rPr>
          <w:rFonts w:ascii="Arial" w:cs="Arial" w:eastAsia="Arial" w:hAnsi="Arial"/>
          <w:sz w:val="20"/>
          <w:szCs w:val="20"/>
          <w:u w:val="single" w:color="auto"/>
          <w:color w:val="auto"/>
        </w:rPr>
        <w:t>Licensor’s Fixtures, Furniture &amp; Equipment</w:t>
      </w:r>
      <w:r>
        <w:rPr>
          <w:rFonts w:ascii="Arial" w:cs="Arial" w:eastAsia="Arial" w:hAnsi="Arial"/>
          <w:sz w:val="20"/>
          <w:szCs w:val="20"/>
          <w:color w:val="auto"/>
        </w:rPr>
        <w:t>” or “</w:t>
      </w:r>
      <w:r>
        <w:rPr>
          <w:rFonts w:ascii="Arial" w:cs="Arial" w:eastAsia="Arial" w:hAnsi="Arial"/>
          <w:sz w:val="20"/>
          <w:szCs w:val="20"/>
          <w:u w:val="single" w:color="auto"/>
          <w:color w:val="auto"/>
        </w:rPr>
        <w:t>Licensor’s FF&amp;E</w:t>
      </w:r>
      <w:r>
        <w:rPr>
          <w:rFonts w:ascii="Arial" w:cs="Arial" w:eastAsia="Arial" w:hAnsi="Arial"/>
          <w:sz w:val="20"/>
          <w:szCs w:val="20"/>
          <w:color w:val="auto"/>
        </w:rPr>
        <w:t>”).</w:t>
      </w:r>
    </w:p>
    <w:p>
      <w:pPr>
        <w:spacing w:after="0" w:line="19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Standard Operating Policies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SOPs</w:t>
      </w:r>
      <w:r>
        <w:rPr>
          <w:rFonts w:ascii="Arial" w:cs="Arial" w:eastAsia="Arial" w:hAnsi="Arial"/>
          <w:sz w:val="19"/>
          <w:szCs w:val="19"/>
          <w:color w:val="auto"/>
        </w:rPr>
        <w:t>”). The Licensee shall comply fully with the Licensor’s required SOPs as from time to time in effect with respect to the Premises, including the SOPs for use of and cleaning the Cleanroom. These SOPs shall be made available to the Licensor for training purposes, as specified in the applicable SOW. Licensor shall have the right, exercisable in its sole and absolute discretion to revise, amend, modify, and/or restate the SOPs at any time, and such revised, amended, modified, and/or restated SOPs shall be deemed to be automatically and immediately incorporated herein. The Standard Operating Procedures for the Premises and/or Licensed Space applicable to Licensee, as revised, amended, modified and/or restated from time to time by Licensor, in Licensor’s sole discretion, are referred to herein as, the “</w:t>
      </w:r>
      <w:r>
        <w:rPr>
          <w:rFonts w:ascii="Arial" w:cs="Arial" w:eastAsia="Arial" w:hAnsi="Arial"/>
          <w:sz w:val="19"/>
          <w:szCs w:val="19"/>
          <w:u w:val="single" w:color="auto"/>
          <w:color w:val="auto"/>
        </w:rPr>
        <w:t>SOPs</w:t>
      </w:r>
      <w:r>
        <w:rPr>
          <w:rFonts w:ascii="Arial" w:cs="Arial" w:eastAsia="Arial" w:hAnsi="Arial"/>
          <w:sz w:val="19"/>
          <w:szCs w:val="19"/>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USE OF LICENSED SPACE</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u w:val="single" w:color="auto"/>
          <w:color w:val="auto"/>
        </w:rPr>
        <w:t>Use of Space</w:t>
      </w:r>
      <w:r>
        <w:rPr>
          <w:rFonts w:ascii="Arial" w:cs="Arial" w:eastAsia="Arial" w:hAnsi="Arial"/>
          <w:sz w:val="20"/>
          <w:szCs w:val="20"/>
          <w:color w:val="auto"/>
        </w:rPr>
        <w:t>. Licensee shall use the Licensed Space for the sole purpose of early phase clinical or pre-clinical manufacturing and related activities (“</w:t>
      </w:r>
      <w:r>
        <w:rPr>
          <w:rFonts w:ascii="Arial" w:cs="Arial" w:eastAsia="Arial" w:hAnsi="Arial"/>
          <w:sz w:val="20"/>
          <w:szCs w:val="20"/>
          <w:u w:val="single" w:color="auto"/>
          <w:color w:val="auto"/>
        </w:rPr>
        <w:t>Activities</w:t>
      </w:r>
      <w:r>
        <w:rPr>
          <w:rFonts w:ascii="Arial" w:cs="Arial" w:eastAsia="Arial" w:hAnsi="Arial"/>
          <w:sz w:val="20"/>
          <w:szCs w:val="20"/>
          <w:color w:val="auto"/>
        </w:rPr>
        <w:t>”) for Licensee’s product (collectively, the “</w:t>
      </w:r>
      <w:r>
        <w:rPr>
          <w:rFonts w:ascii="Arial" w:cs="Arial" w:eastAsia="Arial" w:hAnsi="Arial"/>
          <w:sz w:val="20"/>
          <w:szCs w:val="20"/>
          <w:u w:val="single" w:color="auto"/>
          <w:color w:val="auto"/>
        </w:rPr>
        <w:t>Products</w:t>
      </w:r>
      <w:r>
        <w:rPr>
          <w:rFonts w:ascii="Arial" w:cs="Arial" w:eastAsia="Arial" w:hAnsi="Arial"/>
          <w:sz w:val="20"/>
          <w:szCs w:val="20"/>
          <w:color w:val="auto"/>
        </w:rPr>
        <w:t>”), together with all other business activities related thereto including producing Products or engaging in Activites on behalf of third-parties and/or collaborators. Notwithstanding anything herein to the contrary, throughout the Term (defined in Article 12), Licensee shall use and occupy the Licensed Space solely in accordance with, and as permitted under, the terms of the Lease.</w:t>
      </w:r>
    </w:p>
    <w:p>
      <w:pPr>
        <w:spacing w:after="0" w:line="194"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Access</w:t>
      </w:r>
      <w:r>
        <w:rPr>
          <w:rFonts w:ascii="Arial" w:cs="Arial" w:eastAsia="Arial" w:hAnsi="Arial"/>
          <w:sz w:val="18"/>
          <w:szCs w:val="18"/>
          <w:color w:val="auto"/>
        </w:rPr>
        <w:t>. Except in the case of emergencies, or exceptions specified in the applicable SOW, Licensee and its duly authorized, trained employees shall have access to the Dedicated Space and to Common Space between the standard working hours of 06:30 to 18:00, Monday through Friday. Work being performed outside standard working hours/days shall require reasonable advance notification to, and approval from the Licensor. Licensee’s duly-authorized agents, invitees, or guests may enter the Licensed Space in accordance with access and security procedures as set forth in applicable SOPs provided in writing to Licensee by Licensor.</w:t>
      </w:r>
    </w:p>
    <w:p>
      <w:pPr>
        <w:spacing w:after="0" w:line="16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Equipment</w:t>
      </w:r>
      <w:r>
        <w:rPr>
          <w:rFonts w:ascii="Arial" w:cs="Arial" w:eastAsia="Arial" w:hAnsi="Arial"/>
          <w:sz w:val="20"/>
          <w:szCs w:val="20"/>
          <w:color w:val="auto"/>
        </w:rPr>
        <w:t>. Except as to any equipment that does not impact Licensor’s current mechanical, electrical and plumbing (“</w:t>
      </w:r>
      <w:r>
        <w:rPr>
          <w:rFonts w:ascii="Arial" w:cs="Arial" w:eastAsia="Arial" w:hAnsi="Arial"/>
          <w:sz w:val="20"/>
          <w:szCs w:val="20"/>
          <w:u w:val="single" w:color="auto"/>
          <w:color w:val="auto"/>
        </w:rPr>
        <w:t>MEP</w:t>
      </w:r>
      <w:r>
        <w:rPr>
          <w:rFonts w:ascii="Arial" w:cs="Arial" w:eastAsia="Arial" w:hAnsi="Arial"/>
          <w:sz w:val="20"/>
          <w:szCs w:val="20"/>
          <w:color w:val="auto"/>
        </w:rPr>
        <w:t>”) as well as SOPs Licensee shall not be permitted to install or bring into the Dedicated Space any new equipment or accessories that were not previously defined in the applicable SOW, unless approved in writing (i.e. Change Order) by Licensor, which writing shall be attached as an amendment to the applicable SOW. Licensee shall work with the Licensor to define, as necessary, any additional costs of installation, calibration and preventive maintenance, or monitoring of such approved Equipment, and define the appropriate responsibility in the Change Order.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SUPPORT SERVICES</w:t>
      </w:r>
    </w:p>
    <w:p>
      <w:pPr>
        <w:spacing w:after="0" w:line="22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8"/>
          <w:szCs w:val="18"/>
          <w:u w:val="single" w:color="auto"/>
          <w:color w:val="auto"/>
        </w:rPr>
        <w:t>Support Services</w:t>
      </w:r>
      <w:r>
        <w:rPr>
          <w:rFonts w:ascii="Arial" w:cs="Arial" w:eastAsia="Arial" w:hAnsi="Arial"/>
          <w:sz w:val="18"/>
          <w:szCs w:val="18"/>
          <w:color w:val="auto"/>
        </w:rPr>
        <w:t>. During the Term, Licensor shall provide to Licensee certain support services as set forth in</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an applicable SOW</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Support Services</w:t>
      </w:r>
      <w:r>
        <w:rPr>
          <w:rFonts w:ascii="Arial" w:cs="Arial" w:eastAsia="Arial" w:hAnsi="Arial"/>
          <w:sz w:val="20"/>
          <w:szCs w:val="20"/>
          <w:color w:val="auto"/>
        </w:rPr>
        <w:t>”) and include on-site personnel support, project management, controlled temperature storage of materials, use of process gases, gowning supplies, consumables, liquid nitrogen, dry ice, coordination and management of third party activities such as shipping, calibration etc. The costs of such Support Services are included in the License Fee and detailed in the applicable SOW.</w:t>
      </w:r>
    </w:p>
    <w:p>
      <w:pPr>
        <w:spacing w:after="0" w:line="19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Training</w:t>
      </w:r>
      <w:r>
        <w:rPr>
          <w:rFonts w:ascii="Arial" w:cs="Arial" w:eastAsia="Arial" w:hAnsi="Arial"/>
          <w:sz w:val="18"/>
          <w:szCs w:val="18"/>
          <w:color w:val="auto"/>
        </w:rPr>
        <w:t xml:space="preserve">. Licensee (and its duly-authorized employees, consultants or contractors needed for any of Licensee’s activities on the Premises) shall participate in certain training as defined in the Licensor’s SOPs as reasonably required by Licensor. Such required training modules may include: (i) training before occupying and using Licensed Space; (ii) updated training as applicable; and (iii) training as procedures change and periodic refresher training including as to life safety matters as Licensor may direct from time to time. Training shall be provided in a manner and at times that are mutually agreed by the parties. Training costs shall be listed in the applicable SOW. Licensee employee discipline shall be the responsibility of the Licensee, and Licensor shall direct any complaints with respect to a Licensee employee to the attention of Licensee’s </w:t>
      </w:r>
      <w:r>
        <w:rPr>
          <w:rFonts w:ascii="Arial" w:cs="Arial" w:eastAsia="Arial" w:hAnsi="Arial"/>
          <w:sz w:val="18"/>
          <w:szCs w:val="18"/>
          <w:b w:val="1"/>
          <w:bCs w:val="1"/>
          <w:color w:val="auto"/>
        </w:rPr>
        <w:t>Facility Director</w:t>
      </w:r>
      <w:r>
        <w:rPr>
          <w:rFonts w:ascii="Arial" w:cs="Arial" w:eastAsia="Arial" w:hAnsi="Arial"/>
          <w:sz w:val="18"/>
          <w:szCs w:val="18"/>
          <w:color w:val="auto"/>
        </w:rPr>
        <w:t>, or designee who may be named in an applicable SOW.</w:t>
      </w:r>
    </w:p>
    <w:p>
      <w:pPr>
        <w:spacing w:after="0" w:line="168"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u w:val="single" w:color="auto"/>
          <w:color w:val="auto"/>
        </w:rPr>
        <w:t>Utilities</w:t>
      </w:r>
      <w:r>
        <w:rPr>
          <w:rFonts w:ascii="Arial" w:cs="Arial" w:eastAsia="Arial" w:hAnsi="Arial"/>
          <w:sz w:val="20"/>
          <w:szCs w:val="20"/>
          <w:color w:val="auto"/>
        </w:rPr>
        <w:t>. As part of the Support Services and included in the License Fees described in any SOW, Licensor shall provide routine monitoring of environmental conditions (temperature, pressure, humidity, as defined in the applicable SOW) for the Licensed Space and Licensor’s FF&amp;E twenty-four hours a day/seven days a week. Licensor shall provide services to back-up electrical equipment to allow for activities and materials storage, at the necessary temperatures, to continue in the event of a power outage at the Licensed Space.</w:t>
      </w:r>
    </w:p>
    <w:p>
      <w:pPr>
        <w:spacing w:after="0" w:line="19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4.04 </w:t>
      </w:r>
      <w:r>
        <w:rPr>
          <w:rFonts w:ascii="Arial" w:cs="Arial" w:eastAsia="Arial" w:hAnsi="Arial"/>
          <w:sz w:val="20"/>
          <w:szCs w:val="20"/>
          <w:u w:val="single" w:color="auto"/>
          <w:color w:val="auto"/>
        </w:rPr>
        <w:t>Security</w:t>
      </w:r>
      <w:r>
        <w:rPr>
          <w:rFonts w:ascii="Arial" w:cs="Arial" w:eastAsia="Arial" w:hAnsi="Arial"/>
          <w:sz w:val="20"/>
          <w:szCs w:val="20"/>
          <w:color w:val="auto"/>
        </w:rPr>
        <w:t>. Licensee acknowledges that Licensor is a lessee of the Premises and does not provide, nor is responsible for providing, security services at the Premises, or any portion of the Licensed Space. Licensee shall comply with all security procedures and requirements including all applicable SOPs related to security.</w:t>
      </w:r>
    </w:p>
    <w:p>
      <w:pPr>
        <w:spacing w:after="0" w:line="18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Parking</w:t>
      </w:r>
      <w:r>
        <w:rPr>
          <w:rFonts w:ascii="Arial" w:cs="Arial" w:eastAsia="Arial" w:hAnsi="Arial"/>
          <w:sz w:val="19"/>
          <w:szCs w:val="19"/>
          <w:color w:val="auto"/>
        </w:rPr>
        <w:t>. Licensee and its employees will park in the areas around the Premises so designated from time to time by Licensor as the parking areas for Licensee. Such parking areas will be non-exclusive. Licensee’s guests and invitees shall park in the parking areas around the Premises so designated from time to time by Licensor as the parking areas for visitors.</w:t>
      </w:r>
    </w:p>
    <w:p>
      <w:pPr>
        <w:spacing w:after="0" w:line="170" w:lineRule="exact"/>
        <w:rPr>
          <w:sz w:val="20"/>
          <w:szCs w:val="20"/>
          <w:color w:val="auto"/>
        </w:rPr>
      </w:pPr>
    </w:p>
    <w:p>
      <w:pPr>
        <w:jc w:val="both"/>
        <w:ind w:right="20" w:firstLine="864"/>
        <w:spacing w:after="0" w:line="316"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u w:val="single" w:color="auto"/>
          <w:color w:val="auto"/>
        </w:rPr>
        <w:t>Use of Subcontractors</w:t>
      </w:r>
      <w:r>
        <w:rPr>
          <w:rFonts w:ascii="Arial" w:cs="Arial" w:eastAsia="Arial" w:hAnsi="Arial"/>
          <w:sz w:val="18"/>
          <w:szCs w:val="18"/>
          <w:color w:val="auto"/>
        </w:rPr>
        <w:t>. The Support Services may not be subcontracted by Licensor without prior written notice to, and approval by, the Licensee (with such approval including the subcontracted actions being outlined in the applicable SOW).</w:t>
      </w:r>
    </w:p>
    <w:p>
      <w:pPr>
        <w:spacing w:after="0" w:line="13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u w:val="single" w:color="auto"/>
          <w:color w:val="auto"/>
        </w:rPr>
        <w:t>Other Licensee Operations, Activities and Requirements</w:t>
      </w:r>
      <w:r>
        <w:rPr>
          <w:rFonts w:ascii="Arial" w:cs="Arial" w:eastAsia="Arial" w:hAnsi="Arial"/>
          <w:sz w:val="20"/>
          <w:szCs w:val="20"/>
          <w:color w:val="auto"/>
        </w:rPr>
        <w:t>. Except, and only to the extent of the Support Services expressly provided for in this Agreement, Licensor shall not have any obligations or otherwise be responsible or liable for any other operations, activities or requirements of Licensee or any services in support of the same, whether arising out of the processing or other activity at the Licensed Space or otherwise, including equipment, supplies, services and facilities.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5" w:name="page66"/>
    <w:bookmarkEnd w:id="65"/>
    <w:p>
      <w:pPr>
        <w:jc w:val="both"/>
        <w:ind w:firstLine="864"/>
        <w:spacing w:after="0" w:line="291"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Quality Agreement</w:t>
      </w:r>
      <w:r>
        <w:rPr>
          <w:rFonts w:ascii="Arial" w:cs="Arial" w:eastAsia="Arial" w:hAnsi="Arial"/>
          <w:sz w:val="18"/>
          <w:szCs w:val="18"/>
          <w:color w:val="auto"/>
        </w:rPr>
        <w:t>. The parties will also agree upon a Quality Agreement containing quality assurance provisions for the Licensed Space and Support Services (“</w:t>
      </w:r>
      <w:r>
        <w:rPr>
          <w:rFonts w:ascii="Arial" w:cs="Arial" w:eastAsia="Arial" w:hAnsi="Arial"/>
          <w:sz w:val="18"/>
          <w:szCs w:val="18"/>
          <w:u w:val="single" w:color="auto"/>
          <w:color w:val="auto"/>
        </w:rPr>
        <w:t>Quality Agreement</w:t>
      </w:r>
      <w:r>
        <w:rPr>
          <w:rFonts w:ascii="Arial" w:cs="Arial" w:eastAsia="Arial" w:hAnsi="Arial"/>
          <w:sz w:val="18"/>
          <w:szCs w:val="18"/>
          <w:color w:val="auto"/>
        </w:rPr>
        <w:t>”). In the event of a conflict between any of the provisions of this Agreement and the Quality Agreement with respect to quality-related activities, the provisions of the Quality Agreement shall govern.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LEASE; REPAIRS AND MAINTENANCE</w:t>
      </w:r>
    </w:p>
    <w:p>
      <w:pPr>
        <w:spacing w:after="0" w:line="22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Incorporation of Lease Obligations by Reference; Licensee’s Obligations to Maintain Dedicated Space</w:t>
      </w:r>
      <w:r>
        <w:rPr>
          <w:rFonts w:ascii="Arial" w:cs="Arial" w:eastAsia="Arial" w:hAnsi="Arial"/>
          <w:sz w:val="19"/>
          <w:szCs w:val="19"/>
          <w:color w:val="auto"/>
        </w:rPr>
        <w:t xml:space="preserve">. The rules, restrictions and obligations that regard occupancy and use imposed upon Licensor (in its capacity as the tenant) pursuant to the Lease are incorporated herein by reference and imposed upon Licensee </w:t>
      </w:r>
      <w:r>
        <w:rPr>
          <w:rFonts w:ascii="Arial" w:cs="Arial" w:eastAsia="Arial" w:hAnsi="Arial"/>
          <w:sz w:val="19"/>
          <w:szCs w:val="19"/>
          <w:u w:val="single" w:color="auto"/>
          <w:color w:val="auto"/>
        </w:rPr>
        <w:t>mutatis mutandis</w:t>
      </w:r>
      <w:r>
        <w:rPr>
          <w:rFonts w:ascii="Arial" w:cs="Arial" w:eastAsia="Arial" w:hAnsi="Arial"/>
          <w:sz w:val="19"/>
          <w:szCs w:val="19"/>
          <w:color w:val="auto"/>
        </w:rPr>
        <w:t>, except to the extent they are expressly deleted or modified by the provisions of this Agreement. Without limiting the generality of the foregoing, Licensee shall not make any alterations, improvements or additions to the Dedicated Space unless Licensee obtains Licensor’s prior written consent, which shall not be withheld unreasonably (provided that any such withholding on account of the Landlord similarly withholding such consent shall be deemed “reasonable”). Licensee shall maintain the Designated Space in a good, neat, and orderly condition, and in such a condition as is required of Licensor as tenant under the Lease; provided that Licensee shall not make any repairs to the Designated Space, such repair right and obligation being held solely by Licensor (subject to any indemnification obligations Licensee may have with respect to the event, cause, or circumstances giving rise to such repair right or obligation). Licensee shall inform Licensor if Licensor’s FF&amp;E in the Dedicated Space requires maintenance or repair in order to keep the same in good order and repair and Licensor shall maintain and repair Licensor’s FF&amp;E. Licensee shall not permit the Designated Space to be overloaded, damaged, contaminated by hazardous materials, stripped, or defaced, nor suffer any waste. Notwithstanding anything herein to the contrary, the whole of the Premises remains Licensor’s property and in Licensor’s possession and control. Licensee acknowledges that this Agreement creates no tenancy interest, leasehold estate or other real property interest in Licensee’s favor.</w:t>
      </w:r>
    </w:p>
    <w:p>
      <w:pPr>
        <w:spacing w:after="0" w:line="19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Subordination to Lease; No Privity</w:t>
      </w:r>
      <w:r>
        <w:rPr>
          <w:rFonts w:ascii="Arial" w:cs="Arial" w:eastAsia="Arial" w:hAnsi="Arial"/>
          <w:sz w:val="20"/>
          <w:szCs w:val="20"/>
          <w:color w:val="auto"/>
        </w:rPr>
        <w:t>. This Agreement is subject and subordinate to the Lease. Nothing in this Agreement shall be construed to create privity of estate or privity of contract between Licensee and Landlord. Nor shall anything herein contained be deemed to create any partnership or joint venture between the parties hereto, and the relationship of the parties shall be solely that of independent contractors.</w:t>
      </w:r>
    </w:p>
    <w:p>
      <w:pPr>
        <w:spacing w:after="0" w:line="19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Licensor Access to Licensed Space</w:t>
      </w:r>
      <w:r>
        <w:rPr>
          <w:rFonts w:ascii="Arial" w:cs="Arial" w:eastAsia="Arial" w:hAnsi="Arial"/>
          <w:sz w:val="19"/>
          <w:szCs w:val="19"/>
          <w:color w:val="auto"/>
        </w:rPr>
        <w:t>. Notwithstanding any non-disclosure, confidentiality, or other like-restrictive covenant agreement(s) executed by Licensor in favor of Licensee, Licensor and its employees, contractors and agents shall have the right from time to time and at any time throughout the Term to enter (with reasonable advance notice) any portion of the Licensed Space (including, without limitation, each Cleanroom, the Office Space, and the Common Space) to examine and inspect the same to make such repairs, alterations, improvements or additions to the Dedicated Space or any other portion of the Premises; provided that (1) Licensor’s employees, contractors, agents and business invitees shall be required to sign a Licensee’s standard form of visitor confidentiality agreement prior to being allowed access to the Dedicated Space, and (2) Licensor shall use reasonable efforts to minimize disruption to the business and operations of Licensee. Additionally, notwithstanding any non-disclosure, confidentiality, or other like-restrictive covenant agreement(s) executed by Licensor in favor of Licensee, Licensor shall be permitted to allow into the Premises and any portion of the Licensed Space (including, without limitation, each Cleanroom, the Office Space, and the Common Space) any governmental or Regulatory Authority (as defined below) for any purpose whatsoever upon reasonable notice or after good faith efforts to provide such notice. The term “</w:t>
      </w:r>
      <w:r>
        <w:rPr>
          <w:rFonts w:ascii="Arial" w:cs="Arial" w:eastAsia="Arial" w:hAnsi="Arial"/>
          <w:sz w:val="19"/>
          <w:szCs w:val="19"/>
          <w:u w:val="single" w:color="auto"/>
          <w:color w:val="auto"/>
        </w:rPr>
        <w:t>Regulatory</w:t>
      </w:r>
      <w:r>
        <w:rPr>
          <w:rFonts w:ascii="Arial" w:cs="Arial" w:eastAsia="Arial" w:hAnsi="Arial"/>
          <w:sz w:val="19"/>
          <w:szCs w:val="19"/>
          <w:color w:val="auto"/>
        </w:rPr>
        <w:t xml:space="preserve"> </w:t>
      </w:r>
      <w:r>
        <w:rPr>
          <w:rFonts w:ascii="Arial" w:cs="Arial" w:eastAsia="Arial" w:hAnsi="Arial"/>
          <w:sz w:val="19"/>
          <w:szCs w:val="19"/>
          <w:u w:val="single" w:color="auto"/>
          <w:color w:val="auto"/>
        </w:rPr>
        <w:t>Authority</w:t>
      </w:r>
      <w:r>
        <w:rPr>
          <w:rFonts w:ascii="Arial" w:cs="Arial" w:eastAsia="Arial" w:hAnsi="Arial"/>
          <w:sz w:val="19"/>
          <w:szCs w:val="19"/>
          <w:color w:val="auto"/>
        </w:rPr>
        <w:t>” shall include but is not limited to international country regulatory agencies, the United States FDA, United States state regulatory agencies,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20"/>
          <w:szCs w:val="20"/>
          <w:color w:val="auto"/>
        </w:rPr>
        <w:t>and voluntary regulatory agencies such as the American Association of Tissue Banks (AATB), and other similar agencies, as these Regulatory Authorities apply to the Licensee’s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w:t>
      </w:r>
    </w:p>
    <w:p>
      <w:pPr>
        <w:spacing w:after="0" w:line="22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8"/>
          <w:szCs w:val="18"/>
          <w:u w:val="single" w:color="auto"/>
          <w:color w:val="auto"/>
        </w:rPr>
        <w:t>Facility Qualification / Standards</w:t>
      </w:r>
      <w:r>
        <w:rPr>
          <w:rFonts w:ascii="Arial" w:cs="Arial" w:eastAsia="Arial" w:hAnsi="Arial"/>
          <w:sz w:val="18"/>
          <w:szCs w:val="18"/>
          <w:color w:val="auto"/>
        </w:rPr>
        <w:t>. Licensor does not guarantee, certify, represent, or warrant that any portion</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of the Dedicated Space (including, without limitation, any Cleanroom) is certified by the International Organization for Standardization (“</w:t>
      </w:r>
      <w:r>
        <w:rPr>
          <w:rFonts w:ascii="Arial" w:cs="Arial" w:eastAsia="Arial" w:hAnsi="Arial"/>
          <w:sz w:val="20"/>
          <w:szCs w:val="20"/>
          <w:u w:val="single" w:color="auto"/>
          <w:color w:val="auto"/>
        </w:rPr>
        <w:t>ISO</w:t>
      </w:r>
      <w:r>
        <w:rPr>
          <w:rFonts w:ascii="Arial" w:cs="Arial" w:eastAsia="Arial" w:hAnsi="Arial"/>
          <w:sz w:val="20"/>
          <w:szCs w:val="20"/>
          <w:color w:val="auto"/>
        </w:rPr>
        <w:t>” or any other third-party standardization or certification organization or entity). No portion of the Designated Space is registered or otherwise licensed by the United States FDA, or any other governmental authority or Regulatory Authority as a manufacturing, preparing, propagating, compounding, or processing establishment. Licensor is responsible for qualifying the Cleanroom(s) and support systems for their intended use, as per the applicable SOW.</w:t>
      </w:r>
    </w:p>
    <w:p>
      <w:pPr>
        <w:spacing w:after="0" w:line="198"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Regulatory Registrations and Approvals</w:t>
      </w:r>
      <w:r>
        <w:rPr>
          <w:rFonts w:ascii="Arial" w:cs="Arial" w:eastAsia="Arial" w:hAnsi="Arial"/>
          <w:sz w:val="20"/>
          <w:szCs w:val="20"/>
          <w:color w:val="auto"/>
        </w:rPr>
        <w:t>. Licensee shall be solely responsible for obtaining and maintaining all Regulatory Approvals (as defined herein) necessary for the research, development, processing, manufacturing or licensing activities associated with their Product(s). Notwithstanding anything to the contrary - for example, separate agreements between the Licensee and Licensor - the Licensor shall have no obligation to assist Licensee in obtaining and/or maintaining any Regulatory Approvals, and shall have no obligation to make any addition, modification, alteration, or renovation to any portion of the Licensed Space and/or Support Services. The term “</w:t>
      </w:r>
      <w:r>
        <w:rPr>
          <w:rFonts w:ascii="Arial" w:cs="Arial" w:eastAsia="Arial" w:hAnsi="Arial"/>
          <w:sz w:val="20"/>
          <w:szCs w:val="20"/>
          <w:u w:val="single" w:color="auto"/>
          <w:color w:val="auto"/>
        </w:rPr>
        <w:t>Regulatory Approval</w:t>
      </w:r>
      <w:r>
        <w:rPr>
          <w:rFonts w:ascii="Arial" w:cs="Arial" w:eastAsia="Arial" w:hAnsi="Arial"/>
          <w:sz w:val="20"/>
          <w:szCs w:val="20"/>
          <w:color w:val="auto"/>
        </w:rPr>
        <w:t>” means any and all approvals, licenses, registrations, accreditations or authorizations of the relevant Regulatory Authority, including all approvals and permits necessary for the processing, development, manufacture, use, storage, import, or transport of product.</w:t>
      </w:r>
    </w:p>
    <w:p>
      <w:pPr>
        <w:spacing w:after="0" w:line="19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Inspections and Audits</w:t>
      </w:r>
      <w:r>
        <w:rPr>
          <w:rFonts w:ascii="Arial" w:cs="Arial" w:eastAsia="Arial" w:hAnsi="Arial"/>
          <w:sz w:val="18"/>
          <w:szCs w:val="18"/>
          <w:color w:val="auto"/>
        </w:rPr>
        <w:t>. To the extent permitted by applicable law, each party shall promptly advise the other party if an authorized agent of a governmental authority or Regulatory Authority visits or intends to visit the Premises for the purpose of performing an audit or inspection. Notwithstanding the foregoing, Licensee and Licensor each acknowledge and agree that Licensor shall have no responsibility or other obligation to communicate or interact with any governmental authority or Regulatory Authority with respect to the research, development, processing, manufacturing or licensing activities or requirements of the product(s), or the Licensed Space’s or the Support Services’ suitability, registration, or licensure for aforementioned, in regard to the Licensor’s product(s). Licensee shall be responsible, and act as the sole point of contact, for communications with Regulatory Authorities in connection with the research, development, processing, manufacturing or licensing activities or requirements of the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FEES</w:t>
      </w:r>
    </w:p>
    <w:p>
      <w:pPr>
        <w:spacing w:after="0" w:line="22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Licensee shall pay to Licensor a license fee for Licensed Space (the “</w:t>
      </w:r>
      <w:r>
        <w:rPr>
          <w:rFonts w:ascii="Arial" w:cs="Arial" w:eastAsia="Arial" w:hAnsi="Arial"/>
          <w:sz w:val="16"/>
          <w:szCs w:val="16"/>
          <w:u w:val="single" w:color="auto"/>
          <w:color w:val="auto"/>
        </w:rPr>
        <w:t>License Fee</w:t>
      </w:r>
      <w:r>
        <w:rPr>
          <w:rFonts w:ascii="Arial" w:cs="Arial" w:eastAsia="Arial" w:hAnsi="Arial"/>
          <w:sz w:val="16"/>
          <w:szCs w:val="16"/>
          <w:color w:val="auto"/>
        </w:rPr>
        <w:t>”). Licensee shall also</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be assessed a monthly charge to cover variable costs services such as third party shipping costs, overages on support services on a monthly basis and minor out of scope items (“</w:t>
      </w:r>
      <w:r>
        <w:rPr>
          <w:rFonts w:ascii="Arial" w:cs="Arial" w:eastAsia="Arial" w:hAnsi="Arial"/>
          <w:sz w:val="20"/>
          <w:szCs w:val="20"/>
          <w:u w:val="single" w:color="auto"/>
          <w:color w:val="auto"/>
        </w:rPr>
        <w:t>Variable Budget</w:t>
      </w:r>
      <w:r>
        <w:rPr>
          <w:rFonts w:ascii="Arial" w:cs="Arial" w:eastAsia="Arial" w:hAnsi="Arial"/>
          <w:sz w:val="20"/>
          <w:szCs w:val="20"/>
          <w:color w:val="auto"/>
        </w:rPr>
        <w:t>”). The License Fee, Variable Budget and payment terms shall be set forth on the fee schedule attached to an applicable SOW.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7" w:name="page68"/>
    <w:bookmarkEnd w:id="67"/>
    <w:p>
      <w:pPr>
        <w:jc w:val="both"/>
        <w:ind w:firstLine="864"/>
        <w:spacing w:after="0" w:line="250"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u w:val="single" w:color="auto"/>
          <w:color w:val="auto"/>
        </w:rPr>
        <w:t>Payments</w:t>
      </w:r>
      <w:r>
        <w:rPr>
          <w:rFonts w:ascii="Arial" w:cs="Arial" w:eastAsia="Arial" w:hAnsi="Arial"/>
          <w:sz w:val="20"/>
          <w:szCs w:val="20"/>
          <w:color w:val="auto"/>
        </w:rPr>
        <w:t>. All Fees shall be paid in accordance with the fee schedule defined in the applicable SOW and paid in lawful money of the United States of America by electronic transfer of funds to the account of Licensor set forth in a written notice from Licensor or by another method agreed between the parties.</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u w:val="single" w:color="auto"/>
          <w:color w:val="auto"/>
        </w:rPr>
        <w:t>Taxes</w:t>
      </w:r>
      <w:r>
        <w:rPr>
          <w:rFonts w:ascii="Arial" w:cs="Arial" w:eastAsia="Arial" w:hAnsi="Arial"/>
          <w:sz w:val="20"/>
          <w:szCs w:val="20"/>
          <w:color w:val="auto"/>
        </w:rPr>
        <w:t>. Licensor shall be responsible for the payment of any and all taxes levied on account of Fees paid to Licensor by Licensee under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Licensor agrees not to claim any rights, title or ownership in the Licensee’s Confidential Information (as defined herein) or any Intellectual Property (as defined herein), and that the rights, title and ownership in the Confidential Information and Intellectual Property shall, as between the parties, vest in Licensee. Licensor further agrees not to use any trademark of Licensee, or any other identifier for any advertising, promotion or any other purpose without the prior written consent of Licensee.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whether patentable or not, created, conceived or reduced to practice by Licensee, either alone or in combination with others, in carrying out any services hereunder or otherwise in connection with this Agreement, including inventions, discoveries, modifications, and/or improvements, patents, patent applications, trademarks, trade names, service marks, copyrights, creative works, derivative works, moral rights, trade secrets, proprietary information, rights to use, industrial designs, proprietary materials, including chemical and biological materials, compositions, methods of use, methods of administration, or methods of treatment.</w:t>
      </w:r>
    </w:p>
    <w:p>
      <w:pPr>
        <w:spacing w:after="0" w:line="17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Assistance</w:t>
      </w:r>
      <w:r>
        <w:rPr>
          <w:rFonts w:ascii="Arial" w:cs="Arial" w:eastAsia="Arial" w:hAnsi="Arial"/>
          <w:sz w:val="20"/>
          <w:szCs w:val="20"/>
          <w:color w:val="auto"/>
        </w:rPr>
        <w:t>. Upon the written request of Licensee, Licensor and Licensee shall negotiate in good faith the entry into a mutually agreeable consulting agreement between Licensor and Licensee pursuant to which Licensor would provide consulting services to Licensee with respect to preparing, filing, prosecuting, and maintaining rights to any Intellectual Property. To the extent any provision of a consulting agreement expressly conflicts with any provision of this Agreement, the provisions of such consulting agreement shall govern.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w:t>
      </w:r>
    </w:p>
    <w:p>
      <w:pPr>
        <w:spacing w:after="0" w:line="22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color w:val="auto"/>
        </w:rPr>
        <w:t>Mutual confidentiality terms and conditions were defined and approved in the previously executed agreement</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dated 07, May 2018 and any amendments (the “CDA”), which is incorporated by reference, the term of which extends to cover confidential disclosures made hereunder and pursuant to any obligations as set forth in the CDA.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ectPr>
          <w:pgSz w:w="11900" w:h="16838" w:orient="portrait"/>
          <w:cols w:equalWidth="0" w:num="1">
            <w:col w:w="11240"/>
          </w:cols>
          <w:pgMar w:left="320" w:top="568" w:right="339" w:bottom="1440" w:gutter="0" w:footer="0" w:header="0"/>
        </w:sectPr>
      </w:pP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Section 10.01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Representations and Warranties by each Party</w:t>
      </w:r>
      <w:r>
        <w:rPr>
          <w:rFonts w:ascii="Arial" w:cs="Arial" w:eastAsia="Arial" w:hAnsi="Arial"/>
          <w:sz w:val="16"/>
          <w:szCs w:val="16"/>
          <w:color w:val="auto"/>
        </w:rPr>
        <w:t>. Each party represents, warrants and covenants that:</w:t>
      </w:r>
    </w:p>
    <w:p>
      <w:pPr>
        <w:spacing w:after="0" w:line="200" w:lineRule="exact"/>
        <w:rPr>
          <w:sz w:val="20"/>
          <w:szCs w:val="20"/>
          <w:color w:val="auto"/>
        </w:rPr>
      </w:pPr>
    </w:p>
    <w:p>
      <w:pPr>
        <w:sectPr>
          <w:pgSz w:w="11900" w:h="16838" w:orient="portrait"/>
          <w:cols w:equalWidth="0" w:num="2">
            <w:col w:w="1960" w:space="640"/>
            <w:col w:w="8640"/>
          </w:cols>
          <w:pgMar w:left="320" w:top="568" w:right="339" w:bottom="1440" w:gutter="0" w:footer="0" w:header="0"/>
          <w:type w:val="continuous"/>
        </w:sectPr>
      </w:pPr>
    </w:p>
    <w:p>
      <w:pPr>
        <w:spacing w:after="0" w:line="62" w:lineRule="exact"/>
        <w:rPr>
          <w:sz w:val="20"/>
          <w:szCs w:val="20"/>
          <w:color w:val="auto"/>
        </w:rPr>
      </w:pPr>
    </w:p>
    <w:p>
      <w:pPr>
        <w:ind w:firstLine="1735"/>
        <w:spacing w:after="0" w:line="260" w:lineRule="auto"/>
        <w:tabs>
          <w:tab w:leader="none" w:pos="2595"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Organization and Good Standing</w:t>
      </w:r>
      <w:r>
        <w:rPr>
          <w:rFonts w:ascii="Arial" w:cs="Arial" w:eastAsia="Arial" w:hAnsi="Arial"/>
          <w:sz w:val="20"/>
          <w:szCs w:val="20"/>
          <w:color w:val="auto"/>
        </w:rPr>
        <w:t>. Such party is and will remain a legal entity duly organized, validly existing and in good standing under the laws of its jurisdiction of organization;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type w:val="continuous"/>
        </w:sectPr>
      </w:pPr>
    </w:p>
    <w:bookmarkStart w:id="68" w:name="page69"/>
    <w:bookmarkEnd w:id="68"/>
    <w:p>
      <w:pPr>
        <w:jc w:val="both"/>
        <w:ind w:firstLine="1735"/>
        <w:spacing w:after="0" w:line="250" w:lineRule="auto"/>
        <w:tabs>
          <w:tab w:leader="none" w:pos="260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Authorization</w:t>
      </w:r>
      <w:r>
        <w:rPr>
          <w:rFonts w:ascii="Arial" w:cs="Arial" w:eastAsia="Arial" w:hAnsi="Arial"/>
          <w:sz w:val="20"/>
          <w:szCs w:val="20"/>
          <w:color w:val="auto"/>
        </w:rPr>
        <w:t>. The execution and delivery of this Agreement has been authorized by all requisite action. This Agreement is and will remain a valid and binding obligation of such party, enforceable in accordance with its terms, subject to any applicable laws with respect to bankruptcy, insolvency and the relief of debtors;</w:t>
      </w:r>
    </w:p>
    <w:p>
      <w:pPr>
        <w:spacing w:after="0" w:line="185" w:lineRule="exact"/>
        <w:rPr>
          <w:rFonts w:ascii="Arial" w:cs="Arial" w:eastAsia="Arial" w:hAnsi="Arial"/>
          <w:sz w:val="20"/>
          <w:szCs w:val="20"/>
          <w:color w:val="auto"/>
        </w:rPr>
      </w:pPr>
    </w:p>
    <w:p>
      <w:pPr>
        <w:ind w:left="2600" w:hanging="865"/>
        <w:spacing w:after="0"/>
        <w:tabs>
          <w:tab w:leader="none" w:pos="260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Broker</w:t>
      </w:r>
      <w:r>
        <w:rPr>
          <w:rFonts w:ascii="Arial" w:cs="Arial" w:eastAsia="Arial" w:hAnsi="Arial"/>
          <w:sz w:val="19"/>
          <w:szCs w:val="19"/>
          <w:color w:val="auto"/>
        </w:rPr>
        <w:t>. Neither party has dealt with a broker, agent or finder in connection with this Agreement;</w:t>
      </w:r>
    </w:p>
    <w:p>
      <w:pPr>
        <w:spacing w:after="0" w:line="227" w:lineRule="exact"/>
        <w:rPr>
          <w:rFonts w:ascii="Arial" w:cs="Arial" w:eastAsia="Arial" w:hAnsi="Arial"/>
          <w:sz w:val="19"/>
          <w:szCs w:val="19"/>
          <w:color w:val="auto"/>
        </w:rPr>
      </w:pPr>
    </w:p>
    <w:p>
      <w:pPr>
        <w:jc w:val="both"/>
        <w:ind w:firstLine="1735"/>
        <w:spacing w:after="0" w:line="250" w:lineRule="auto"/>
        <w:tabs>
          <w:tab w:leader="none" w:pos="260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No Conflict</w:t>
      </w:r>
      <w:r>
        <w:rPr>
          <w:rFonts w:ascii="Arial" w:cs="Arial" w:eastAsia="Arial" w:hAnsi="Arial"/>
          <w:sz w:val="20"/>
          <w:szCs w:val="20"/>
          <w:color w:val="auto"/>
        </w:rPr>
        <w:t>. Such party is authorized to enter into this Agreement and that the respective signatories hereto have been authorized to sign this Agreement, and such party does not require consent from and is not violating any contractual obligation with any other party by entering into this Agreement; and</w:t>
      </w:r>
    </w:p>
    <w:p>
      <w:pPr>
        <w:spacing w:after="0" w:line="185" w:lineRule="exact"/>
        <w:rPr>
          <w:rFonts w:ascii="Arial" w:cs="Arial" w:eastAsia="Arial" w:hAnsi="Arial"/>
          <w:sz w:val="20"/>
          <w:szCs w:val="20"/>
          <w:color w:val="auto"/>
        </w:rPr>
      </w:pPr>
    </w:p>
    <w:p>
      <w:pPr>
        <w:jc w:val="both"/>
        <w:ind w:firstLine="1735"/>
        <w:spacing w:after="0" w:line="244" w:lineRule="auto"/>
        <w:tabs>
          <w:tab w:leader="none" w:pos="264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Such party shall comply with all applicable laws, regulations and ordinances and the permits, orders and requirements of all government authorities in connection with its grant of and use of the Licensed Space, Support Services, and testing of the Product. Without limiting the preceding sentence, Licensee acknowledges that its obligations will include maintaining appropriate material safety data sheets and other records and provide the same to Licensor to enable Licensor to comply with its obligations.</w:t>
      </w:r>
    </w:p>
    <w:p>
      <w:pPr>
        <w:spacing w:after="0" w:line="194"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Representations and Warranties by Licensor</w:t>
      </w:r>
      <w:r>
        <w:rPr>
          <w:rFonts w:ascii="Arial" w:cs="Arial" w:eastAsia="Arial" w:hAnsi="Arial"/>
          <w:sz w:val="18"/>
          <w:szCs w:val="18"/>
          <w:color w:val="auto"/>
        </w:rPr>
        <w:t>. All Support Services furnished by Licensor will be performed by adequately trained personnel in a professional manner and in accordance with the highest industry standards. Throughout the Term, Licensor shall comply with all Lease terms and maintain the Designated Space as is required of Licensor as tenant under the Lease.</w:t>
      </w:r>
    </w:p>
    <w:p>
      <w:pPr>
        <w:spacing w:after="0" w:line="8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u w:val="single" w:color="auto"/>
          <w:color w:val="auto"/>
        </w:rPr>
        <w:t>Restrictions on Licensor and Licensee Activities</w:t>
      </w:r>
      <w:r>
        <w:rPr>
          <w:rFonts w:ascii="Arial" w:cs="Arial" w:eastAsia="Arial" w:hAnsi="Arial"/>
          <w:sz w:val="20"/>
          <w:szCs w:val="20"/>
          <w:color w:val="auto"/>
        </w:rPr>
        <w:t>. Licensor and Licensee acknowledge that each of them and their officers, employees and agents will during the Term gain substantial knowledge of the business of the other party. Accordingly, Licensor and Licensee each on behalf of itself, its officers and employees hereby covenants that, during the Term and for a period of two (2) years after the expiration or termination of this Agreement, it will not, without the prior written consent of the other party hire, employ, solicit or attempt to solicit or induce any person employed by the other party to leave such employment or to break his or her non-competition agreement, non-disclosure agreement or any other agreement with the other party (the Parties acknowledge that general advertisements and job postings shall not be violations of this Section).</w:t>
      </w:r>
    </w:p>
    <w:p>
      <w:pPr>
        <w:spacing w:after="0" w:line="193"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Section 10.04 </w:t>
      </w:r>
      <w:r>
        <w:rPr>
          <w:rFonts w:ascii="Arial" w:cs="Arial" w:eastAsia="Arial" w:hAnsi="Arial"/>
          <w:sz w:val="20"/>
          <w:szCs w:val="20"/>
          <w:u w:val="single" w:color="auto"/>
          <w:color w:val="auto"/>
        </w:rPr>
        <w:t>Hazardous Materials</w:t>
      </w:r>
      <w:r>
        <w:rPr>
          <w:rFonts w:ascii="Arial" w:cs="Arial" w:eastAsia="Arial" w:hAnsi="Arial"/>
          <w:sz w:val="20"/>
          <w:szCs w:val="20"/>
          <w:color w:val="auto"/>
        </w:rPr>
        <w:t>. Licensee represents, warrants and covenants that it, its employees, and agents shall not generate, store, install, dispose of or otherwise handle in the Common Space or the Office Space any hazardous material other than those permitted on site. Unless otherwise specified in an SOW, Licensee shall be responsible for proper labeling and storage of all hazardous materials generated, stored, installed, disposed of or otherwise handled in the Licensed Space by Licensee and its employees, or in or around the Premises, by Licensee.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69" w:name="page70"/>
    <w:bookmarkEnd w:id="69"/>
    <w:p>
      <w:pPr>
        <w:jc w:val="both"/>
        <w:ind w:firstLine="864"/>
        <w:spacing w:after="0" w:line="27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Absence of Debarment</w:t>
      </w:r>
      <w:r>
        <w:rPr>
          <w:rFonts w:ascii="Arial" w:cs="Arial" w:eastAsia="Arial" w:hAnsi="Arial"/>
          <w:sz w:val="18"/>
          <w:szCs w:val="18"/>
          <w:color w:val="auto"/>
        </w:rPr>
        <w:t>. Licensor represents, warrants and covenants that Licensor’s personnel (i) has not been debarred and are not subject to a pending debarment, and will not use in any capacity in connection with any services hereunder any person who has been debarred or is subject to a pending debarmentpursuant to 21 USC § 335a or excluded pursuant to 42 U.S.C. § 1320a-7, or equivalent actions under the Regulatory Authorities in any jurisdiction, (ii) has not been convicted of any crime or engaged in any conduct that would reasonably be expected to result in debarment under 21 USC § 335a or exclusion pursuant to 42 U.S.C. § 1320a-7 or equivalent actions under the applicable laws in any jurisdiction, and (iii) has not been convicted of, charged with or investigated for any violation of law related to fraud, theft, embezzlement, breach of fiduciary duty, financial misconduct, controlled substances or obstruction of an investigation.</w:t>
      </w:r>
    </w:p>
    <w:p>
      <w:pPr>
        <w:spacing w:after="0" w:line="16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INSURANCE, INDEMNIFICATION &amp; LIMITATION OF LIABILITY</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u w:val="single" w:color="auto"/>
          <w:color w:val="auto"/>
        </w:rPr>
        <w:t>Insurance</w:t>
      </w:r>
      <w:r>
        <w:rPr>
          <w:rFonts w:ascii="Arial" w:cs="Arial" w:eastAsia="Arial" w:hAnsi="Arial"/>
          <w:sz w:val="20"/>
          <w:szCs w:val="20"/>
          <w:color w:val="auto"/>
        </w:rPr>
        <w:t>. Each party shall obtain and maintain throughout the Term, at its sole cost and expense, the following types of insurance coverage and limits of liability:</w:t>
      </w:r>
    </w:p>
    <w:p>
      <w:pPr>
        <w:spacing w:after="0" w:line="177" w:lineRule="exact"/>
        <w:rPr>
          <w:sz w:val="20"/>
          <w:szCs w:val="20"/>
          <w:color w:val="auto"/>
        </w:rPr>
      </w:pPr>
    </w:p>
    <w:p>
      <w:pPr>
        <w:ind w:firstLine="1735"/>
        <w:spacing w:after="0" w:line="260" w:lineRule="auto"/>
        <w:tabs>
          <w:tab w:leader="none" w:pos="2595"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Commercial General Liability including Umbrella Insurance coverage with limits of insurance of not less than $[***] per occurrence and $[***] in the aggregate;</w:t>
      </w:r>
    </w:p>
    <w:p>
      <w:pPr>
        <w:spacing w:after="0" w:line="176" w:lineRule="exact"/>
        <w:rPr>
          <w:rFonts w:ascii="Arial" w:cs="Arial" w:eastAsia="Arial" w:hAnsi="Arial"/>
          <w:sz w:val="20"/>
          <w:szCs w:val="20"/>
          <w:color w:val="auto"/>
        </w:rPr>
      </w:pPr>
    </w:p>
    <w:p>
      <w:pPr>
        <w:ind w:left="2620" w:hanging="885"/>
        <w:spacing w:after="0"/>
        <w:tabs>
          <w:tab w:leader="none" w:pos="2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Workers’ Compensation and Employers Liability coverage that meet applicable state (and federal, where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applicable) statutory limits; and</w:t>
      </w:r>
    </w:p>
    <w:p>
      <w:pPr>
        <w:spacing w:after="0" w:line="199" w:lineRule="exact"/>
        <w:rPr>
          <w:rFonts w:ascii="Arial" w:cs="Arial" w:eastAsia="Arial" w:hAnsi="Arial"/>
          <w:sz w:val="18"/>
          <w:szCs w:val="18"/>
          <w:color w:val="auto"/>
        </w:rPr>
      </w:pPr>
    </w:p>
    <w:p>
      <w:pPr>
        <w:ind w:left="2600" w:hanging="865"/>
        <w:spacing w:after="0"/>
        <w:tabs>
          <w:tab w:leader="none" w:pos="260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such and other commercially reasonable forms of insurance agreed to by the parties.</w:t>
      </w:r>
    </w:p>
    <w:p>
      <w:pPr>
        <w:spacing w:after="0" w:line="21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Each insurance policy shall be maintained with insurers reasonably acceptable to the other party. Each party shall provide the other party with a certificate of insurance suitable to the other party evidencing such insurance policy/ies and stating that such policy/ies are in full force and effect and shall remain in effect throughout the Term, unless the insurance carrier provides not less than [***] prior written notice of expiration or cancellation. Upon receipt of any such notice from an insurance carrier, such party shall promptly provide such notice to the other party. Licensor and Licensee agree to have their respective insurance companies issuing property damage insurance waive any rights of subrogation that such companies may have against Licensor or Licensee, as the case may be, so long as the insurance carried by Licensor and Licensee, respectively, is not invalidated thereby. As long as such waivers of subrogation are contained in their respective insurance policies, Licensor and Licensee hereby waive any right that either may have against the other on account of any loss or damage to their respective property to the extent such loss or damage is insurable under property damage insurance.</w:t>
      </w:r>
    </w:p>
    <w:p>
      <w:pPr>
        <w:spacing w:after="0" w:line="17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Indemnification by Licensor</w:t>
      </w:r>
      <w:r>
        <w:rPr>
          <w:rFonts w:ascii="Arial" w:cs="Arial" w:eastAsia="Arial" w:hAnsi="Arial"/>
          <w:sz w:val="19"/>
          <w:szCs w:val="19"/>
          <w:color w:val="auto"/>
        </w:rPr>
        <w:t>. Subject to Section 11.04, Licensor shall save, defend, indemnify and hold Licensee, its affiliates and their respective officers, directors, member-managers, managers, employees, contractors, invitees and agents (“</w:t>
      </w:r>
      <w:r>
        <w:rPr>
          <w:rFonts w:ascii="Arial" w:cs="Arial" w:eastAsia="Arial" w:hAnsi="Arial"/>
          <w:sz w:val="19"/>
          <w:szCs w:val="19"/>
          <w:u w:val="single" w:color="auto"/>
          <w:color w:val="auto"/>
        </w:rPr>
        <w:t>Licensee Representatives</w:t>
      </w:r>
      <w:r>
        <w:rPr>
          <w:rFonts w:ascii="Arial" w:cs="Arial" w:eastAsia="Arial" w:hAnsi="Arial"/>
          <w:sz w:val="19"/>
          <w:szCs w:val="19"/>
          <w:color w:val="auto"/>
        </w:rPr>
        <w:t>”) harmless from and against any and all losses, damages, liabilities, costs and expenses (including reasonable attorneys’ fees and expenses)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arising in connection with any and all charges, complaints, actions, suits, proceedings, hearings, investigations, claims, demands, judgments, orders, decrees, stipulations or injunctions by a third party (“</w:t>
      </w:r>
      <w:r>
        <w:rPr>
          <w:rFonts w:ascii="Arial" w:cs="Arial" w:eastAsia="Arial" w:hAnsi="Arial"/>
          <w:sz w:val="19"/>
          <w:szCs w:val="19"/>
          <w:u w:val="single" w:color="auto"/>
          <w:color w:val="auto"/>
        </w:rPr>
        <w:t>Claims</w:t>
      </w:r>
      <w:r>
        <w:rPr>
          <w:rFonts w:ascii="Arial" w:cs="Arial" w:eastAsia="Arial" w:hAnsi="Arial"/>
          <w:sz w:val="19"/>
          <w:szCs w:val="19"/>
          <w:color w:val="auto"/>
        </w:rPr>
        <w:t>”) resulting or otherwise arising from or in connection with any negligence or willful misconduct of Licensor or any of the Licensor Representatives in fulfillment of Licensor’s obligations under this Agreement, except to the extent any of the foregoing results from the negligence or willful misconduct of Licensee or any of the Licensee Representatives.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0" w:name="page71"/>
    <w:bookmarkEnd w:id="70"/>
    <w:p>
      <w:pPr>
        <w:jc w:val="both"/>
        <w:ind w:firstLine="864"/>
        <w:spacing w:after="0" w:line="259"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Indemnification by Licensee</w:t>
      </w:r>
      <w:r>
        <w:rPr>
          <w:rFonts w:ascii="Arial" w:cs="Arial" w:eastAsia="Arial" w:hAnsi="Arial"/>
          <w:sz w:val="19"/>
          <w:szCs w:val="19"/>
          <w:color w:val="auto"/>
        </w:rPr>
        <w:t>. Subject to Section 11.04, Licensee shall save, defend, indemnify and hold Licensor, its affiliates and their respective officers, directors, member-managers, managers, employees, contractors, invitees and agents (“</w:t>
      </w:r>
      <w:r>
        <w:rPr>
          <w:rFonts w:ascii="Arial" w:cs="Arial" w:eastAsia="Arial" w:hAnsi="Arial"/>
          <w:sz w:val="19"/>
          <w:szCs w:val="19"/>
          <w:u w:val="single" w:color="auto"/>
          <w:color w:val="auto"/>
        </w:rPr>
        <w:t>Licensor Representatives</w:t>
      </w:r>
      <w:r>
        <w:rPr>
          <w:rFonts w:ascii="Arial" w:cs="Arial" w:eastAsia="Arial" w:hAnsi="Arial"/>
          <w:sz w:val="19"/>
          <w:szCs w:val="19"/>
          <w:color w:val="auto"/>
        </w:rPr>
        <w:t>”) harmless from and against any and all Losses resulting or otherwise arising from or in connection with Claims relating to: (a) any negligence or willful misconduct of Licensee or any of the Licensee Representatives; (b) Licensee’s use of the Licensed Space, all except to the extent any of the foregoing results from the negligence or willful misconduct of Licensor or any of the Licensor Representatives; and (c) Licensee’s breach of this Agreement.</w:t>
      </w:r>
    </w:p>
    <w:p>
      <w:pPr>
        <w:spacing w:after="0" w:line="178" w:lineRule="exact"/>
        <w:rPr>
          <w:sz w:val="20"/>
          <w:szCs w:val="20"/>
          <w:color w:val="auto"/>
        </w:rPr>
      </w:pPr>
    </w:p>
    <w:p>
      <w:pPr>
        <w:ind w:left="880"/>
        <w:spacing w:after="0"/>
        <w:tabs>
          <w:tab w:leader="none" w:pos="2820" w:val="left"/>
        </w:tabs>
        <w:rPr>
          <w:sz w:val="20"/>
          <w:szCs w:val="20"/>
          <w:color w:val="auto"/>
        </w:rPr>
      </w:pPr>
      <w:r>
        <w:rPr>
          <w:rFonts w:ascii="Arial" w:cs="Arial" w:eastAsia="Arial" w:hAnsi="Arial"/>
          <w:sz w:val="20"/>
          <w:szCs w:val="20"/>
          <w:color w:val="auto"/>
        </w:rPr>
        <w:t>SECTION 11.04</w:t>
      </w:r>
      <w:r>
        <w:rPr>
          <w:sz w:val="20"/>
          <w:szCs w:val="20"/>
          <w:color w:val="auto"/>
        </w:rPr>
        <w:tab/>
      </w:r>
      <w:r>
        <w:rPr>
          <w:rFonts w:ascii="Arial" w:cs="Arial" w:eastAsia="Arial" w:hAnsi="Arial"/>
          <w:sz w:val="20"/>
          <w:szCs w:val="20"/>
          <w:u w:val="single" w:color="auto"/>
          <w:color w:val="auto"/>
        </w:rPr>
        <w:t>LIMITATION OF LIABILITY</w:t>
      </w:r>
      <w:r>
        <w:rPr>
          <w:rFonts w:ascii="Arial" w:cs="Arial" w:eastAsia="Arial" w:hAnsi="Arial"/>
          <w:sz w:val="20"/>
          <w:szCs w:val="20"/>
          <w:color w:val="auto"/>
        </w:rPr>
        <w:t>.</w:t>
      </w:r>
    </w:p>
    <w:p>
      <w:pPr>
        <w:spacing w:after="0" w:line="216" w:lineRule="exact"/>
        <w:rPr>
          <w:sz w:val="20"/>
          <w:szCs w:val="20"/>
          <w:color w:val="auto"/>
        </w:rPr>
      </w:pPr>
    </w:p>
    <w:p>
      <w:pPr>
        <w:jc w:val="both"/>
        <w:ind w:firstLine="1735"/>
        <w:spacing w:after="0" w:line="254" w:lineRule="auto"/>
        <w:tabs>
          <w:tab w:leader="none" w:pos="2595"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NOTWITHSTANDING ANYTHING TO THE CONTRARY, EXCEPT FOR DAMAGES RESULTING FROM LICENSOR’S ADJUDICATED NEGLIGENCE OR GROSS MISCONDUCT OR BREACH OF CONFIDENTIALITY S</w:t>
      </w:r>
      <w:r>
        <w:rPr>
          <w:rFonts w:ascii="Arial" w:cs="Arial" w:eastAsia="Arial" w:hAnsi="Arial"/>
          <w:sz w:val="12"/>
          <w:szCs w:val="12"/>
          <w:color w:val="auto"/>
        </w:rPr>
        <w:t>ECTION</w:t>
      </w:r>
      <w:r>
        <w:rPr>
          <w:rFonts w:ascii="Arial" w:cs="Arial" w:eastAsia="Arial" w:hAnsi="Arial"/>
          <w:sz w:val="19"/>
          <w:szCs w:val="19"/>
          <w:color w:val="auto"/>
        </w:rPr>
        <w:t xml:space="preserve"> 9.01, IN NO EVENT SHALL LICENSOR OR ANY OF ITS DIRECTORS, MEMBERS, MANAGERS, OFFICERS, SHAREHOLDERS, INVESTORS, EMPLOYEES, ADVISERS, OR AGENTS BE LIABLE OR RESPONSIBLE FOR INTERRUPTION OR LOSS OF BUSINESS (SPECIFICALLY INCLUDING ANY INTERRUPTION RESULTING FROM THE NEED TO CONDUCT REPAIRS OR MAINTENANCE ON ANY OF THE PREMISES OR ANY OF THE EQUIPMENT PROVIDED BY LICENSOR), INCOME OR PROFITS, OR ANY CONSEQUENTIAL, INDIRECT OR SPECIAL DAMAGES, AND INCLUDING (a) THE FAILURE OF INABILITY OF THE TESTING OR THE PRODUCT TO OBTAIN ANY LEVEL OF LICENSURE, CERTIFICATION, OR APPROVAL FROM ANY GOVERNMENTAL AUTHORITY OR REGULATORY AUTHORITY; AND/OR (b) THE MARKETING, ADVERTISING, SALE,</w:t>
      </w:r>
    </w:p>
    <w:p>
      <w:pPr>
        <w:spacing w:after="0" w:line="244" w:lineRule="auto"/>
        <w:rPr>
          <w:rFonts w:ascii="Arial" w:cs="Arial" w:eastAsia="Arial" w:hAnsi="Arial"/>
          <w:sz w:val="19"/>
          <w:szCs w:val="19"/>
          <w:color w:val="auto"/>
        </w:rPr>
      </w:pPr>
      <w:r>
        <w:rPr>
          <w:rFonts w:ascii="Arial" w:cs="Arial" w:eastAsia="Arial" w:hAnsi="Arial"/>
          <w:sz w:val="20"/>
          <w:szCs w:val="20"/>
          <w:color w:val="auto"/>
        </w:rPr>
        <w:t>DISTRIBUTION, TRANSPORTATION, CONSUMPTION, USE, OR APPLICATION OF ANY OF THE TESTING AND/OR THE PRODUCT(S) AND/OR THE EFFECTS OF ANY OF THE FOREGOING.</w:t>
      </w:r>
    </w:p>
    <w:p>
      <w:pPr>
        <w:spacing w:after="0" w:line="191" w:lineRule="exact"/>
        <w:rPr>
          <w:rFonts w:ascii="Arial" w:cs="Arial" w:eastAsia="Arial" w:hAnsi="Arial"/>
          <w:sz w:val="19"/>
          <w:szCs w:val="19"/>
          <w:color w:val="auto"/>
        </w:rPr>
      </w:pPr>
    </w:p>
    <w:p>
      <w:pPr>
        <w:jc w:val="both"/>
        <w:ind w:firstLine="1735"/>
        <w:spacing w:after="0" w:line="244" w:lineRule="auto"/>
        <w:tabs>
          <w:tab w:leader="none" w:pos="2606"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NO EVENT SHALL LICENSOR’S AGGREGATE LIABILITY ARISING OUT OF OR RELATED TO THIS AGREEMENT, WHETHER ARISING OUT OF OR RELATED TO BREACH OF CONTRACT, TORT (INCLUDING NEGLIGENCE, GROSS NEGLIGENCE, OR WILLFUL MISCONDUCT) OR OTHERWISE, EXCEED THE AGGREGATE FEES PAID OR PAYABLE TO LICENSOR PURSUANT TO THIS AGREEMENT IN THE THREE (3) YEAR PERIOD PRECEDING THE EVENT GIVING RISE TO THE CLAIM.</w:t>
      </w:r>
    </w:p>
    <w:p>
      <w:pPr>
        <w:spacing w:after="0" w:line="19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u w:val="single" w:color="auto"/>
          <w:color w:val="auto"/>
        </w:rPr>
        <w:t>DISCLAIMER OF WARRANTIES</w:t>
      </w:r>
      <w:r>
        <w:rPr>
          <w:rFonts w:ascii="Arial" w:cs="Arial" w:eastAsia="Arial" w:hAnsi="Arial"/>
          <w:sz w:val="20"/>
          <w:szCs w:val="20"/>
          <w:color w:val="auto"/>
        </w:rPr>
        <w:t>. EXCEPT AS SET FORTH IN SECTION 10.01, 10.02 AND THE APPLICABLE SOW, THE PARTIES HEREBY EXPRESSLY DISCLAIM ANY AND ALL OTHER EXPRESS OR IMPLIED WARRANTIES REGARDING THE PREMISES, THE LICENSED SPACE (OR ANY PORTION THEREOF), THE SUPPORT SERVICES AND ANY OTHER MATERIALS OR SUPPLIES PROVIDED UNDER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TERM, TERMINATION, CHANGES AND EXTENSIONS</w:t>
      </w:r>
    </w:p>
    <w:p>
      <w:pPr>
        <w:spacing w:after="0" w:line="22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Section 12.01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unless earlier terminated, shall continue for a period of five (5) years or the expiration of any SOW hereunder, whichever comes first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The Term shall be set forth in the applicable SOW. The parties may extend the term of Licensed Space, provided the specific Cleanroom is available for the duration of the extension and provided that Licensee notifies Licensor of its intent to extend at least [***] prior to the end of the Cleanroom term specified in the applicable SOW. All extensions will require a new SOW and Fees may be adjusted based on market conditions. </w:t>
      </w:r>
      <w:r>
        <w:rPr>
          <w:rFonts w:ascii="Arial" w:cs="Arial" w:eastAsia="Arial" w:hAnsi="Arial"/>
          <w:sz w:val="19"/>
          <w:szCs w:val="19"/>
          <w:b w:val="1"/>
          <w:bCs w:val="1"/>
          <w:color w:val="auto"/>
        </w:rPr>
        <w:t>Licensor does not guarantee availability of the Cleanroom beyond current Term in the applicable SOW.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1" w:name="page72"/>
    <w:bookmarkEnd w:id="71"/>
    <w:p>
      <w:pPr>
        <w:ind w:left="880"/>
        <w:spacing w:after="0"/>
        <w:tabs>
          <w:tab w:leader="none" w:pos="2580" w:val="left"/>
        </w:tabs>
        <w:rPr>
          <w:sz w:val="20"/>
          <w:szCs w:val="20"/>
          <w:color w:val="auto"/>
        </w:rPr>
      </w:pPr>
      <w:r>
        <w:rPr>
          <w:rFonts w:ascii="Arial" w:cs="Arial" w:eastAsia="Arial" w:hAnsi="Arial"/>
          <w:sz w:val="20"/>
          <w:szCs w:val="20"/>
          <w:color w:val="auto"/>
        </w:rPr>
        <w:t>Section 12.02</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as follows:</w:t>
      </w:r>
    </w:p>
    <w:p>
      <w:pPr>
        <w:spacing w:after="0" w:line="216" w:lineRule="exact"/>
        <w:rPr>
          <w:sz w:val="20"/>
          <w:szCs w:val="20"/>
          <w:color w:val="auto"/>
        </w:rPr>
      </w:pPr>
    </w:p>
    <w:p>
      <w:pPr>
        <w:jc w:val="both"/>
        <w:ind w:firstLine="1735"/>
        <w:spacing w:after="0" w:line="250" w:lineRule="auto"/>
        <w:tabs>
          <w:tab w:leader="none" w:pos="2595"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either Licensee or Licensor breaches or defaults in the performance or observance of any of its respective obligations under this Agreement, and such breach or default is not cured within [***] after the giving of written notice by the other party specifying such breach or default.</w:t>
      </w:r>
    </w:p>
    <w:p>
      <w:pPr>
        <w:spacing w:after="0" w:line="185" w:lineRule="exact"/>
        <w:rPr>
          <w:rFonts w:ascii="Arial" w:cs="Arial" w:eastAsia="Arial" w:hAnsi="Arial"/>
          <w:sz w:val="20"/>
          <w:szCs w:val="20"/>
          <w:color w:val="auto"/>
        </w:rPr>
      </w:pPr>
    </w:p>
    <w:p>
      <w:pPr>
        <w:jc w:val="both"/>
        <w:ind w:firstLine="1735"/>
        <w:spacing w:after="0" w:line="316" w:lineRule="auto"/>
        <w:tabs>
          <w:tab w:leader="none" w:pos="2606"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either party is generally unable to meet its debts when due, or makes a general assignment for the benefit of its creditors, or there shall have been appointed a receiver, trustee or other custodian for such party for or a substantial part of its assets, or any case or proceeding shall have been commenced or other action taken by or against such party in bankruptcy or seeking the reorganization, liquidation, dissolution or winding-up of such party or any other relief under any bankruptcy, insolvency, reorganization or other similar act or law, and any such event shall have continued for [***] undismissed, unstayed, unbonded and undischarged, then the other party may, upon notice to such party, terminate this Agreement, such termination to be effective upon such party’s receipt of such notice.</w:t>
      </w:r>
    </w:p>
    <w:p>
      <w:pPr>
        <w:spacing w:after="0" w:line="139" w:lineRule="exact"/>
        <w:rPr>
          <w:rFonts w:ascii="Arial" w:cs="Arial" w:eastAsia="Arial" w:hAnsi="Arial"/>
          <w:sz w:val="16"/>
          <w:szCs w:val="16"/>
          <w:color w:val="auto"/>
        </w:rPr>
      </w:pPr>
    </w:p>
    <w:p>
      <w:pPr>
        <w:ind w:firstLine="1735"/>
        <w:spacing w:after="0" w:line="260" w:lineRule="auto"/>
        <w:tabs>
          <w:tab w:leader="none" w:pos="2595"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a substantial portion of the Licensed Space is damaged as a result of fire or other casualty or is taken by means of eminent domain, Licensor may terminate this Agreement upon notice to Licensee.</w:t>
      </w:r>
    </w:p>
    <w:p>
      <w:pPr>
        <w:spacing w:after="0" w:line="176" w:lineRule="exact"/>
        <w:rPr>
          <w:rFonts w:ascii="Arial" w:cs="Arial" w:eastAsia="Arial" w:hAnsi="Arial"/>
          <w:sz w:val="20"/>
          <w:szCs w:val="20"/>
          <w:color w:val="auto"/>
        </w:rPr>
      </w:pPr>
    </w:p>
    <w:p>
      <w:pPr>
        <w:jc w:val="both"/>
        <w:ind w:firstLine="1735"/>
        <w:spacing w:after="0" w:line="256" w:lineRule="auto"/>
        <w:tabs>
          <w:tab w:leader="none" w:pos="26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Early Termination</w:t>
      </w:r>
      <w:r>
        <w:rPr>
          <w:rFonts w:ascii="Arial" w:cs="Arial" w:eastAsia="Arial" w:hAnsi="Arial"/>
          <w:sz w:val="19"/>
          <w:szCs w:val="19"/>
          <w:color w:val="auto"/>
        </w:rPr>
        <w:t>”. If, at any time during the Term of the Agreement, the Licensee desires early termination of this Agreement or otherwise discontinue use of the Designated Space, it will provide formal written notice of intent to vacate to Licensor at least three (3) months in advance of the early termination date. If Licensee terminates early, the Licensor will take good faith measures to contract with an alternate licensee to occupy the Licensee’s Dedicated Space for the balance of any unused Term. Provided an alternate licensee is available and willing to occupy the space, Licensor will refund the relevant pre-paid License Fee for the duration the alternate licensee is occupying the same Cleanroom. If Licensor is unable to find an alternate licensee to occupy the Cleanroom, Licensor will continue to charge Licensee the License Fee, excluding all costs related to Personnel Support, Consumables and Variable Budget, provided however, if such costs are incurred by Licensee, then, Licensee shall pay such costs on an hourly basis as agreed to by the parties until the three (3) months of advance notice is complete.</w:t>
      </w:r>
    </w:p>
    <w:p>
      <w:pPr>
        <w:spacing w:after="0" w:line="184" w:lineRule="exact"/>
        <w:rPr>
          <w:rFonts w:ascii="Arial" w:cs="Arial" w:eastAsia="Arial" w:hAnsi="Arial"/>
          <w:sz w:val="19"/>
          <w:szCs w:val="19"/>
          <w:color w:val="auto"/>
        </w:rPr>
      </w:pPr>
    </w:p>
    <w:p>
      <w:pPr>
        <w:jc w:val="both"/>
        <w:ind w:firstLine="1735"/>
        <w:spacing w:after="0" w:line="246" w:lineRule="auto"/>
        <w:tabs>
          <w:tab w:leader="none" w:pos="2595" w:val="left"/>
        </w:tabs>
        <w:numPr>
          <w:ilvl w:val="0"/>
          <w:numId w:val="49"/>
        </w:numPr>
        <w:rPr>
          <w:rFonts w:ascii="Arial" w:cs="Arial" w:eastAsia="Arial" w:hAnsi="Arial"/>
          <w:sz w:val="20"/>
          <w:szCs w:val="20"/>
          <w:color w:val="auto"/>
        </w:rPr>
      </w:pPr>
      <w:r>
        <w:rPr>
          <w:rFonts w:ascii="Arial" w:cs="Arial" w:eastAsia="Arial" w:hAnsi="Arial"/>
          <w:sz w:val="20"/>
          <w:szCs w:val="20"/>
          <w:color w:val="auto"/>
        </w:rPr>
        <w:t>Termination prior to Term start. After pre-payment of Fees to reserve the Cleanroom and support services, per a related SOW, up until [***] of the start date of the Term, Licensee can terminate this Agreement with written notice to Licensor. Any pre-payments of Fees per related SOW will be refunded to Licensee. Terminations prior to Term start within [***] of the start date of the Term will be address per Section 12.02(d) above.</w:t>
      </w:r>
    </w:p>
    <w:p>
      <w:pPr>
        <w:spacing w:after="0" w:line="191"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 xml:space="preserve">Section 12.03 </w:t>
      </w:r>
      <w:r>
        <w:rPr>
          <w:rFonts w:ascii="Arial" w:cs="Arial" w:eastAsia="Arial" w:hAnsi="Arial"/>
          <w:sz w:val="20"/>
          <w:szCs w:val="20"/>
          <w:u w:val="single" w:color="auto"/>
          <w:color w:val="auto"/>
        </w:rPr>
        <w:t>Effects of Expiration and Termination</w:t>
      </w:r>
      <w:r>
        <w:rPr>
          <w:rFonts w:ascii="Arial" w:cs="Arial" w:eastAsia="Arial" w:hAnsi="Arial"/>
          <w:sz w:val="20"/>
          <w:szCs w:val="20"/>
          <w:color w:val="auto"/>
        </w:rPr>
        <w:t>. Unless otherwise specified in Section 12.02 or any of the provisions of the applicable SOW, upon expiration or termination of this Agreement:</w:t>
      </w:r>
    </w:p>
    <w:p>
      <w:pPr>
        <w:spacing w:after="0" w:line="177" w:lineRule="exact"/>
        <w:rPr>
          <w:sz w:val="20"/>
          <w:szCs w:val="20"/>
          <w:color w:val="auto"/>
        </w:rPr>
      </w:pPr>
    </w:p>
    <w:p>
      <w:pPr>
        <w:ind w:firstLine="1735"/>
        <w:spacing w:after="0" w:line="260" w:lineRule="auto"/>
        <w:tabs>
          <w:tab w:leader="none" w:pos="2595"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License, the Support Services, and any other licenses and rights granted or afforded by Licensor to Licensee hereunder shall terminate as set forth herein or as specified in an applicable SOW.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2" w:name="page73"/>
    <w:bookmarkEnd w:id="72"/>
    <w:p>
      <w:pPr>
        <w:jc w:val="both"/>
        <w:ind w:firstLine="1735"/>
        <w:spacing w:after="0" w:line="242" w:lineRule="auto"/>
        <w:tabs>
          <w:tab w:leader="none" w:pos="2606"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Licensee shall vacate and decommission to commercially reasonable standards the Dedicated Space, leave the Licensed Space broom clean and in the same general order and condition as the Licensed Space on the Effective Date, except for reasonable wear and tear, and promptly provide a copy of all decommissioning documentation to Licensor. Licensee shall after such termination or expiration: (1) remove all of Licensee’s personal property and all other property and effects of Licensee and all persons claiming through or under Licensee from the Licensed Space and the Premises, (2) remove all Equipment, and (3) repair all damage to the Licensed Space and the Premises, if any, occasioned by such removal, reasonable wear and tear excepted. Licensor shall provide Licensee with full access and the right to remove the foregoing property (including Equipment) from the Licensed Space following expiration or termination of this Agreement.</w:t>
      </w:r>
    </w:p>
    <w:p>
      <w:pPr>
        <w:spacing w:after="0" w:line="19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12.04 </w:t>
      </w:r>
      <w:r>
        <w:rPr>
          <w:rFonts w:ascii="Arial" w:cs="Arial" w:eastAsia="Arial" w:hAnsi="Arial"/>
          <w:sz w:val="20"/>
          <w:szCs w:val="20"/>
          <w:u w:val="single" w:color="auto"/>
          <w:color w:val="auto"/>
        </w:rPr>
        <w:t>Survival</w:t>
      </w:r>
      <w:r>
        <w:rPr>
          <w:rFonts w:ascii="Arial" w:cs="Arial" w:eastAsia="Arial" w:hAnsi="Arial"/>
          <w:sz w:val="20"/>
          <w:szCs w:val="20"/>
          <w:color w:val="auto"/>
        </w:rPr>
        <w:t>. The termination or expiration of this Agreement shall not relieve the parties of any obligations accruing prior to such termination, and any such termination shall be without prejudice to the rights of either party against the other. The provisions of Sections 7.01, 7.02, 7.03, 12.03, 12.04 and Articles VIII, IX, X, XI, and XIII shall survive any termination or expiration of this Agreement.</w:t>
      </w:r>
    </w:p>
    <w:p>
      <w:pPr>
        <w:spacing w:after="0" w:line="19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12.05 </w:t>
      </w:r>
      <w:r>
        <w:rPr>
          <w:rFonts w:ascii="Arial" w:cs="Arial" w:eastAsia="Arial" w:hAnsi="Arial"/>
          <w:sz w:val="20"/>
          <w:szCs w:val="20"/>
          <w:u w:val="single" w:color="auto"/>
          <w:color w:val="auto"/>
        </w:rPr>
        <w:t>Changes in Scope of Services or Fees</w:t>
      </w:r>
      <w:r>
        <w:rPr>
          <w:rFonts w:ascii="Arial" w:cs="Arial" w:eastAsia="Arial" w:hAnsi="Arial"/>
          <w:sz w:val="20"/>
          <w:szCs w:val="20"/>
          <w:color w:val="auto"/>
        </w:rPr>
        <w:t>. ANY and ALL changes that materially impact the scope of services or fees as described in the applicable SOW must be addressed per formal, mutually-approved Change Orders to the SOW. Licensor reserves the right to grant a conditional approval - so that work may commence in good faith - provided there is written notification (via email or letter), while formal approval of the Change Order is pending.</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12.06 </w:t>
      </w:r>
      <w:r>
        <w:rPr>
          <w:rFonts w:ascii="Arial" w:cs="Arial" w:eastAsia="Arial" w:hAnsi="Arial"/>
          <w:sz w:val="20"/>
          <w:szCs w:val="20"/>
          <w:u w:val="single" w:color="auto"/>
          <w:color w:val="auto"/>
        </w:rPr>
        <w:t>Transition of License and Support Services</w:t>
      </w:r>
      <w:r>
        <w:rPr>
          <w:rFonts w:ascii="Arial" w:cs="Arial" w:eastAsia="Arial" w:hAnsi="Arial"/>
          <w:sz w:val="20"/>
          <w:szCs w:val="20"/>
          <w:color w:val="auto"/>
        </w:rPr>
        <w:t xml:space="preserve">. </w:t>
      </w:r>
      <w:r>
        <w:rPr>
          <w:rFonts w:ascii="Arial" w:cs="Arial" w:eastAsia="Arial" w:hAnsi="Arial"/>
          <w:sz w:val="20"/>
          <w:szCs w:val="20"/>
          <w:color w:val="333333"/>
        </w:rPr>
        <w:t>In the event of assignment of this Agreement by Licensee,</w:t>
      </w:r>
      <w:r>
        <w:rPr>
          <w:rFonts w:ascii="Arial" w:cs="Arial" w:eastAsia="Arial" w:hAnsi="Arial"/>
          <w:sz w:val="20"/>
          <w:szCs w:val="20"/>
          <w:color w:val="auto"/>
        </w:rPr>
        <w:t xml:space="preserve"> </w:t>
      </w:r>
      <w:r>
        <w:rPr>
          <w:rFonts w:ascii="Arial" w:cs="Arial" w:eastAsia="Arial" w:hAnsi="Arial"/>
          <w:sz w:val="20"/>
          <w:szCs w:val="20"/>
          <w:color w:val="333333"/>
        </w:rPr>
        <w:t>Licensor shall reasonably assist in the transition of the License and Support Services.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13.01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firstLine="1735"/>
        <w:spacing w:after="0" w:line="246" w:lineRule="auto"/>
        <w:tabs>
          <w:tab w:leader="none" w:pos="2595"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Any notice or communications given or required to be given pursuant to this Agreement shall be effective only if rendered or given in writing, sent by (1) registered or certified mail, return receipt requested, (2) a nationally recognized courier service such as Federal Express or UPS, or (3) hand delivery (with a duplicate copy sent via either method described in (1) or (2) immediately above) addressed:</w:t>
      </w:r>
    </w:p>
    <w:p>
      <w:pPr>
        <w:spacing w:after="0" w:line="200" w:lineRule="exact"/>
        <w:rPr>
          <w:sz w:val="20"/>
          <w:szCs w:val="20"/>
          <w:color w:val="auto"/>
        </w:rPr>
      </w:pPr>
    </w:p>
    <w:p>
      <w:pPr>
        <w:spacing w:after="0" w:line="22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If to Licensee, to:</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Synlogic Operating Company, Inc.</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301 Binney St. Suite 402</w:t>
      </w:r>
    </w:p>
    <w:p>
      <w:pPr>
        <w:ind w:left="1740"/>
        <w:spacing w:after="0"/>
        <w:rPr>
          <w:sz w:val="20"/>
          <w:szCs w:val="20"/>
          <w:color w:val="auto"/>
        </w:rPr>
      </w:pPr>
      <w:r>
        <w:rPr>
          <w:rFonts w:ascii="Arial" w:cs="Arial" w:eastAsia="Arial" w:hAnsi="Arial"/>
          <w:sz w:val="20"/>
          <w:szCs w:val="20"/>
          <w:color w:val="auto"/>
        </w:rPr>
        <w:t>Cambridge, MA 02142</w:t>
      </w:r>
    </w:p>
    <w:p>
      <w:pPr>
        <w:ind w:left="1740"/>
        <w:spacing w:after="0"/>
        <w:rPr>
          <w:sz w:val="20"/>
          <w:szCs w:val="20"/>
          <w:color w:val="auto"/>
        </w:rPr>
      </w:pPr>
      <w:r>
        <w:rPr>
          <w:rFonts w:ascii="Arial" w:cs="Arial" w:eastAsia="Arial" w:hAnsi="Arial"/>
          <w:sz w:val="20"/>
          <w:szCs w:val="20"/>
          <w:color w:val="auto"/>
        </w:rPr>
        <w:t>ATTN: Tony Awad, COO</w:t>
      </w:r>
    </w:p>
    <w:p>
      <w:pPr>
        <w:spacing w:after="0" w:line="213"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If to Licensor, to:</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Azzur Cleanrooms-on-Demand - Boston LLC</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411 Waverley Oaks #129</w:t>
      </w:r>
    </w:p>
    <w:p>
      <w:pPr>
        <w:ind w:left="1740"/>
        <w:spacing w:after="0"/>
        <w:rPr>
          <w:sz w:val="20"/>
          <w:szCs w:val="20"/>
          <w:color w:val="auto"/>
        </w:rPr>
      </w:pPr>
      <w:r>
        <w:rPr>
          <w:rFonts w:ascii="Arial" w:cs="Arial" w:eastAsia="Arial" w:hAnsi="Arial"/>
          <w:sz w:val="20"/>
          <w:szCs w:val="20"/>
          <w:color w:val="auto"/>
        </w:rPr>
        <w:t>Waltham, MA 02452</w:t>
      </w:r>
    </w:p>
    <w:p>
      <w:pPr>
        <w:ind w:left="1740"/>
        <w:spacing w:after="0"/>
        <w:rPr>
          <w:sz w:val="20"/>
          <w:szCs w:val="20"/>
          <w:color w:val="auto"/>
        </w:rPr>
      </w:pPr>
      <w:r>
        <w:rPr>
          <w:rFonts w:ascii="Arial" w:cs="Arial" w:eastAsia="Arial" w:hAnsi="Arial"/>
          <w:sz w:val="20"/>
          <w:szCs w:val="20"/>
          <w:color w:val="auto"/>
        </w:rPr>
        <w:t>Attn: Ravi Samavedam, President Azzur COD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3" w:name="page74"/>
    <w:bookmarkEnd w:id="73"/>
    <w:p>
      <w:pPr>
        <w:jc w:val="both"/>
        <w:ind w:firstLine="1735"/>
        <w:spacing w:after="0" w:line="250" w:lineRule="auto"/>
        <w:tabs>
          <w:tab w:leader="none" w:pos="2606"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such demand, notice, communication or report shall be deemed to have been given pursuant to this Agreement upon delivery or refusal of delivery. Either party may at any time change its address for notification purposes by providing written notice stating the change and setting forth the new address.</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13.02</w:t>
      </w:r>
      <w:r>
        <w:rPr>
          <w:sz w:val="20"/>
          <w:szCs w:val="20"/>
          <w:color w:val="auto"/>
        </w:rPr>
        <w:tab/>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w:t>
      </w:r>
    </w:p>
    <w:p>
      <w:pPr>
        <w:spacing w:after="0" w:line="216" w:lineRule="exact"/>
        <w:rPr>
          <w:sz w:val="20"/>
          <w:szCs w:val="20"/>
          <w:color w:val="auto"/>
        </w:rPr>
      </w:pPr>
    </w:p>
    <w:p>
      <w:pPr>
        <w:jc w:val="both"/>
        <w:ind w:firstLine="1735"/>
        <w:spacing w:after="0" w:line="276" w:lineRule="auto"/>
        <w:tabs>
          <w:tab w:leader="none" w:pos="25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expressly otherwise provided herein, this Agreement together with the exhibits and schedules attached hereto, which are incorporated herein by this reference, embodies and constitutes the entire understanding between the parties with respect to the licensing transaction contemplated herein and supersede any conflicting terms in the Master Services Agreement entered into by the parties on or about [***]. In the event of conflict, discrepancy, or inconsistency between the terms of this Agreement and any SOW, purchase order, or other document or form used by the parties, the terms of this Agreement will control except to the extent that such other document specifically states an intent to supersede this Agreement on a specific matter.</w:t>
      </w:r>
    </w:p>
    <w:p>
      <w:pPr>
        <w:spacing w:after="0" w:line="164" w:lineRule="exact"/>
        <w:rPr>
          <w:rFonts w:ascii="Arial" w:cs="Arial" w:eastAsia="Arial" w:hAnsi="Arial"/>
          <w:sz w:val="18"/>
          <w:szCs w:val="18"/>
          <w:color w:val="auto"/>
        </w:rPr>
      </w:pPr>
    </w:p>
    <w:p>
      <w:pPr>
        <w:jc w:val="both"/>
        <w:ind w:firstLine="1735"/>
        <w:spacing w:after="0" w:line="244" w:lineRule="auto"/>
        <w:tabs>
          <w:tab w:leader="none" w:pos="260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modified, amended or terminated, and Licensee’s obligations hereunder shall in no way be discharged, except as expressly provided in this Agreement or by written instrument executed by the parties hereto. This Agreement shall not be construed in any way to grant Licensee any leasehold or other real property interest in the Licensed Space. This Agreement merely grants Licensee this License to enter upon, occupy and use the Licensed Space during the Term in accordance with the terms and conditions hereof.</w:t>
      </w:r>
    </w:p>
    <w:p>
      <w:pPr>
        <w:spacing w:after="0" w:line="19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to Licensee, and Licensee may not assign its rights or delegate its duties under this Agreement (whether by operation of law or otherwise) without the prior written consent of Licensor which shall not be unreasonably conditioned, delayed or withheld; provided, however, Licensor’s consent shall not be required in the event Licensee assigns this Agreement to a successor in interest to all or substantially all of its business or assets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Licensor will provide reasonable notice to Licensee in the event Licensor assigns any of its rights and/or delegates any of its duties under this Agreement. This Agreement shall be binding upon and inure to the benefit of the parties hereto and their respective permitted legal representatives, successors and assigns.</w:t>
      </w:r>
    </w:p>
    <w:p>
      <w:pPr>
        <w:spacing w:after="0" w:line="16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0"/>
          <w:szCs w:val="20"/>
          <w:color w:val="auto"/>
        </w:rPr>
        <w:t>Section 13.04</w:t>
      </w:r>
      <w:r>
        <w:rPr>
          <w:sz w:val="20"/>
          <w:szCs w:val="20"/>
          <w:color w:val="auto"/>
        </w:rPr>
        <w:tab/>
      </w:r>
      <w:r>
        <w:rPr>
          <w:rFonts w:ascii="Arial" w:cs="Arial" w:eastAsia="Arial" w:hAnsi="Arial"/>
          <w:sz w:val="18"/>
          <w:szCs w:val="18"/>
          <w:u w:val="single" w:color="auto"/>
          <w:color w:val="auto"/>
        </w:rPr>
        <w:t>Recording</w:t>
      </w:r>
      <w:r>
        <w:rPr>
          <w:rFonts w:ascii="Arial" w:cs="Arial" w:eastAsia="Arial" w:hAnsi="Arial"/>
          <w:sz w:val="18"/>
          <w:szCs w:val="18"/>
          <w:color w:val="auto"/>
        </w:rPr>
        <w:t>. Neither Licensor nor Licensee shall have the right to record this Agreement or any memorandum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20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13.05 </w:t>
      </w:r>
      <w:r>
        <w:rPr>
          <w:rFonts w:ascii="Arial" w:cs="Arial" w:eastAsia="Arial" w:hAnsi="Arial"/>
          <w:sz w:val="20"/>
          <w:szCs w:val="20"/>
          <w:u w:val="single" w:color="auto"/>
          <w:color w:val="auto"/>
        </w:rPr>
        <w:t>Force Majeure</w:t>
      </w:r>
      <w:r>
        <w:rPr>
          <w:rFonts w:ascii="Arial" w:cs="Arial" w:eastAsia="Arial" w:hAnsi="Arial"/>
          <w:sz w:val="20"/>
          <w:szCs w:val="20"/>
          <w:color w:val="auto"/>
        </w:rPr>
        <w:t>. Neither party shall be held liable or responsible to the other party nor be deemed to have defaulted under or breached this Agreement for failure or delay in fulfilling or performing any term of this Agreement (other than a default in the payment of any Fees) to the extent, and for so long as, such failure or delay is caused by or results from causes beyond the reasonable control of the affected party including but not limited to fire, floods, pestilence, pandemic, embargoes, war, acts of war (whether war be declared or not), acts of terrorism, insurrections, riots, civil commotions, strikes, lockouts or other labor disturbances, acts of God or acts, omissions or delays in acting by the other party or the Landlord.</w:t>
      </w:r>
    </w:p>
    <w:p>
      <w:pPr>
        <w:spacing w:after="0" w:line="1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13.06 </w:t>
      </w:r>
      <w:r>
        <w:rPr>
          <w:rFonts w:ascii="Arial" w:cs="Arial" w:eastAsia="Arial" w:hAnsi="Arial"/>
          <w:sz w:val="20"/>
          <w:szCs w:val="20"/>
          <w:u w:val="single" w:color="auto"/>
          <w:color w:val="auto"/>
        </w:rPr>
        <w:t>Governing Law; Jurisdiction; Venue</w:t>
      </w:r>
      <w:r>
        <w:rPr>
          <w:rFonts w:ascii="Arial" w:cs="Arial" w:eastAsia="Arial" w:hAnsi="Arial"/>
          <w:sz w:val="20"/>
          <w:szCs w:val="20"/>
          <w:color w:val="auto"/>
        </w:rPr>
        <w:t>. This Agreement and all related documents including all schedules attached hereto and all matters arising out of or relating to this Agreement, whether sounding in contract, tort, or statute, for all purposes shall be governed by and construed in accordance with the laws of the State of Massachusetts, without giving effect to any conflict of laws principles that would cause the laws of any other jurisdiction to apply. Any action or proceeding by either of the parties to enforce this Agreement shall be brought only in any state or federal court located in the State of Massachusetts, Middlesex County. The parties hereby irrevocably submit to the exclusive jurisdiction of these courts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4" w:name="page75"/>
    <w:bookmarkEnd w:id="74"/>
    <w:p>
      <w:pPr>
        <w:jc w:val="both"/>
        <w:spacing w:after="0" w:line="246" w:lineRule="auto"/>
        <w:rPr>
          <w:sz w:val="20"/>
          <w:szCs w:val="20"/>
          <w:color w:val="auto"/>
        </w:rPr>
      </w:pPr>
      <w:r>
        <w:rPr>
          <w:rFonts w:ascii="Arial" w:cs="Arial" w:eastAsia="Arial" w:hAnsi="Arial"/>
          <w:sz w:val="20"/>
          <w:szCs w:val="20"/>
          <w:color w:val="auto"/>
        </w:rPr>
        <w:t>waive the defense of inconvenient forum to the maintenance of any action or proceeding in such venue. No provision herein shall be construed as precluding a party from bringing an action for injunctive relief or other equitable relief at any time. In the event of litigation or any dispute relating to the enforcement of this Agreement, the prevailing party shall be entitled to recover its reasonable attorneys’ fees and costs from the non-prevailing party.</w:t>
      </w:r>
    </w:p>
    <w:p>
      <w:pPr>
        <w:spacing w:after="0" w:line="191"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Severability</w:t>
      </w:r>
      <w:r>
        <w:rPr>
          <w:rFonts w:ascii="Arial" w:cs="Arial" w:eastAsia="Arial" w:hAnsi="Arial"/>
          <w:sz w:val="18"/>
          <w:szCs w:val="18"/>
          <w:color w:val="auto"/>
        </w:rPr>
        <w:t>. If and solely to the extent that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a determination that any term or provision is invalid, illegal or unenforceable, the court shall modify this Agreement to effect the original intent of the parties as closely as possible in order that the transactions contemplated hereby be consummated as originally contemplated to the greatest extent possible.</w:t>
      </w:r>
    </w:p>
    <w:p>
      <w:pPr>
        <w:spacing w:after="0" w:line="16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13.09 </w:t>
      </w:r>
      <w:r>
        <w:rPr>
          <w:rFonts w:ascii="Arial" w:cs="Arial" w:eastAsia="Arial" w:hAnsi="Arial"/>
          <w:sz w:val="19"/>
          <w:szCs w:val="19"/>
          <w:u w:val="single" w:color="auto"/>
          <w:color w:val="auto"/>
        </w:rPr>
        <w:t>Waivers</w:t>
      </w:r>
      <w:r>
        <w:rPr>
          <w:rFonts w:ascii="Arial" w:cs="Arial" w:eastAsia="Arial" w:hAnsi="Arial"/>
          <w:sz w:val="19"/>
          <w:szCs w:val="19"/>
          <w:color w:val="auto"/>
        </w:rPr>
        <w:t>. Any term or condition of this Agreement may be waived at any time by the party that is entitled to the benefit thereof, but no such waiver shall be effective unless set forth in a written instrument duly executed by or on behalf of the party or parties waiving such term or condition. Neither the waiver by any party of any term or condition of this Agreement nor the failure on the part of any party, in one or more instances, to enforce any of the provisions of this Agreement or to exercise any right or privilege, shall be deemed or construed to be a waiver of such term or condition for any similar instance in the future or of any subsequent breach hereof. All rights, remedies, undertakings, obligations and agreements contained in this Agreement shall be cumulative and none of them shall be a limitation of any other remedy, right, undertaking, obligation or agreement.</w:t>
      </w:r>
    </w:p>
    <w:p>
      <w:pPr>
        <w:spacing w:after="0" w:line="18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13.10 </w:t>
      </w:r>
      <w:r>
        <w:rPr>
          <w:rFonts w:ascii="Arial" w:cs="Arial" w:eastAsia="Arial" w:hAnsi="Arial"/>
          <w:sz w:val="20"/>
          <w:szCs w:val="20"/>
          <w:u w:val="single" w:color="auto"/>
          <w:color w:val="auto"/>
        </w:rPr>
        <w:t>Interpretation</w:t>
      </w:r>
      <w:r>
        <w:rPr>
          <w:rFonts w:ascii="Arial" w:cs="Arial" w:eastAsia="Arial" w:hAnsi="Arial"/>
          <w:sz w:val="20"/>
          <w:szCs w:val="20"/>
          <w:color w:val="auto"/>
        </w:rPr>
        <w:t>. The term “</w:t>
      </w:r>
      <w:r>
        <w:rPr>
          <w:rFonts w:ascii="Arial" w:cs="Arial" w:eastAsia="Arial" w:hAnsi="Arial"/>
          <w:sz w:val="20"/>
          <w:szCs w:val="20"/>
          <w:u w:val="single" w:color="auto"/>
          <w:color w:val="auto"/>
        </w:rPr>
        <w:t>business days</w:t>
      </w:r>
      <w:r>
        <w:rPr>
          <w:rFonts w:ascii="Arial" w:cs="Arial" w:eastAsia="Arial" w:hAnsi="Arial"/>
          <w:sz w:val="20"/>
          <w:szCs w:val="20"/>
          <w:color w:val="auto"/>
        </w:rPr>
        <w:t>” as used in this Agreement shall exclude Saturdays, Sundays and holidays, the term “</w:t>
      </w:r>
      <w:r>
        <w:rPr>
          <w:rFonts w:ascii="Arial" w:cs="Arial" w:eastAsia="Arial" w:hAnsi="Arial"/>
          <w:sz w:val="20"/>
          <w:szCs w:val="20"/>
          <w:u w:val="single" w:color="auto"/>
          <w:color w:val="auto"/>
        </w:rPr>
        <w:t>Saturdays</w:t>
      </w:r>
      <w:r>
        <w:rPr>
          <w:rFonts w:ascii="Arial" w:cs="Arial" w:eastAsia="Arial" w:hAnsi="Arial"/>
          <w:sz w:val="20"/>
          <w:szCs w:val="20"/>
          <w:color w:val="auto"/>
        </w:rPr>
        <w:t>” as used in this Agreement shall exclude holidays and the term “</w:t>
      </w:r>
      <w:r>
        <w:rPr>
          <w:rFonts w:ascii="Arial" w:cs="Arial" w:eastAsia="Arial" w:hAnsi="Arial"/>
          <w:sz w:val="20"/>
          <w:szCs w:val="20"/>
          <w:u w:val="single" w:color="auto"/>
          <w:color w:val="auto"/>
        </w:rPr>
        <w:t>holidays</w:t>
      </w:r>
      <w:r>
        <w:rPr>
          <w:rFonts w:ascii="Arial" w:cs="Arial" w:eastAsia="Arial" w:hAnsi="Arial"/>
          <w:sz w:val="20"/>
          <w:szCs w:val="20"/>
          <w:color w:val="auto"/>
        </w:rPr>
        <w:t>” as used in this Agreement shall mean all days observed as legal holidays by either the State of Ohio or the United States of America. The terms “</w:t>
      </w:r>
      <w:r>
        <w:rPr>
          <w:rFonts w:ascii="Arial" w:cs="Arial" w:eastAsia="Arial" w:hAnsi="Arial"/>
          <w:sz w:val="20"/>
          <w:szCs w:val="20"/>
          <w:u w:val="single" w:color="auto"/>
          <w:color w:val="auto"/>
        </w:rPr>
        <w:t>Person</w:t>
      </w:r>
      <w:r>
        <w:rPr>
          <w:rFonts w:ascii="Arial" w:cs="Arial" w:eastAsia="Arial" w:hAnsi="Arial"/>
          <w:sz w:val="20"/>
          <w:szCs w:val="20"/>
          <w:color w:val="auto"/>
        </w:rPr>
        <w:t>” and “</w:t>
      </w:r>
      <w:r>
        <w:rPr>
          <w:rFonts w:ascii="Arial" w:cs="Arial" w:eastAsia="Arial" w:hAnsi="Arial"/>
          <w:sz w:val="20"/>
          <w:szCs w:val="20"/>
          <w:u w:val="single" w:color="auto"/>
          <w:color w:val="auto"/>
        </w:rPr>
        <w:t>persons</w:t>
      </w:r>
      <w:r>
        <w:rPr>
          <w:rFonts w:ascii="Arial" w:cs="Arial" w:eastAsia="Arial" w:hAnsi="Arial"/>
          <w:sz w:val="20"/>
          <w:szCs w:val="20"/>
          <w:color w:val="auto"/>
        </w:rPr>
        <w:t>” as used in this Agreement shall be deemed to include natural persons, firms, corporations, partnerships, limited liability entities, unincorporated associations, and any other private or public entities, whether any of the foregoing are acting on their own behalf or in a representative capacity. Whenever the words “including”, “include” or “includes” are used in this Agreement, they shall be interpreted in a nonexclusive manner.</w:t>
      </w:r>
    </w:p>
    <w:p>
      <w:pPr>
        <w:spacing w:after="0" w:line="19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u w:val="single" w:color="auto"/>
          <w:color w:val="auto"/>
        </w:rPr>
        <w:t>Execution and Counterparts</w:t>
      </w:r>
      <w:r>
        <w:rPr>
          <w:rFonts w:ascii="Arial" w:cs="Arial" w:eastAsia="Arial" w:hAnsi="Arial"/>
          <w:sz w:val="19"/>
          <w:szCs w:val="19"/>
          <w:color w:val="auto"/>
        </w:rPr>
        <w:t>. This Agreement shall not be binding or effective until this Agreement is executed and delivered by Licensor and Licensee. This Agreement may be executed in several counterparts, each of which shall constitute an original, but all of which together shall constitute one and the same instrument. The execution of this Agreement may be effected by electronically transmitted (email) or facsimile signatures, all of which shall be treated as originals.</w:t>
      </w:r>
    </w:p>
    <w:p>
      <w:pPr>
        <w:spacing w:after="0" w:line="17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13.12 </w:t>
      </w:r>
      <w:r>
        <w:rPr>
          <w:rFonts w:ascii="Arial" w:cs="Arial" w:eastAsia="Arial" w:hAnsi="Arial"/>
          <w:sz w:val="20"/>
          <w:szCs w:val="20"/>
          <w:u w:val="single" w:color="auto"/>
          <w:color w:val="auto"/>
        </w:rPr>
        <w:t>Attachments</w:t>
      </w:r>
      <w:r>
        <w:rPr>
          <w:rFonts w:ascii="Arial" w:cs="Arial" w:eastAsia="Arial" w:hAnsi="Arial"/>
          <w:sz w:val="20"/>
          <w:szCs w:val="20"/>
          <w:color w:val="auto"/>
        </w:rPr>
        <w:t>. All the attachments are integral parts of this Agreement and are attached hereto. The attachments are listed in the table below:</w:t>
      </w:r>
    </w:p>
    <w:p>
      <w:pPr>
        <w:spacing w:after="0" w:line="177" w:lineRule="exact"/>
        <w:rPr>
          <w:sz w:val="20"/>
          <w:szCs w:val="20"/>
          <w:color w:val="auto"/>
        </w:rPr>
      </w:pPr>
    </w:p>
    <w:p>
      <w:pPr>
        <w:ind w:left="2600" w:hanging="865"/>
        <w:spacing w:after="0"/>
        <w:tabs>
          <w:tab w:leader="none" w:pos="26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Exhibit A: Scope of Work P-9717.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[signatures on next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duly executed this Agreement as of the Effective Date.</w:t>
      </w:r>
    </w:p>
    <w:p>
      <w:pPr>
        <w:spacing w:after="0" w:line="229"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LICENSEE:</w:t>
      </w:r>
    </w:p>
    <w:p>
      <w:pPr>
        <w:spacing w:after="0" w:line="23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SYNLOGIC OPERATING COMPANY, INC.</w:t>
      </w:r>
    </w:p>
    <w:p>
      <w:pPr>
        <w:spacing w:after="0" w:line="229" w:lineRule="exact"/>
        <w:rPr>
          <w:sz w:val="20"/>
          <w:szCs w:val="20"/>
          <w:color w:val="auto"/>
        </w:rPr>
      </w:pPr>
    </w:p>
    <w:tbl>
      <w:tblPr>
        <w:tblLayout w:type="fixed"/>
        <w:tblInd w:w="4200" w:type="dxa"/>
        <w:tblCellMar>
          <w:top w:w="0" w:type="dxa"/>
          <w:left w:w="0" w:type="dxa"/>
          <w:bottom w:w="0" w:type="dxa"/>
          <w:right w:w="0" w:type="dxa"/>
        </w:tblCellMar>
      </w:tblPr>
      <w:tr>
        <w:trPr>
          <w:trHeight w:val="246"/>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GREGG BELOFF</w:t>
            </w:r>
          </w:p>
        </w:tc>
      </w:tr>
      <w:tr>
        <w:trPr>
          <w:trHeight w:val="206"/>
        </w:trPr>
        <w:tc>
          <w:tcPr>
            <w:tcW w:w="94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220" w:type="dxa"/>
            <w:vAlign w:val="bottom"/>
          </w:tcPr>
          <w:p>
            <w:pPr>
              <w:spacing w:after="0" w:line="207" w:lineRule="exact"/>
              <w:rPr>
                <w:sz w:val="20"/>
                <w:szCs w:val="20"/>
                <w:color w:val="auto"/>
              </w:rPr>
            </w:pPr>
            <w:r>
              <w:rPr>
                <w:rFonts w:ascii="Arial" w:cs="Arial" w:eastAsia="Arial" w:hAnsi="Arial"/>
                <w:sz w:val="20"/>
                <w:szCs w:val="20"/>
                <w:color w:val="auto"/>
              </w:rPr>
              <w:t>Gregg Beloff</w:t>
            </w:r>
          </w:p>
        </w:tc>
      </w:t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220" w:type="dxa"/>
            <w:vAlign w:val="bottom"/>
          </w:tcPr>
          <w:p>
            <w:pPr>
              <w:spacing w:after="0"/>
              <w:rPr>
                <w:sz w:val="20"/>
                <w:szCs w:val="20"/>
                <w:color w:val="auto"/>
              </w:rPr>
            </w:pPr>
            <w:r>
              <w:rPr>
                <w:rFonts w:ascii="Arial" w:cs="Arial" w:eastAsia="Arial" w:hAnsi="Arial"/>
                <w:sz w:val="20"/>
                <w:szCs w:val="20"/>
                <w:color w:val="auto"/>
              </w:rPr>
              <w:t>Interim Chief Financial Officer</w:t>
            </w:r>
          </w:p>
        </w:tc>
      </w:tr>
    </w:tbl>
    <w:p>
      <w:pPr>
        <w:spacing w:after="0" w:line="203"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LICENSOR:</w:t>
      </w:r>
    </w:p>
    <w:p>
      <w:pPr>
        <w:spacing w:after="0" w:line="235" w:lineRule="exact"/>
        <w:rPr>
          <w:sz w:val="20"/>
          <w:szCs w:val="20"/>
          <w:color w:val="auto"/>
        </w:rPr>
      </w:pPr>
    </w:p>
    <w:p>
      <w:pPr>
        <w:jc w:val="right"/>
        <w:ind w:right="1600"/>
        <w:spacing w:after="0"/>
        <w:rPr>
          <w:sz w:val="20"/>
          <w:szCs w:val="20"/>
          <w:color w:val="auto"/>
        </w:rPr>
      </w:pPr>
      <w:r>
        <w:rPr>
          <w:rFonts w:ascii="Arial" w:cs="Arial" w:eastAsia="Arial" w:hAnsi="Arial"/>
          <w:sz w:val="20"/>
          <w:szCs w:val="20"/>
          <w:i w:val="1"/>
          <w:iCs w:val="1"/>
          <w:color w:val="auto"/>
        </w:rPr>
        <w:t>AZZUR CLEANROOMS-ON-DEMAND – BOSTON, LLC</w:t>
      </w:r>
    </w:p>
    <w:p>
      <w:pPr>
        <w:spacing w:after="0" w:line="229" w:lineRule="exact"/>
        <w:rPr>
          <w:sz w:val="20"/>
          <w:szCs w:val="20"/>
          <w:color w:val="auto"/>
        </w:rPr>
      </w:pPr>
    </w:p>
    <w:tbl>
      <w:tblPr>
        <w:tblLayout w:type="fixed"/>
        <w:tblInd w:w="4200" w:type="dxa"/>
        <w:tblCellMar>
          <w:top w:w="0" w:type="dxa"/>
          <w:left w:w="0" w:type="dxa"/>
          <w:bottom w:w="0" w:type="dxa"/>
          <w:right w:w="0" w:type="dxa"/>
        </w:tblCellMar>
      </w:tblPr>
      <w:tr>
        <w:trPr>
          <w:trHeight w:val="246"/>
        </w:trPr>
        <w:tc>
          <w:tcPr>
            <w:tcW w:w="940" w:type="dxa"/>
            <w:vAlign w:val="bottom"/>
          </w:tcPr>
          <w:p>
            <w:pPr>
              <w:spacing w:after="0"/>
              <w:rPr>
                <w:sz w:val="20"/>
                <w:szCs w:val="20"/>
                <w:color w:val="auto"/>
              </w:rPr>
            </w:pPr>
            <w:r>
              <w:rPr>
                <w:rFonts w:ascii="Arial" w:cs="Arial" w:eastAsia="Arial" w:hAnsi="Arial"/>
                <w:sz w:val="20"/>
                <w:szCs w:val="20"/>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RAVI SAMAVEDAM</w:t>
            </w:r>
          </w:p>
        </w:tc>
      </w:tr>
      <w:tr>
        <w:trPr>
          <w:trHeight w:val="206"/>
        </w:trPr>
        <w:tc>
          <w:tcPr>
            <w:tcW w:w="94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220" w:type="dxa"/>
            <w:vAlign w:val="bottom"/>
          </w:tcPr>
          <w:p>
            <w:pPr>
              <w:spacing w:after="0" w:line="207" w:lineRule="exact"/>
              <w:rPr>
                <w:sz w:val="20"/>
                <w:szCs w:val="20"/>
                <w:color w:val="auto"/>
              </w:rPr>
            </w:pPr>
            <w:r>
              <w:rPr>
                <w:rFonts w:ascii="Arial" w:cs="Arial" w:eastAsia="Arial" w:hAnsi="Arial"/>
                <w:sz w:val="20"/>
                <w:szCs w:val="20"/>
                <w:color w:val="auto"/>
              </w:rPr>
              <w:t>Ravi Samavedam</w:t>
            </w:r>
          </w:p>
        </w:tc>
      </w:tr>
      <w:tr>
        <w:trPr>
          <w:trHeight w:val="250"/>
        </w:trPr>
        <w:tc>
          <w:tcPr>
            <w:tcW w:w="940" w:type="dxa"/>
            <w:vAlign w:val="bottom"/>
          </w:tcPr>
          <w:p>
            <w:pPr>
              <w:spacing w:after="0"/>
              <w:rPr>
                <w:sz w:val="20"/>
                <w:szCs w:val="20"/>
                <w:color w:val="auto"/>
              </w:rPr>
            </w:pPr>
            <w:r>
              <w:rPr>
                <w:rFonts w:ascii="Arial" w:cs="Arial" w:eastAsia="Arial" w:hAnsi="Arial"/>
                <w:sz w:val="20"/>
                <w:szCs w:val="20"/>
                <w:color w:val="auto"/>
              </w:rPr>
              <w:t>Title:</w:t>
            </w:r>
          </w:p>
        </w:tc>
        <w:tc>
          <w:tcPr>
            <w:tcW w:w="5220" w:type="dxa"/>
            <w:vAlign w:val="bottom"/>
          </w:tcPr>
          <w:p>
            <w:pPr>
              <w:spacing w:after="0"/>
              <w:rPr>
                <w:sz w:val="20"/>
                <w:szCs w:val="20"/>
                <w:color w:val="auto"/>
              </w:rPr>
            </w:pPr>
            <w:r>
              <w:rPr>
                <w:rFonts w:ascii="Arial" w:cs="Arial" w:eastAsia="Arial" w:hAnsi="Arial"/>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66040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4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color w:val="12569A"/>
        </w:rPr>
        <w:t>P-6671 SOW 2 Rev 1for Facility Use (Suite 3 May 2019 to Dec 2022)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12569A"/>
        </w:rPr>
        <w:t>CONFIDENTIAL</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Scope of Work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562610</wp:posOffset>
            </wp:positionV>
            <wp:extent cx="4140200" cy="874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4020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Scope of Work P-9717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327660</wp:posOffset>
            </wp:positionV>
            <wp:extent cx="2434590" cy="1054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3459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auto"/>
        </w:rPr>
        <w:t>Scope of Work for Cleanroom 3 Use (May 1, 2021 to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66040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640"/>
          </w:cols>
          <w:pgMar w:left="1120" w:top="609" w:right="113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12559A"/>
        </w:rPr>
        <w:t>Section 1 - Background/Scope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Azzur Cleanrooms On Demand (“COD”) facilities are designed for clients to utilize controlled clean areas and services related to early phase cGMP manufacturing. This Scope of Work (“SOW”) is for 21 months, subject to terms and conditions specified in the </w:t>
      </w:r>
      <w:r>
        <w:rPr>
          <w:rFonts w:ascii="Arial" w:cs="Arial" w:eastAsia="Arial" w:hAnsi="Arial"/>
          <w:sz w:val="20"/>
          <w:szCs w:val="20"/>
          <w:b w:val="1"/>
          <w:bCs w:val="1"/>
          <w:u w:val="single" w:color="auto"/>
          <w:color w:val="auto"/>
        </w:rPr>
        <w:t>LICENSE AND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SERVICES AGREEMENT</w:t>
      </w:r>
      <w:r>
        <w:rPr>
          <w:rFonts w:ascii="Arial" w:cs="Arial" w:eastAsia="Arial" w:hAnsi="Arial"/>
          <w:sz w:val="20"/>
          <w:szCs w:val="20"/>
          <w:color w:val="auto"/>
        </w:rPr>
        <w:t>, of cleanroom use (“CR3”) and support related services at the COD facility located at 411 Waverley Oaks Rd.,</w:t>
      </w:r>
      <w:r>
        <w:rPr>
          <w:rFonts w:ascii="Arial" w:cs="Arial" w:eastAsia="Arial" w:hAnsi="Arial"/>
          <w:sz w:val="20"/>
          <w:szCs w:val="20"/>
          <w:b w:val="1"/>
          <w:bCs w:val="1"/>
          <w:color w:val="auto"/>
        </w:rPr>
        <w:t xml:space="preserve"> </w:t>
      </w:r>
      <w:r>
        <w:rPr>
          <w:rFonts w:ascii="Arial" w:cs="Arial" w:eastAsia="Arial" w:hAnsi="Arial"/>
          <w:sz w:val="20"/>
          <w:szCs w:val="20"/>
          <w:color w:val="auto"/>
        </w:rPr>
        <w:t>#126, Waltham, MA 02452. This SOW replaces P-6671 for the duration of May 2021 to Dec 2022. This SOW is entered into by and COD (“Licensor”) and Synlogic (“Licensee”) effective as of the approval date of this SOW. Upon execution of this SOW, this SOW will be incorporated into a mutually approved License and Services Agreement (“LSA”) that contains additional terms and conditions of the COD Cleanrooms and support services use.</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Purchase Order (“PO”) for the license fees for the duration of 21 months and the first monthly pre-payment of the license fees, as identified this SOW, will be due no later than 30 days after the execution of this SOW and the related LSA.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12559A"/>
        </w:rPr>
        <w:t>Section 2 – License and Technical Requirements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Commencing on the Effective Date and subject to the terms and conditions of the LSA, Licensor grants to Licensee a license to access and use the cleanroom with specification described in Section 3. Licensor will provide the support services described in this Section 3 using Licensor personnel. Licensor personnel will perform the services in a timely, professional and workmanlike manner and in accordance with all applicable laws, regulations and guidelines. Licensor will maintain all permits, licenses or other approvals necessary for the operation of the Cleanroom in accordance with the requirements set forth herein. Specifically, Licensor will perform Services in accordance with the following:</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Licensor personnel will be experienced with FDA facility compliance expectations. Licensor has based this Statement of Work upon the following documents.</w:t>
      </w:r>
    </w:p>
    <w:p>
      <w:pPr>
        <w:spacing w:after="0" w:line="69" w:lineRule="exact"/>
        <w:rPr>
          <w:sz w:val="20"/>
          <w:szCs w:val="20"/>
          <w:color w:val="auto"/>
        </w:rPr>
      </w:pPr>
    </w:p>
    <w:p>
      <w:pPr>
        <w:ind w:left="700" w:right="20" w:hanging="395"/>
        <w:spacing w:after="0" w:line="260" w:lineRule="auto"/>
        <w:tabs>
          <w:tab w:leader="none" w:pos="7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Code of Federal Regulations Title 21 Part 210 – Current Good Manufacturing Practice in theManufacturing, Processing, Packing, or Holding of Drugs; General</w:t>
      </w:r>
    </w:p>
    <w:p>
      <w:pPr>
        <w:spacing w:after="0" w:line="69" w:lineRule="exact"/>
        <w:rPr>
          <w:sz w:val="20"/>
          <w:szCs w:val="20"/>
          <w:color w:val="auto"/>
        </w:rPr>
      </w:pPr>
    </w:p>
    <w:p>
      <w:pPr>
        <w:ind w:left="300" w:right="1080"/>
        <w:spacing w:after="0" w:line="385" w:lineRule="auto"/>
        <w:rPr>
          <w:sz w:val="20"/>
          <w:szCs w:val="20"/>
          <w:color w:val="auto"/>
        </w:rPr>
      </w:pPr>
      <w:r>
        <w:rPr>
          <w:rFonts w:ascii="Arial" w:cs="Arial" w:eastAsia="Arial" w:hAnsi="Arial"/>
          <w:sz w:val="19"/>
          <w:szCs w:val="19"/>
          <w:color w:val="auto"/>
        </w:rPr>
        <w:t>• Code of Federal Regulations Title 21 Part 211 – Current Good Manufacturing Practice forFinished Pharmaceutical • ISPE Good Practice Guide – Science and Risk-Based Approach for the Delivery of FacilitySystems and Equipment</w:t>
      </w:r>
    </w:p>
    <w:p>
      <w:pPr>
        <w:spacing w:after="0" w:line="1" w:lineRule="exact"/>
        <w:rPr>
          <w:sz w:val="20"/>
          <w:szCs w:val="20"/>
          <w:color w:val="auto"/>
        </w:rPr>
      </w:pPr>
    </w:p>
    <w:p>
      <w:pPr>
        <w:ind w:left="700" w:hanging="395"/>
        <w:spacing w:after="0"/>
        <w:tabs>
          <w:tab w:leader="none" w:pos="7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ISPE Good Practice Guide – Good Engineering Practices</w:t>
      </w:r>
    </w:p>
    <w:p>
      <w:pPr>
        <w:spacing w:after="0" w:line="121" w:lineRule="exact"/>
        <w:rPr>
          <w:rFonts w:ascii="Arial" w:cs="Arial" w:eastAsia="Arial" w:hAnsi="Arial"/>
          <w:sz w:val="20"/>
          <w:szCs w:val="20"/>
          <w:color w:val="auto"/>
        </w:rPr>
      </w:pPr>
    </w:p>
    <w:p>
      <w:pPr>
        <w:ind w:left="700" w:hanging="395"/>
        <w:spacing w:after="0" w:line="260" w:lineRule="auto"/>
        <w:tabs>
          <w:tab w:leader="none" w:pos="7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PDA Technical Report 56 – Application of Phase Appropriate Quality System and cGMP to the Development of Therapeutic Protein Drug Substance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8" w:name="page79"/>
    <w:bookmarkEnd w:id="78"/>
    <w:p>
      <w:pPr>
        <w:ind w:right="20"/>
        <w:spacing w:after="0" w:line="260" w:lineRule="auto"/>
        <w:rPr>
          <w:sz w:val="20"/>
          <w:szCs w:val="20"/>
          <w:color w:val="auto"/>
        </w:rPr>
      </w:pPr>
      <w:r>
        <w:rPr>
          <w:rFonts w:ascii="Arial" w:cs="Arial" w:eastAsia="Arial" w:hAnsi="Arial"/>
          <w:sz w:val="20"/>
          <w:szCs w:val="20"/>
          <w:color w:val="auto"/>
        </w:rPr>
        <w:t>Licensee personnel using the classified areas are to be trained on Licensor SOPs on gowning, personnelmovement, material control, gowning training, safety training etc.</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12559A"/>
        </w:rPr>
        <w:t>Section 3 – Detailed Scope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This SOW provides details of the licensed cleanroom space, office space, support services and the related inclusions.</w:t>
      </w:r>
    </w:p>
    <w:p>
      <w:pPr>
        <w:spacing w:after="0" w:line="243" w:lineRule="exact"/>
        <w:rPr>
          <w:sz w:val="20"/>
          <w:szCs w:val="20"/>
          <w:color w:val="auto"/>
        </w:rPr>
      </w:pPr>
    </w:p>
    <w:p>
      <w:pPr>
        <w:ind w:left="680" w:hanging="672"/>
        <w:spacing w:after="0"/>
        <w:tabs>
          <w:tab w:leader="none" w:pos="680"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Cleanroom</w:t>
      </w:r>
    </w:p>
    <w:p>
      <w:pPr>
        <w:spacing w:after="0" w:line="107" w:lineRule="exact"/>
        <w:rPr>
          <w:rFonts w:ascii="Arial" w:cs="Arial" w:eastAsia="Arial" w:hAnsi="Arial"/>
          <w:sz w:val="20"/>
          <w:szCs w:val="20"/>
          <w:b w:val="1"/>
          <w:bCs w:val="1"/>
          <w:color w:val="auto"/>
        </w:rPr>
      </w:pPr>
    </w:p>
    <w:p>
      <w:pPr>
        <w:ind w:left="700" w:hanging="395"/>
        <w:spacing w:after="0"/>
        <w:tabs>
          <w:tab w:leader="none" w:pos="7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Dedicated CR3 cleanroom space for a duration of 21 months with a start date of May 2021.</w:t>
      </w:r>
    </w:p>
    <w:p>
      <w:pPr>
        <w:spacing w:after="0" w:line="121" w:lineRule="exact"/>
        <w:rPr>
          <w:rFonts w:ascii="Arial" w:cs="Arial" w:eastAsia="Arial" w:hAnsi="Arial"/>
          <w:sz w:val="20"/>
          <w:szCs w:val="20"/>
          <w:color w:val="auto"/>
        </w:rPr>
      </w:pPr>
    </w:p>
    <w:p>
      <w:pPr>
        <w:ind w:left="700" w:right="1040"/>
        <w:spacing w:after="0" w:line="358" w:lineRule="auto"/>
        <w:rPr>
          <w:rFonts w:ascii="Arial" w:cs="Arial" w:eastAsia="Arial" w:hAnsi="Arial"/>
          <w:sz w:val="20"/>
          <w:szCs w:val="20"/>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All entry/exit door to controlled or classified spaces will be access controlled via badge accessand security controls</w:t>
      </w:r>
      <w:r>
        <w:rPr>
          <w:rFonts w:ascii="Courier New" w:cs="Courier New" w:eastAsia="Courier New" w:hAnsi="Courier New"/>
          <w:sz w:val="19"/>
          <w:szCs w:val="19"/>
          <w:color w:val="auto"/>
        </w:rPr>
        <w:t xml:space="preserve"> o </w:t>
      </w:r>
      <w:r>
        <w:rPr>
          <w:rFonts w:ascii="Arial" w:cs="Arial" w:eastAsia="Arial" w:hAnsi="Arial"/>
          <w:sz w:val="19"/>
          <w:szCs w:val="19"/>
          <w:color w:val="auto"/>
        </w:rPr>
        <w:t>Cleanroom entry/exit doors will be interlocked with access only to Licensee and Licensor personnel.</w:t>
      </w:r>
    </w:p>
    <w:p>
      <w:pPr>
        <w:jc w:val="both"/>
        <w:ind w:left="700" w:right="6120"/>
        <w:spacing w:after="0" w:line="358" w:lineRule="auto"/>
        <w:rPr>
          <w:rFonts w:ascii="Arial" w:cs="Arial" w:eastAsia="Arial" w:hAnsi="Arial"/>
          <w:sz w:val="20"/>
          <w:szCs w:val="20"/>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Room differential pressures which will meet [***].</w:t>
      </w:r>
      <w:r>
        <w:rPr>
          <w:rFonts w:ascii="Courier New" w:cs="Courier New" w:eastAsia="Courier New" w:hAnsi="Courier New"/>
          <w:sz w:val="19"/>
          <w:szCs w:val="19"/>
          <w:color w:val="auto"/>
        </w:rPr>
        <w:t xml:space="preserve"> o </w:t>
      </w:r>
      <w:r>
        <w:rPr>
          <w:rFonts w:ascii="Arial" w:cs="Arial" w:eastAsia="Arial" w:hAnsi="Arial"/>
          <w:sz w:val="19"/>
          <w:szCs w:val="19"/>
          <w:color w:val="auto"/>
        </w:rPr>
        <w:t>Room differential pressures which will meet [***].</w:t>
      </w:r>
    </w:p>
    <w:p>
      <w:pPr>
        <w:ind w:left="700"/>
        <w:spacing w:after="0"/>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Temperature specification range of [***] with operational control of [***]</w:t>
      </w:r>
    </w:p>
    <w:p>
      <w:pPr>
        <w:spacing w:after="0" w:line="103" w:lineRule="exact"/>
        <w:rPr>
          <w:rFonts w:ascii="Arial" w:cs="Arial" w:eastAsia="Arial" w:hAnsi="Arial"/>
          <w:sz w:val="20"/>
          <w:szCs w:val="20"/>
          <w:color w:val="auto"/>
        </w:rPr>
      </w:pPr>
    </w:p>
    <w:p>
      <w:pPr>
        <w:ind w:left="1100" w:right="2940" w:hanging="407"/>
        <w:spacing w:after="0" w:line="333"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Differential pressure, temperature and humidity will be continually monitored and alarmed.</w:t>
      </w:r>
      <w:r>
        <w:rPr>
          <w:rFonts w:ascii="Courier New" w:cs="Courier New" w:eastAsia="Courier New" w:hAnsi="Courier New"/>
          <w:sz w:val="20"/>
          <w:szCs w:val="20"/>
          <w:color w:val="auto"/>
        </w:rPr>
        <w:t xml:space="preserve"> </w:t>
      </w:r>
      <w:r>
        <w:rPr>
          <w:rFonts w:ascii="Arial" w:cs="Arial" w:eastAsia="Arial" w:hAnsi="Arial"/>
          <w:sz w:val="20"/>
          <w:szCs w:val="20"/>
          <w:color w:val="auto"/>
        </w:rPr>
        <w:t>Remote alarm management is performed by Licensor.</w:t>
      </w:r>
    </w:p>
    <w:p>
      <w:pPr>
        <w:spacing w:after="0" w:line="1" w:lineRule="exact"/>
        <w:rPr>
          <w:rFonts w:ascii="Arial" w:cs="Arial" w:eastAsia="Arial" w:hAnsi="Arial"/>
          <w:sz w:val="20"/>
          <w:szCs w:val="20"/>
          <w:color w:val="auto"/>
        </w:rPr>
      </w:pPr>
    </w:p>
    <w:p>
      <w:pPr>
        <w:ind w:left="1080" w:hanging="392"/>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The [***] will be furnished with a [***]. Additional room furnishings can be installed upon request, the costs for which are not</w:t>
      </w:r>
      <w:r>
        <w:rPr>
          <w:rFonts w:ascii="Courier New" w:cs="Courier New" w:eastAsia="Courier New" w:hAnsi="Courier New"/>
          <w:sz w:val="20"/>
          <w:szCs w:val="20"/>
          <w:color w:val="auto"/>
        </w:rPr>
        <w:t xml:space="preserve"> </w:t>
      </w:r>
      <w:r>
        <w:rPr>
          <w:rFonts w:ascii="Arial" w:cs="Arial" w:eastAsia="Arial" w:hAnsi="Arial"/>
          <w:sz w:val="20"/>
          <w:szCs w:val="20"/>
          <w:color w:val="auto"/>
        </w:rPr>
        <w:t>included in this SOW.</w:t>
      </w:r>
    </w:p>
    <w:p>
      <w:pPr>
        <w:spacing w:after="0" w:line="88" w:lineRule="exact"/>
        <w:rPr>
          <w:rFonts w:ascii="Arial" w:cs="Arial" w:eastAsia="Arial" w:hAnsi="Arial"/>
          <w:sz w:val="20"/>
          <w:szCs w:val="20"/>
          <w:color w:val="auto"/>
        </w:rPr>
      </w:pPr>
    </w:p>
    <w:p>
      <w:pPr>
        <w:ind w:left="700" w:hanging="395"/>
        <w:spacing w:after="0"/>
        <w:tabs>
          <w:tab w:leader="none" w:pos="7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 in the cleanroom</w:t>
      </w:r>
    </w:p>
    <w:p>
      <w:pPr>
        <w:spacing w:after="0" w:line="121" w:lineRule="exact"/>
        <w:rPr>
          <w:rFonts w:ascii="Arial" w:cs="Arial" w:eastAsia="Arial" w:hAnsi="Arial"/>
          <w:sz w:val="20"/>
          <w:szCs w:val="20"/>
          <w:color w:val="auto"/>
        </w:rPr>
      </w:pPr>
    </w:p>
    <w:p>
      <w:pPr>
        <w:ind w:left="700"/>
        <w:spacing w:after="0"/>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 certification/maintenance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NOTE: </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and disinfection during routine use is </w:t>
      </w:r>
      <w:r>
        <w:rPr>
          <w:rFonts w:ascii="Arial" w:cs="Arial" w:eastAsia="Arial" w:hAnsi="Arial"/>
          <w:sz w:val="20"/>
          <w:szCs w:val="20"/>
          <w:b w:val="1"/>
          <w:bCs w:val="1"/>
          <w:color w:val="auto"/>
        </w:rPr>
        <w:t>Licensee</w:t>
      </w:r>
      <w:r>
        <w:rPr>
          <w:rFonts w:ascii="Arial" w:cs="Arial" w:eastAsia="Arial" w:hAnsi="Arial"/>
          <w:sz w:val="20"/>
          <w:szCs w:val="20"/>
          <w:b w:val="1"/>
          <w:bCs w:val="1"/>
          <w:i w:val="1"/>
          <w:iCs w:val="1"/>
          <w:color w:val="auto"/>
        </w:rPr>
        <w:t>’s responsibility.</w:t>
      </w:r>
    </w:p>
    <w:p>
      <w:pPr>
        <w:spacing w:after="0" w:line="114" w:lineRule="exact"/>
        <w:rPr>
          <w:sz w:val="20"/>
          <w:szCs w:val="20"/>
          <w:color w:val="auto"/>
        </w:rPr>
      </w:pPr>
    </w:p>
    <w:p>
      <w:pPr>
        <w:ind w:left="700" w:hanging="395"/>
        <w:spacing w:after="0"/>
        <w:tabs>
          <w:tab w:leader="none" w:pos="70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Cleanroom Cleaning</w:t>
      </w:r>
    </w:p>
    <w:p>
      <w:pPr>
        <w:spacing w:after="0" w:line="121" w:lineRule="exact"/>
        <w:rPr>
          <w:rFonts w:ascii="Arial" w:cs="Arial" w:eastAsia="Arial" w:hAnsi="Arial"/>
          <w:sz w:val="20"/>
          <w:szCs w:val="20"/>
          <w:color w:val="auto"/>
        </w:rPr>
      </w:pPr>
    </w:p>
    <w:p>
      <w:pPr>
        <w:ind w:left="1080" w:hanging="392"/>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Weekly – Horizontal and vertical surfaces including wiped using [***], floors vacuumed andmopped using the latest version of</w:t>
      </w:r>
      <w:r>
        <w:rPr>
          <w:rFonts w:ascii="Courier New" w:cs="Courier New" w:eastAsia="Courier New" w:hAnsi="Courier New"/>
          <w:sz w:val="20"/>
          <w:szCs w:val="20"/>
          <w:color w:val="auto"/>
        </w:rPr>
        <w:t xml:space="preserve"> </w:t>
      </w:r>
      <w:r>
        <w:rPr>
          <w:rFonts w:ascii="Arial" w:cs="Arial" w:eastAsia="Arial" w:hAnsi="Arial"/>
          <w:sz w:val="20"/>
          <w:szCs w:val="20"/>
          <w:color w:val="auto"/>
        </w:rPr>
        <w:t>the following approved cleaning solution [***] rotated on a monthly basis).</w:t>
      </w:r>
    </w:p>
    <w:p>
      <w:pPr>
        <w:spacing w:after="0" w:line="88" w:lineRule="exact"/>
        <w:rPr>
          <w:rFonts w:ascii="Arial" w:cs="Arial" w:eastAsia="Arial" w:hAnsi="Arial"/>
          <w:sz w:val="20"/>
          <w:szCs w:val="20"/>
          <w:color w:val="auto"/>
        </w:rPr>
      </w:pPr>
    </w:p>
    <w:p>
      <w:pPr>
        <w:ind w:left="1080" w:right="20" w:hanging="392"/>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Monthly – Same as weekly cleaning followed by second cleaning using approved cleaningsolution on all surfaces ([***] rotated</w:t>
      </w:r>
      <w:r>
        <w:rPr>
          <w:rFonts w:ascii="Courier New" w:cs="Courier New" w:eastAsia="Courier New" w:hAnsi="Courier New"/>
          <w:sz w:val="20"/>
          <w:szCs w:val="20"/>
          <w:color w:val="auto"/>
        </w:rPr>
        <w:t xml:space="preserve"> </w:t>
      </w:r>
      <w:r>
        <w:rPr>
          <w:rFonts w:ascii="Arial" w:cs="Arial" w:eastAsia="Arial" w:hAnsi="Arial"/>
          <w:sz w:val="20"/>
          <w:szCs w:val="20"/>
          <w:color w:val="auto"/>
        </w:rPr>
        <w:t>on a monthly basis).</w:t>
      </w:r>
    </w:p>
    <w:p>
      <w:pPr>
        <w:spacing w:after="0" w:line="88" w:lineRule="exact"/>
        <w:rPr>
          <w:rFonts w:ascii="Arial" w:cs="Arial" w:eastAsia="Arial" w:hAnsi="Arial"/>
          <w:sz w:val="20"/>
          <w:szCs w:val="20"/>
          <w:color w:val="auto"/>
        </w:rPr>
      </w:pPr>
    </w:p>
    <w:p>
      <w:pPr>
        <w:ind w:left="700"/>
        <w:spacing w:after="0"/>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Quarterly (once every 3 months) – Same as monthly cleaning (approved cleaning solutionused will be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9" w:name="page80"/>
    <w:bookmarkEnd w:id="79"/>
    <w:p>
      <w:pPr>
        <w:spacing w:after="0" w:line="260" w:lineRule="auto"/>
        <w:rPr>
          <w:sz w:val="20"/>
          <w:szCs w:val="20"/>
          <w:color w:val="auto"/>
        </w:rPr>
      </w:pPr>
      <w:r>
        <w:rPr>
          <w:rFonts w:ascii="Arial" w:cs="Arial" w:eastAsia="Arial" w:hAnsi="Arial"/>
          <w:sz w:val="20"/>
          <w:szCs w:val="20"/>
          <w:b w:val="1"/>
          <w:bCs w:val="1"/>
          <w:i w:val="1"/>
          <w:iCs w:val="1"/>
          <w:color w:val="auto"/>
        </w:rPr>
        <w:t>NOTE: Changes in cleaning regimen including type of agents and frequency as well as enhanced cleaning for changeover can be implemented, the costs for which are not included in this SOW.</w:t>
      </w:r>
    </w:p>
    <w:p>
      <w:pPr>
        <w:spacing w:after="0" w:line="69" w:lineRule="exact"/>
        <w:rPr>
          <w:sz w:val="20"/>
          <w:szCs w:val="20"/>
          <w:color w:val="auto"/>
        </w:rPr>
      </w:pPr>
    </w:p>
    <w:p>
      <w:pPr>
        <w:ind w:left="700" w:hanging="395"/>
        <w:spacing w:after="0"/>
        <w:tabs>
          <w:tab w:leader="none" w:pos="7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Routine Environmental Monitoring (EM)</w:t>
      </w:r>
    </w:p>
    <w:p>
      <w:pPr>
        <w:spacing w:after="0" w:line="121" w:lineRule="exact"/>
        <w:rPr>
          <w:rFonts w:ascii="Arial" w:cs="Arial" w:eastAsia="Arial" w:hAnsi="Arial"/>
          <w:sz w:val="20"/>
          <w:szCs w:val="20"/>
          <w:color w:val="auto"/>
        </w:rPr>
      </w:pPr>
    </w:p>
    <w:p>
      <w:pPr>
        <w:ind w:left="700"/>
        <w:spacing w:after="0"/>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Weekly TAP, Viable Air and Surface Monitoring</w:t>
      </w:r>
    </w:p>
    <w:p>
      <w:pPr>
        <w:spacing w:after="0" w:line="103" w:lineRule="exact"/>
        <w:rPr>
          <w:rFonts w:ascii="Arial" w:cs="Arial" w:eastAsia="Arial" w:hAnsi="Arial"/>
          <w:sz w:val="20"/>
          <w:szCs w:val="20"/>
          <w:color w:val="auto"/>
        </w:rPr>
      </w:pPr>
    </w:p>
    <w:p>
      <w:pPr>
        <w:ind w:left="700" w:right="5560"/>
        <w:spacing w:after="0" w:line="407"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Data review and quality support (in-case of any deviation)</w:t>
      </w:r>
      <w:r>
        <w:rPr>
          <w:rFonts w:ascii="Courier New" w:cs="Courier New" w:eastAsia="Courier New" w:hAnsi="Courier New"/>
          <w:sz w:val="18"/>
          <w:szCs w:val="18"/>
          <w:color w:val="auto"/>
        </w:rPr>
        <w:t xml:space="preserve"> o </w:t>
      </w:r>
      <w:r>
        <w:rPr>
          <w:rFonts w:ascii="Arial" w:cs="Arial" w:eastAsia="Arial" w:hAnsi="Arial"/>
          <w:sz w:val="18"/>
          <w:szCs w:val="18"/>
          <w:color w:val="auto"/>
        </w:rPr>
        <w:t>Trending and reporting of EM data on a periodic basis</w:t>
      </w:r>
    </w:p>
    <w:p>
      <w:pPr>
        <w:spacing w:after="0" w:line="81"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NOTE: Changes in environmental monitoring including additional in-process monitoring costs are included in table 2 of section 4 of this SOW.</w:t>
      </w:r>
    </w:p>
    <w:p>
      <w:pPr>
        <w:spacing w:after="0" w:line="69" w:lineRule="exact"/>
        <w:rPr>
          <w:sz w:val="20"/>
          <w:szCs w:val="20"/>
          <w:color w:val="auto"/>
        </w:rPr>
      </w:pPr>
    </w:p>
    <w:p>
      <w:pPr>
        <w:ind w:left="700" w:right="20" w:hanging="395"/>
        <w:spacing w:after="0" w:line="260" w:lineRule="auto"/>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Access to consumable including gowning materials, cleaning supplies (wipes, alcohol) and dry ice. Licensor personnel will stock and re-stock such materials on a routine basis.</w:t>
      </w:r>
    </w:p>
    <w:p>
      <w:pPr>
        <w:spacing w:after="0" w:line="176" w:lineRule="exact"/>
        <w:rPr>
          <w:rFonts w:ascii="Arial" w:cs="Arial" w:eastAsia="Arial" w:hAnsi="Arial"/>
          <w:sz w:val="20"/>
          <w:szCs w:val="20"/>
          <w:color w:val="auto"/>
        </w:rPr>
      </w:pPr>
    </w:p>
    <w:p>
      <w:pPr>
        <w:ind w:left="400" w:hanging="392"/>
        <w:spacing w:after="0"/>
        <w:tabs>
          <w:tab w:leader="none" w:pos="400"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Facility Infrastructure/ Quality Management (Licensor owned assets)</w:t>
      </w:r>
    </w:p>
    <w:p>
      <w:pPr>
        <w:spacing w:after="0" w:line="107" w:lineRule="exact"/>
        <w:rPr>
          <w:rFonts w:ascii="Arial" w:cs="Arial" w:eastAsia="Arial" w:hAnsi="Arial"/>
          <w:sz w:val="20"/>
          <w:szCs w:val="20"/>
          <w:b w:val="1"/>
          <w:bCs w:val="1"/>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Security and access control for cGMP areas. Issuance and management of badges.</w:t>
      </w:r>
    </w:p>
    <w:p>
      <w:pPr>
        <w:spacing w:after="0" w:line="121" w:lineRule="exact"/>
        <w:rPr>
          <w:rFonts w:ascii="Arial" w:cs="Arial" w:eastAsia="Arial" w:hAnsi="Arial"/>
          <w:sz w:val="20"/>
          <w:szCs w:val="20"/>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Back-up power for entire facility with all controlled assets (both Licensor and client owned)</w:t>
      </w:r>
    </w:p>
    <w:p>
      <w:pPr>
        <w:spacing w:after="0" w:line="121" w:lineRule="exact"/>
        <w:rPr>
          <w:rFonts w:ascii="Arial" w:cs="Arial" w:eastAsia="Arial" w:hAnsi="Arial"/>
          <w:sz w:val="20"/>
          <w:szCs w:val="20"/>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Pest control, housekeeping and non-gmp cleaning</w:t>
      </w:r>
    </w:p>
    <w:p>
      <w:pPr>
        <w:spacing w:after="0" w:line="121" w:lineRule="exact"/>
        <w:rPr>
          <w:rFonts w:ascii="Arial" w:cs="Arial" w:eastAsia="Arial" w:hAnsi="Arial"/>
          <w:sz w:val="20"/>
          <w:szCs w:val="20"/>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Waste removal and disposal (Biological, Hazardous, Non-Hazardous)</w:t>
      </w:r>
    </w:p>
    <w:p>
      <w:pPr>
        <w:spacing w:after="0" w:line="121" w:lineRule="exact"/>
        <w:rPr>
          <w:rFonts w:ascii="Arial" w:cs="Arial" w:eastAsia="Arial" w:hAnsi="Arial"/>
          <w:sz w:val="20"/>
          <w:szCs w:val="20"/>
          <w:color w:val="auto"/>
        </w:rPr>
      </w:pPr>
    </w:p>
    <w:p>
      <w:pPr>
        <w:ind w:left="700" w:right="360" w:hanging="395"/>
        <w:spacing w:after="0" w:line="260" w:lineRule="auto"/>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Licensor owned asset management including installation, calibration, qualification, routine monitoring, maintenance, alarm management and documentation.</w:t>
      </w:r>
    </w:p>
    <w:p>
      <w:pPr>
        <w:spacing w:after="0" w:line="68" w:lineRule="exact"/>
        <w:rPr>
          <w:rFonts w:ascii="Arial" w:cs="Arial" w:eastAsia="Arial" w:hAnsi="Arial"/>
          <w:sz w:val="20"/>
          <w:szCs w:val="20"/>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Quality management of all Licensor owned assets including incident management.</w:t>
      </w:r>
    </w:p>
    <w:p>
      <w:pPr>
        <w:spacing w:after="0" w:line="256" w:lineRule="exact"/>
        <w:rPr>
          <w:rFonts w:ascii="Arial" w:cs="Arial" w:eastAsia="Arial" w:hAnsi="Arial"/>
          <w:sz w:val="20"/>
          <w:szCs w:val="20"/>
          <w:color w:val="auto"/>
        </w:rPr>
      </w:pPr>
    </w:p>
    <w:p>
      <w:pPr>
        <w:jc w:val="both"/>
        <w:ind w:left="400" w:hanging="392"/>
        <w:spacing w:after="0" w:line="250" w:lineRule="auto"/>
        <w:tabs>
          <w:tab w:leader="none" w:pos="400"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Material Storage for 21 months in Licensor owned assets in dedicated qualified, controlled, monitored and maintained environments in the following Standard Minimum Units (SMU) monthly amounts. The monthly SMU amounts are determined based on the usage rates in 2020.</w:t>
      </w:r>
    </w:p>
    <w:p>
      <w:pPr>
        <w:spacing w:after="0" w:line="77" w:lineRule="exact"/>
        <w:rPr>
          <w:rFonts w:ascii="Arial" w:cs="Arial" w:eastAsia="Arial" w:hAnsi="Arial"/>
          <w:sz w:val="20"/>
          <w:szCs w:val="20"/>
          <w:b w:val="1"/>
          <w:bCs w:val="1"/>
          <w:color w:val="auto"/>
        </w:rPr>
      </w:pPr>
    </w:p>
    <w:p>
      <w:pPr>
        <w:ind w:left="400"/>
        <w:spacing w:after="0"/>
        <w:rPr>
          <w:rFonts w:ascii="Arial" w:cs="Arial" w:eastAsia="Arial" w:hAnsi="Arial"/>
          <w:sz w:val="20"/>
          <w:szCs w:val="20"/>
          <w:b w:val="1"/>
          <w:bCs w:val="1"/>
          <w:color w:val="auto"/>
        </w:rPr>
      </w:pPr>
      <w:r>
        <w:rPr>
          <w:rFonts w:ascii="Arial" w:cs="Arial" w:eastAsia="Arial" w:hAnsi="Arial"/>
          <w:sz w:val="20"/>
          <w:szCs w:val="20"/>
          <w:color w:val="auto"/>
        </w:rPr>
        <w:t>•   [***]</w:t>
      </w:r>
    </w:p>
    <w:p>
      <w:pPr>
        <w:spacing w:after="0" w:line="229" w:lineRule="exact"/>
        <w:rPr>
          <w:rFonts w:ascii="Arial" w:cs="Arial" w:eastAsia="Arial" w:hAnsi="Arial"/>
          <w:sz w:val="20"/>
          <w:szCs w:val="20"/>
          <w:b w:val="1"/>
          <w:bCs w:val="1"/>
          <w:color w:val="auto"/>
        </w:rPr>
      </w:pPr>
    </w:p>
    <w:p>
      <w:pPr>
        <w:ind w:left="400" w:hanging="392"/>
        <w:spacing w:after="0"/>
        <w:tabs>
          <w:tab w:leader="none" w:pos="400"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Personnel Support ([***] per month)</w:t>
      </w:r>
    </w:p>
    <w:p>
      <w:pPr>
        <w:spacing w:after="0" w:line="107" w:lineRule="exact"/>
        <w:rPr>
          <w:rFonts w:ascii="Arial" w:cs="Arial" w:eastAsia="Arial" w:hAnsi="Arial"/>
          <w:sz w:val="20"/>
          <w:szCs w:val="20"/>
          <w:b w:val="1"/>
          <w:bCs w:val="1"/>
          <w:color w:val="auto"/>
        </w:rPr>
      </w:pPr>
    </w:p>
    <w:p>
      <w:pPr>
        <w:ind w:left="700" w:hanging="395"/>
        <w:spacing w:after="0" w:line="260" w:lineRule="auto"/>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Materials management including receipt, inspection, labeling, inventory management, segregation, movement, staging/kitting and raw materials quality release based on CofA.</w:t>
      </w:r>
    </w:p>
    <w:p>
      <w:pPr>
        <w:spacing w:after="0" w:line="68" w:lineRule="exact"/>
        <w:rPr>
          <w:rFonts w:ascii="Arial" w:cs="Arial" w:eastAsia="Arial" w:hAnsi="Arial"/>
          <w:sz w:val="20"/>
          <w:szCs w:val="20"/>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Routine project meetings for scheduling, reporting, budget updates and issue resolution.</w:t>
      </w:r>
    </w:p>
    <w:p>
      <w:pPr>
        <w:spacing w:after="0" w:line="121" w:lineRule="exact"/>
        <w:rPr>
          <w:rFonts w:ascii="Arial" w:cs="Arial" w:eastAsia="Arial" w:hAnsi="Arial"/>
          <w:sz w:val="20"/>
          <w:szCs w:val="20"/>
          <w:color w:val="auto"/>
        </w:rPr>
      </w:pPr>
    </w:p>
    <w:p>
      <w:pPr>
        <w:ind w:left="700" w:hanging="395"/>
        <w:spacing w:after="0"/>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On-site support on an on-going basis.</w:t>
      </w:r>
    </w:p>
    <w:p>
      <w:pPr>
        <w:spacing w:after="0" w:line="121" w:lineRule="exact"/>
        <w:rPr>
          <w:rFonts w:ascii="Arial" w:cs="Arial" w:eastAsia="Arial" w:hAnsi="Arial"/>
          <w:sz w:val="20"/>
          <w:szCs w:val="20"/>
          <w:color w:val="auto"/>
        </w:rPr>
      </w:pPr>
    </w:p>
    <w:p>
      <w:pPr>
        <w:ind w:left="700" w:hanging="395"/>
        <w:spacing w:after="0" w:line="260" w:lineRule="auto"/>
        <w:tabs>
          <w:tab w:leader="none" w:pos="7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Coordination/scheduling of shipment pickup and drop-off activities, packaging and labeling of samples, product shipments etc. Reconciliation of temperature monitors used for shipments.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0" w:name="page81"/>
    <w:bookmarkEnd w:id="80"/>
    <w:p>
      <w:pPr>
        <w:ind w:left="400" w:hanging="392"/>
        <w:spacing w:after="0" w:line="260" w:lineRule="auto"/>
        <w:tabs>
          <w:tab w:leader="none" w:pos="40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Dedicated office space for Licensee personnel with access to telephone, printer/scanner, wireless internet, television/Monitor, office supplies and cafeteria.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12559A"/>
        </w:rPr>
        <w:t>Section 4 – Fees</w:t>
      </w:r>
    </w:p>
    <w:p>
      <w:pPr>
        <w:spacing w:after="0" w:line="108"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License Fee</w:t>
      </w:r>
    </w:p>
    <w:p>
      <w:pPr>
        <w:spacing w:after="0" w:line="243" w:lineRule="exact"/>
        <w:rPr>
          <w:sz w:val="20"/>
          <w:szCs w:val="20"/>
          <w:color w:val="auto"/>
        </w:rPr>
      </w:pPr>
    </w:p>
    <w:p>
      <w:pPr>
        <w:jc w:val="both"/>
        <w:ind w:right="140"/>
        <w:spacing w:after="0" w:line="244" w:lineRule="auto"/>
        <w:rPr>
          <w:sz w:val="20"/>
          <w:szCs w:val="20"/>
          <w:color w:val="auto"/>
        </w:rPr>
      </w:pPr>
      <w:r>
        <w:rPr>
          <w:rFonts w:ascii="Arial" w:cs="Arial" w:eastAsia="Arial" w:hAnsi="Arial"/>
          <w:sz w:val="20"/>
          <w:szCs w:val="20"/>
          <w:color w:val="auto"/>
        </w:rPr>
        <w:t>The License Fee will be pre-paid on a monthly basis and includes items listed under the relevant category in Table 1 below, provided, however, the License Fee shall exclude from pre-pay or account for (as credit back to Licensee) any reduction in Personnel Support or Consumables during times when the Cleanroom is not utilitzed due to any renovation or shutdowns. A monthly Variable Budget for support services overage compared to SMU amounts and out of scope activities has been established at [***] per month. Specifically, the variable budget will cover the following known items, as needed:</w:t>
      </w:r>
    </w:p>
    <w:p>
      <w:pPr>
        <w:spacing w:after="0" w:line="86" w:lineRule="exact"/>
        <w:rPr>
          <w:sz w:val="20"/>
          <w:szCs w:val="20"/>
          <w:color w:val="auto"/>
        </w:rPr>
      </w:pPr>
    </w:p>
    <w:p>
      <w:pPr>
        <w:ind w:left="1380" w:hanging="400"/>
        <w:spacing w:after="0"/>
        <w:tabs>
          <w:tab w:leader="none" w:pos="13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Overages compared to monthly SMU amounts (personnel, material storage).</w:t>
      </w:r>
    </w:p>
    <w:p>
      <w:pPr>
        <w:spacing w:after="0" w:line="121" w:lineRule="exact"/>
        <w:rPr>
          <w:rFonts w:ascii="Arial" w:cs="Arial" w:eastAsia="Arial" w:hAnsi="Arial"/>
          <w:sz w:val="20"/>
          <w:szCs w:val="20"/>
          <w:color w:val="auto"/>
        </w:rPr>
      </w:pPr>
    </w:p>
    <w:p>
      <w:pPr>
        <w:jc w:val="both"/>
        <w:ind w:left="1380" w:hanging="400"/>
        <w:spacing w:after="0" w:line="250" w:lineRule="auto"/>
        <w:tabs>
          <w:tab w:leader="none" w:pos="13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Training (General and Gowning Training). All Licensee individuals requiring access to the facility will undergo general safety, biohazards and Licensor facility compliance SOPs. Training will be documented and monitored by Licensor personnel.</w:t>
      </w:r>
    </w:p>
    <w:p>
      <w:pPr>
        <w:spacing w:after="0" w:line="77" w:lineRule="exact"/>
        <w:rPr>
          <w:rFonts w:ascii="Arial" w:cs="Arial" w:eastAsia="Arial" w:hAnsi="Arial"/>
          <w:sz w:val="20"/>
          <w:szCs w:val="20"/>
          <w:color w:val="auto"/>
        </w:rPr>
      </w:pPr>
    </w:p>
    <w:p>
      <w:pPr>
        <w:ind w:left="1380" w:hanging="400"/>
        <w:spacing w:after="0" w:line="260" w:lineRule="auto"/>
        <w:tabs>
          <w:tab w:leader="none" w:pos="13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Third-party costs paid by Licensor for activities including equipment/furniture purchase, shipping costs etc. will be passed through with a [***] upcharge.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Table 2 below shows the costs related to support services for monthly overages and other services to be covered by the Variable Budget, if required. Note that the unit costs of overages are higher than unit costs included in the License Fees as unplanned activities result in additional costs such as offsite storage, material movement and personnel time.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Table 1: Project Costs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34" w:lineRule="exact"/>
        <w:rPr>
          <w:sz w:val="20"/>
          <w:szCs w:val="20"/>
          <w:color w:val="auto"/>
        </w:rPr>
      </w:pPr>
    </w:p>
    <w:tbl>
      <w:tblPr>
        <w:tblLayout w:type="fixed"/>
        <w:tblInd w:w="3210" w:type="dxa"/>
        <w:tblCellMar>
          <w:top w:w="0" w:type="dxa"/>
          <w:left w:w="0" w:type="dxa"/>
          <w:bottom w:w="0" w:type="dxa"/>
          <w:right w:w="0" w:type="dxa"/>
        </w:tblCellMar>
      </w:tblPr>
      <w:tr>
        <w:trPr>
          <w:trHeight w:val="377"/>
        </w:trPr>
        <w:tc>
          <w:tcPr>
            <w:tcW w:w="244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8"/>
                <w:szCs w:val="18"/>
                <w:color w:val="auto"/>
              </w:rPr>
              <w:t>Total PO amount</w:t>
            </w:r>
          </w:p>
        </w:tc>
        <w:tc>
          <w:tcPr>
            <w:tcW w:w="2440" w:type="dxa"/>
            <w:vAlign w:val="bottom"/>
            <w:tcBorders>
              <w:top w:val="single" w:sz="8" w:color="auto"/>
              <w:right w:val="single" w:sz="8" w:color="auto"/>
            </w:tcBorders>
            <w:vMerge w:val="restart"/>
          </w:tcPr>
          <w:p>
            <w:pPr>
              <w:jc w:val="right"/>
              <w:ind w:right="730"/>
              <w:spacing w:after="0"/>
              <w:rPr>
                <w:sz w:val="20"/>
                <w:szCs w:val="20"/>
                <w:color w:val="auto"/>
              </w:rPr>
            </w:pPr>
            <w:r>
              <w:rPr>
                <w:rFonts w:ascii="Arial" w:cs="Arial" w:eastAsia="Arial" w:hAnsi="Arial"/>
                <w:sz w:val="18"/>
                <w:szCs w:val="18"/>
                <w:color w:val="auto"/>
              </w:rPr>
              <w:t>$2,302,448</w:t>
            </w:r>
          </w:p>
        </w:tc>
        <w:tc>
          <w:tcPr>
            <w:tcW w:w="0" w:type="dxa"/>
            <w:vAlign w:val="bottom"/>
          </w:tcPr>
          <w:p>
            <w:pPr>
              <w:spacing w:after="0"/>
              <w:rPr>
                <w:sz w:val="1"/>
                <w:szCs w:val="1"/>
                <w:color w:val="auto"/>
              </w:rPr>
            </w:pPr>
          </w:p>
        </w:tc>
      </w:tr>
      <w:tr>
        <w:trPr>
          <w:trHeight w:val="109"/>
        </w:trPr>
        <w:tc>
          <w:tcPr>
            <w:tcW w:w="2440" w:type="dxa"/>
            <w:vAlign w:val="bottom"/>
            <w:tcBorders>
              <w:left w:val="single" w:sz="8" w:color="auto"/>
              <w:right w:val="single" w:sz="8" w:color="auto"/>
            </w:tcBorders>
            <w:vMerge w:val="restart"/>
          </w:tcPr>
          <w:p>
            <w:pPr>
              <w:spacing w:after="0" w:line="203" w:lineRule="exact"/>
              <w:rPr>
                <w:sz w:val="20"/>
                <w:szCs w:val="20"/>
                <w:color w:val="auto"/>
              </w:rPr>
            </w:pPr>
            <w:r>
              <w:rPr>
                <w:rFonts w:ascii="Arial" w:cs="Arial" w:eastAsia="Arial" w:hAnsi="Arial"/>
                <w:sz w:val="18"/>
                <w:szCs w:val="18"/>
                <w:color w:val="auto"/>
              </w:rPr>
              <w:t>(2021+2022)</w:t>
            </w: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4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12559A"/>
        </w:rPr>
        <w:t>Section 5 – Payments and Invoicing</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All invoices are due net +30 days from the invoice date. Fixed amounts for the monthly License Fee will be generated at the start of each month. Monthly invoices for variable amounts will be generated out at the end of each month, if required based on actual usage.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total amount for CR3 use and related services for 21 months starting May 2021 to Dec 2022 including a variable budget allocation of $[***] per month is </w:t>
      </w:r>
      <w:r>
        <w:rPr>
          <w:rFonts w:ascii="Arial" w:cs="Arial" w:eastAsia="Arial" w:hAnsi="Arial"/>
          <w:sz w:val="19"/>
          <w:szCs w:val="19"/>
          <w:b w:val="1"/>
          <w:bCs w:val="1"/>
          <w:color w:val="auto"/>
        </w:rPr>
        <w:t>$2,302,448</w:t>
      </w:r>
      <w:r>
        <w:rPr>
          <w:rFonts w:ascii="Arial" w:cs="Arial" w:eastAsia="Arial" w:hAnsi="Arial"/>
          <w:sz w:val="19"/>
          <w:szCs w:val="19"/>
          <w:color w:val="auto"/>
        </w:rPr>
        <w:t>. A Purchase Order (“PO”) for the total amount is required for the reservation of the cleanroom and related services specified in this SOW. In addition, a pre-payment of [***] for the first month (May 2021) of license fees will be required for the reservation of the cleanroom and related services specified in this SOW.</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12559A"/>
        </w:rPr>
        <w:t>Section 6 – Approvals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SOW Generated by (COD):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 22APR21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/s/ RAVI SAMAVEDAM</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Ravi Samavedam</w:t>
      </w:r>
    </w:p>
    <w:p>
      <w:pPr>
        <w:spacing w:after="0"/>
        <w:rPr>
          <w:sz w:val="20"/>
          <w:szCs w:val="20"/>
          <w:color w:val="auto"/>
        </w:rPr>
      </w:pPr>
      <w:r>
        <w:rPr>
          <w:rFonts w:ascii="Arial" w:cs="Arial" w:eastAsia="Arial" w:hAnsi="Arial"/>
          <w:sz w:val="20"/>
          <w:szCs w:val="20"/>
          <w:color w:val="auto"/>
        </w:rPr>
        <w:t>Title: President, Azzur COD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Email: ravi.samavedam@azzur.com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SOW Accepted by (Synlogic):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/s/ GREGG BELOFF</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Gregg Beloff</w:t>
      </w:r>
    </w:p>
    <w:p>
      <w:pPr>
        <w:spacing w:after="0"/>
        <w:rPr>
          <w:sz w:val="20"/>
          <w:szCs w:val="20"/>
          <w:color w:val="auto"/>
        </w:rPr>
      </w:pPr>
      <w:r>
        <w:rPr>
          <w:rFonts w:ascii="Arial" w:cs="Arial" w:eastAsia="Arial" w:hAnsi="Arial"/>
          <w:sz w:val="20"/>
          <w:szCs w:val="20"/>
          <w:color w:val="auto"/>
        </w:rPr>
        <w:t>TITLE: Interim Chief Financial Officer</w:t>
      </w:r>
    </w:p>
    <w:p>
      <w:pPr>
        <w:spacing w:after="0"/>
        <w:rPr>
          <w:sz w:val="20"/>
          <w:szCs w:val="20"/>
          <w:color w:val="auto"/>
        </w:rPr>
      </w:pPr>
      <w:r>
        <w:rPr>
          <w:rFonts w:ascii="Arial" w:cs="Arial" w:eastAsia="Arial" w:hAnsi="Arial"/>
          <w:sz w:val="20"/>
          <w:szCs w:val="20"/>
          <w:color w:val="auto"/>
        </w:rPr>
        <w:t>DATE: 29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820"/>
          </w:cols>
          <w:pgMar w:left="320" w:top="591" w:right="75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10.2</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Confidential</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Copy</w:t>
      </w:r>
    </w:p>
    <w:p>
      <w:pPr>
        <w:spacing w:after="0" w:line="178" w:lineRule="exact"/>
        <w:rPr>
          <w:sz w:val="20"/>
          <w:szCs w:val="20"/>
          <w:color w:val="auto"/>
        </w:rPr>
      </w:pPr>
    </w:p>
    <w:p>
      <w:pPr>
        <w:ind w:right="60" w:firstLine="8"/>
        <w:spacing w:after="0" w:line="241" w:lineRule="auto"/>
        <w:tabs>
          <w:tab w:leader="none" w:pos="418"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Pilot Collaboration and Option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This pilot collaboration and option agreement is entered into as of the Effective Date (as defined below) by and between </w:t>
      </w:r>
      <w:r>
        <w:rPr>
          <w:rFonts w:ascii="Arial" w:cs="Arial" w:eastAsia="Arial" w:hAnsi="Arial"/>
          <w:sz w:val="20"/>
          <w:szCs w:val="20"/>
          <w:b w:val="1"/>
          <w:bCs w:val="1"/>
          <w:color w:val="auto"/>
        </w:rPr>
        <w:t>Hoffmann-La Roche Inc.</w:t>
      </w:r>
      <w:r>
        <w:rPr>
          <w:rFonts w:ascii="Arial" w:cs="Arial" w:eastAsia="Arial" w:hAnsi="Arial"/>
          <w:sz w:val="20"/>
          <w:szCs w:val="20"/>
          <w:color w:val="auto"/>
        </w:rPr>
        <w:t>, with an office and place of business at 150 Clove Road, Suite 8, Little Falls, New Jersey 07424,</w:t>
      </w:r>
      <w:r>
        <w:rPr>
          <w:rFonts w:ascii="Arial" w:cs="Arial" w:eastAsia="Arial" w:hAnsi="Arial"/>
          <w:sz w:val="20"/>
          <w:szCs w:val="20"/>
          <w:b w:val="1"/>
          <w:bCs w:val="1"/>
          <w:color w:val="auto"/>
        </w:rPr>
        <w:t xml:space="preserve"> </w:t>
      </w:r>
      <w:r>
        <w:rPr>
          <w:rFonts w:ascii="Arial" w:cs="Arial" w:eastAsia="Arial" w:hAnsi="Arial"/>
          <w:sz w:val="20"/>
          <w:szCs w:val="20"/>
          <w:color w:val="auto"/>
        </w:rPr>
        <w:t>U.S.A. ("</w:t>
      </w:r>
      <w:r>
        <w:rPr>
          <w:rFonts w:ascii="Arial" w:cs="Arial" w:eastAsia="Arial" w:hAnsi="Arial"/>
          <w:sz w:val="20"/>
          <w:szCs w:val="20"/>
          <w:b w:val="1"/>
          <w:bCs w:val="1"/>
          <w:color w:val="auto"/>
        </w:rPr>
        <w:t>Roche US</w:t>
      </w:r>
      <w:r>
        <w:rPr>
          <w:rFonts w:ascii="Arial" w:cs="Arial" w:eastAsia="Arial" w:hAnsi="Arial"/>
          <w:sz w:val="20"/>
          <w:szCs w:val="20"/>
          <w:color w:val="auto"/>
        </w:rPr>
        <w:t xml:space="preserve">") and </w:t>
      </w:r>
      <w:r>
        <w:rPr>
          <w:rFonts w:ascii="Arial" w:cs="Arial" w:eastAsia="Arial" w:hAnsi="Arial"/>
          <w:sz w:val="20"/>
          <w:szCs w:val="20"/>
          <w:b w:val="1"/>
          <w:bCs w:val="1"/>
          <w:color w:val="auto"/>
        </w:rPr>
        <w:t>F. Hoffmann-La Roche Ltd</w:t>
      </w:r>
      <w:r>
        <w:rPr>
          <w:rFonts w:ascii="Arial" w:cs="Arial" w:eastAsia="Arial" w:hAnsi="Arial"/>
          <w:sz w:val="20"/>
          <w:szCs w:val="20"/>
          <w:color w:val="auto"/>
        </w:rPr>
        <w:t>, located at Grenzacherstrasse 124, 4070 Basel, Switzerland ("</w:t>
      </w:r>
      <w:r>
        <w:rPr>
          <w:rFonts w:ascii="Arial" w:cs="Arial" w:eastAsia="Arial" w:hAnsi="Arial"/>
          <w:sz w:val="20"/>
          <w:szCs w:val="20"/>
          <w:b w:val="1"/>
          <w:bCs w:val="1"/>
          <w:color w:val="auto"/>
        </w:rPr>
        <w:t>Roche</w:t>
      </w:r>
      <w:r>
        <w:rPr>
          <w:rFonts w:ascii="Arial" w:cs="Arial" w:eastAsia="Arial" w:hAnsi="Arial"/>
          <w:sz w:val="20"/>
          <w:szCs w:val="20"/>
          <w:color w:val="auto"/>
        </w:rPr>
        <w:t xml:space="preserve"> </w:t>
      </w:r>
      <w:r>
        <w:rPr>
          <w:rFonts w:ascii="Arial" w:cs="Arial" w:eastAsia="Arial" w:hAnsi="Arial"/>
          <w:sz w:val="20"/>
          <w:szCs w:val="20"/>
          <w:b w:val="1"/>
          <w:bCs w:val="1"/>
          <w:color w:val="auto"/>
        </w:rPr>
        <w:t>Basel</w:t>
      </w:r>
      <w:r>
        <w:rPr>
          <w:rFonts w:ascii="Arial" w:cs="Arial" w:eastAsia="Arial" w:hAnsi="Arial"/>
          <w:sz w:val="20"/>
          <w:szCs w:val="20"/>
          <w:color w:val="auto"/>
        </w:rPr>
        <w:t>", Roche Basel and Roche US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 on the one hand, and</w:t>
      </w:r>
      <w:r>
        <w:rPr>
          <w:rFonts w:ascii="Arial" w:cs="Arial" w:eastAsia="Arial" w:hAnsi="Arial"/>
          <w:sz w:val="20"/>
          <w:szCs w:val="20"/>
          <w:b w:val="1"/>
          <w:bCs w:val="1"/>
          <w:color w:val="auto"/>
        </w:rPr>
        <w:t xml:space="preserve"> Synlogic Operating Company, Inc.</w:t>
      </w:r>
      <w:r>
        <w:rPr>
          <w:rFonts w:ascii="Arial" w:cs="Arial" w:eastAsia="Arial" w:hAnsi="Arial"/>
          <w:sz w:val="20"/>
          <w:szCs w:val="20"/>
          <w:color w:val="auto"/>
        </w:rPr>
        <w:t>, located at 301 Binney St., Suite 402, Cambridge, MA 02142 (hereafter referred to as “</w:t>
      </w:r>
      <w:r>
        <w:rPr>
          <w:rFonts w:ascii="Arial" w:cs="Arial" w:eastAsia="Arial" w:hAnsi="Arial"/>
          <w:sz w:val="20"/>
          <w:szCs w:val="20"/>
          <w:b w:val="1"/>
          <w:bCs w:val="1"/>
          <w:color w:val="auto"/>
        </w:rPr>
        <w:t>Synlogic</w:t>
      </w:r>
      <w:r>
        <w:rPr>
          <w:rFonts w:ascii="Arial" w:cs="Arial" w:eastAsia="Arial" w:hAnsi="Arial"/>
          <w:sz w:val="20"/>
          <w:szCs w:val="20"/>
          <w:color w:val="auto"/>
        </w:rPr>
        <w:t>”), on the other hand.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WHEREAS, Synlogic has expertise and capabilities to discover and to develop clinical drug candidates using [***]; and</w:t>
      </w:r>
    </w:p>
    <w:p>
      <w:pPr>
        <w:spacing w:after="0" w:line="216"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WHEREAS, Roche has expertise and capabilities in the discovery, development and commercialization of innovative therapeutics in inflammatory bowel diseases; and</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WHEREAS, the Parties are interested to enter into a pilot collaboration and option agreement to research and pre-clinically develop potential novel [***] inflammatory bowel diseases, as further outlined herein; and</w:t>
      </w:r>
    </w:p>
    <w:p>
      <w:pPr>
        <w:spacing w:after="0" w:line="20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WHEREAS, Roche may elect to commence negotiations for a definitive collaboration and license agreement based on the license term sheet attached to this pilot collaboration agreement and as further outlined herein.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in consideration of the mutual covenants contained herein, the parties agree as follows:</w:t>
      </w:r>
    </w:p>
    <w:p>
      <w:pPr>
        <w:spacing w:after="0" w:line="192"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Agreement, the following terms, whether used in the singular or plural, shall have the following meanings:</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Accounting Standards</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The term “Accounting Standards” shall mean, with respect to a Party or its Affiliate, GAAP or IFRS, as such Party or its Affiliate uses for its financial reporting obligations, in each case, consistently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tabs>
          <w:tab w:leader="none" w:pos="7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Acquirer</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“Acquirer” shall mean, with respect to a Party, the person or entity, or group of persons or entities, that is the acquirer of, or a successor to, a Party in connection with a Change of Control, together with Affiliates of such persons or entities that are not Affiliates of such Party immediately prior to the completion of such Change of Control of such Party.</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b w:val="1"/>
          <w:bCs w:val="1"/>
          <w:color w:val="auto"/>
        </w:rPr>
        <w:t>Affiliate</w:t>
      </w:r>
    </w:p>
    <w:p>
      <w:pPr>
        <w:spacing w:after="0" w:line="10"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term “Affiliate” shall mean any individual, corporation, association or other business entity that directly or indirectly controls, is controlled by, or is under common control with an individual, corporation, association or other business entity in question. As used in this definition of “Affiliate,” the term “control” shall mean the direct or indirect ownership of more than fifty percent (&gt;50%) of the stock having the right to vote for directors thereof or the ability to otherwise control the management of the corporation, association or other business entity whether through the ownership of voting securities, by contract, resolution, regulation or otherwise. Anything to the contrary in this paragraph notwithstanding, Chugai Pharmaceutical Co., Ltd, a Japanese corporation (“Chugai”) and/or its subsidiaries (if any) shall not be deemed as Affiliates of Roche unless Roche provides written notice to Synlogic of its desire to include Chugai and/or its respective subsidiaries (as applicable) as Affiliate(s) of Roche.</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Agreement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“Agreement” shall mean this document including any and all appendices and amendments to it as may be added and/or amended from time to time in accordance with the provisions of this Agreement.</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b w:val="1"/>
          <w:bCs w:val="1"/>
          <w:color w:val="auto"/>
        </w:rPr>
        <w:t>Applicable Law</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 term “Applicable Law” shall mean all applicable laws, statutes, rules, regulations and other pronouncements having the effect of law of any federal, national, multinational, state, provincial, county, city or other political subdivision, agency or other body, domestic or foreign, including any applicable rules, regulations, guidelines, or other requirements of the Regulatory Authorities that may be in effect from time to time, including the United States Federal Food, Drug, and Cosmetic Act, as amended, GCP, GLP and GMP, anti-bribery laws, such as the United States Anti-Kickback Statute, Foreign Corrupt Practices Act and UK Bribery Act, as well as all applicable data protection and privacy laws, rules and regulations, including the United States Department of Health and Human Services privacy rules under the Health Insurance Portability and Accountability Act, as amended, and the Health Information Technology for Economic and Clinical Health Act and the EU General Data Protection Regulation 2016/679 of the European Parliament and of the Council of 27 April 2016 on the protection of natural persons with regard to the processing of personal data and on the free movement of such data, and repealing Directive 95/46/EC, along with other country-level data protection laws, as may be applicable.</w:t>
      </w:r>
    </w:p>
    <w:p>
      <w:pPr>
        <w:spacing w:after="0" w:line="18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Change of Control</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term “Change of Control” shall mean, with respect to a Party: (a) the acquisition by any Third Party, together with its Affiliates, if applicable, of beneficial ownership of fifty percent (50%) or more of the then outstanding equity securities or combined voting power of such Party, other than acquisitions by employee benefit plans sponsored or maintained by such Party;</w:t>
      </w:r>
    </w:p>
    <w:p>
      <w:pPr>
        <w:spacing w:after="0" w:line="1" w:lineRule="exact"/>
        <w:rPr>
          <w:sz w:val="20"/>
          <w:szCs w:val="20"/>
          <w:color w:val="auto"/>
        </w:rPr>
      </w:pPr>
    </w:p>
    <w:p>
      <w:pPr>
        <w:jc w:val="both"/>
        <w:ind w:firstLine="8"/>
        <w:spacing w:after="0" w:line="230" w:lineRule="auto"/>
        <w:tabs>
          <w:tab w:leader="none" w:pos="338"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consummation of a business combination involving such Party with a Third Party, unless, following such business combination, the stockholders of such Party immediately prior to such business combination beneficially own directly or indirectly more than fifty percent (50%) of the then outstanding securities or combined voting power of the surviving entity or the parent of the surviving entity immediately after such business combination; or (c) the sale of all or substantially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all of such Party’s and its Affiliates’, if applicable, assets or business relating to the subject matter of this Agreement.</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b w:val="1"/>
          <w:bCs w:val="1"/>
          <w:color w:val="auto"/>
        </w:rPr>
        <w:t>CLA</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“CLA” shall mean the collaboration and license agreement between the Parties for which Roche may elect to commence negotiations in accordance with Article 2.11.</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9"/>
          <w:szCs w:val="19"/>
          <w:b w:val="1"/>
          <w:bCs w:val="1"/>
          <w:color w:val="auto"/>
        </w:rPr>
        <w:t>Commercially Reasonable Efforts</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term “Commercially Reasonable Efforts” shall mean such level of efforts consistent with the efforts Roche or Synlogic, as applicable, devotes at the same stage of research, development or commercialization, as applicable, for its own internally discovered or developed pharmaceutical products in a similar area with similar market potential, at a similar stage of their product life taking into account the existence of other competitive products in the market place or under research or development, the proprietary position of the product, the regulatory structure involved, the anticipated profitability of the product and other relevant factors. It is understood that such product potential may change from time to time based upon changing scientific, business, marketing, and return on investment considerations.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b w:val="1"/>
          <w:bCs w:val="1"/>
          <w:color w:val="auto"/>
        </w:rPr>
        <w:t>Competitive Product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“Competitive Product” shall mean any compound or product that specifically regulates, through activation of or agonizing, the Target. For clarity, a Product Candidate is a Competitive Product.</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9"/>
          <w:szCs w:val="19"/>
          <w:b w:val="1"/>
          <w:bCs w:val="1"/>
          <w:color w:val="auto"/>
        </w:rPr>
        <w:t>Confidential Information</w:t>
      </w:r>
    </w:p>
    <w:p>
      <w:pPr>
        <w:spacing w:after="0" w:line="1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term “Confidential Information” shall mean any and all information, data or know-how (including Know-How), whether technical or non-technical, oral or written, that is disclosed by one Party or its Affiliates (“</w:t>
      </w:r>
      <w:r>
        <w:rPr>
          <w:rFonts w:ascii="Arial" w:cs="Arial" w:eastAsia="Arial" w:hAnsi="Arial"/>
          <w:sz w:val="20"/>
          <w:szCs w:val="20"/>
          <w:b w:val="1"/>
          <w:bCs w:val="1"/>
          <w:color w:val="auto"/>
        </w:rPr>
        <w:t>Disclosing Party</w:t>
      </w:r>
      <w:r>
        <w:rPr>
          <w:rFonts w:ascii="Arial" w:cs="Arial" w:eastAsia="Arial" w:hAnsi="Arial"/>
          <w:sz w:val="20"/>
          <w:szCs w:val="20"/>
          <w:color w:val="auto"/>
        </w:rPr>
        <w:t>”) to the other Party or its Affiliates (“</w:t>
      </w:r>
      <w:r>
        <w:rPr>
          <w:rFonts w:ascii="Arial" w:cs="Arial" w:eastAsia="Arial" w:hAnsi="Arial"/>
          <w:sz w:val="20"/>
          <w:szCs w:val="20"/>
          <w:b w:val="1"/>
          <w:bCs w:val="1"/>
          <w:color w:val="auto"/>
        </w:rPr>
        <w:t>Receiving Party</w:t>
      </w:r>
      <w:r>
        <w:rPr>
          <w:rFonts w:ascii="Arial" w:cs="Arial" w:eastAsia="Arial" w:hAnsi="Arial"/>
          <w:sz w:val="20"/>
          <w:szCs w:val="20"/>
          <w:color w:val="auto"/>
        </w:rPr>
        <w:t>”). Confidential Information shall not include any information, data or know-how that:</w:t>
      </w:r>
    </w:p>
    <w:p>
      <w:pPr>
        <w:spacing w:after="0" w:line="1" w:lineRule="exact"/>
        <w:rPr>
          <w:sz w:val="20"/>
          <w:szCs w:val="20"/>
          <w:color w:val="auto"/>
        </w:rPr>
      </w:pPr>
    </w:p>
    <w:p>
      <w:pPr>
        <w:ind w:left="1000" w:right="20" w:hanging="560"/>
        <w:spacing w:after="0" w:line="225" w:lineRule="auto"/>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was generally available to the public at the time of disclosure, or becomes available to the public after disclosure by the Disclosing Party other than through fault (whether by action or inaction) of the Receiving Party or its Affiliates,</w:t>
      </w:r>
    </w:p>
    <w:p>
      <w:pPr>
        <w:ind w:left="1000" w:hanging="560"/>
        <w:spacing w:after="0" w:line="225" w:lineRule="auto"/>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can be evidenced by written records to have been already known to the Receiving Party or its Affiliates prior to its receipt from the Disclosing Party,</w:t>
      </w:r>
    </w:p>
    <w:p>
      <w:pPr>
        <w:ind w:left="1000" w:right="20" w:hanging="560"/>
        <w:spacing w:after="0" w:line="225" w:lineRule="auto"/>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is obtained by the Receiving Party or its Affiliates at any time lawfully from a Third Party under circumstances permitting its use or disclosure,</w:t>
      </w:r>
    </w:p>
    <w:p>
      <w:pPr>
        <w:ind w:left="1000" w:right="20" w:hanging="560"/>
        <w:spacing w:after="0" w:line="225" w:lineRule="auto"/>
        <w:tabs>
          <w:tab w:leader="none" w:pos="10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is developed independently by the Receiving Party or its Affiliates other than through knowledge of Confidential Information as evidenced by written records, or</w:t>
      </w:r>
    </w:p>
    <w:p>
      <w:pPr>
        <w:ind w:left="1320" w:hanging="880"/>
        <w:spacing w:after="0"/>
        <w:tabs>
          <w:tab w:leader="none" w:pos="13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is approved in writing by the Disclosing Party for release by the Receiving Party.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terms of this Agreement shall be considered Confidential Information of the Parties.</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Control</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term “Control” shall mean (as an adjective or as a verb including conjugations and variations such as “Controls” “Controlled” or “Controlling”) (a) with respect to Patent Rights and/or Know-How (including a Party’s interest in any jointly-owned Patent Right or Know-How), the possession by a Party of the ability to grant an assignment, a license or sublicense, as applicable, of such Patent Rights and/or Know-How (other than pursuant to this Agreement) without violating the terms of any agreement or arrangement between such Party and any other party and (b) with respect to proprietary materials, the possession by a Party of the ability to supply such proprietary materials to the other Party as provided herein without violating the terms of any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5" w:name="page86"/>
    <w:bookmarkEnd w:id="85"/>
    <w:p>
      <w:pPr>
        <w:jc w:val="both"/>
        <w:spacing w:after="0" w:line="236" w:lineRule="auto"/>
        <w:rPr>
          <w:sz w:val="20"/>
          <w:szCs w:val="20"/>
          <w:color w:val="auto"/>
        </w:rPr>
      </w:pPr>
      <w:r>
        <w:rPr>
          <w:rFonts w:ascii="Arial" w:cs="Arial" w:eastAsia="Arial" w:hAnsi="Arial"/>
          <w:sz w:val="20"/>
          <w:szCs w:val="20"/>
          <w:color w:val="auto"/>
        </w:rPr>
        <w:t>arrangement between such Party and any other party, in each case, (a) and (b), without being obligated to pay any royalties or other consideration therefor to any Third Parties.</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Deliverables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“Deliverables” shall mean the deliverables as defined in the Study Plan and all data packages, reports, data, samples, or other materials generated under the Study Plan.</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Effective Date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“Effective Date” shall mean the date of the last signature on this Agreement.</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9"/>
          <w:szCs w:val="19"/>
          <w:b w:val="1"/>
          <w:bCs w:val="1"/>
          <w:color w:val="auto"/>
        </w:rPr>
        <w:t>Executive Officer</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“Executive Officer” shall mean with regard to Synlogic, the chief executive officer, or his or her designee, and with regard to Roche, the head of Pharma Partnering Alliance Management, or his or her designee.</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9"/>
          <w:szCs w:val="19"/>
          <w:b w:val="1"/>
          <w:bCs w:val="1"/>
          <w:color w:val="auto"/>
        </w:rPr>
        <w:t>Expert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“Expert” shall mean a person with [***]. Such person shall be fluent in the English language.</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9"/>
          <w:szCs w:val="19"/>
          <w:b w:val="1"/>
          <w:bCs w:val="1"/>
          <w:color w:val="auto"/>
        </w:rPr>
        <w:t>Force Majeure Event</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“Force Majeure Event” shall mean an event beyond the reasonable control of the affected Party not caused by the fault or negligence of such Party, such as an embargo, war, act of war (whether war be declared or not), act of terrorism, insurrection, riot, civil commotion, strike, lockout or other labor disturbance, fire, flood, earthquake, epidemic, pandemic or other act of God or act, omission or delay in acting by any governmental authority.</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9"/>
          <w:szCs w:val="19"/>
          <w:b w:val="1"/>
          <w:bCs w:val="1"/>
          <w:color w:val="auto"/>
        </w:rPr>
        <w:t>FTE</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“FTE” shall mean [***], which number of hours will be pro-rated based on the number of days when used for periods of less than [***] months, devoted to or in support of research or development activities under the Rescue Plan that is carried out by one or more qualified scientific or technical employees (excluding Third Party contractors) of a Party or its Affiliates, as applicable. Notwithstanding the foregoing, the time of a single individual will not account for more than one (1) FTE for a given Calendar Year (or applicable pro-rata portion of an FTE during any Calendar Quarter or other period of less than a Calendar Year).</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FTE Costs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“FTE Costs” shall mean, for any period, the FTE Rate multiplied by the number of FTEs who perform a specified activity under this Agreement. FTEs will be pro-rated on a daily basis if necessary.</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9"/>
          <w:szCs w:val="19"/>
          <w:b w:val="1"/>
          <w:bCs w:val="1"/>
          <w:color w:val="auto"/>
        </w:rPr>
        <w:t>FTE Rate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“FTE Rate” shall mean, with respect to research or development activities under the Rescue Plan, $[***] per FTE. The FTE Rate includes (a) all wages and salaries,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6" w:name="page87"/>
    <w:bookmarkEnd w:id="86"/>
    <w:p>
      <w:pPr>
        <w:jc w:val="both"/>
        <w:spacing w:after="0" w:line="232" w:lineRule="auto"/>
        <w:rPr>
          <w:sz w:val="20"/>
          <w:szCs w:val="20"/>
          <w:color w:val="auto"/>
        </w:rPr>
      </w:pPr>
      <w:r>
        <w:rPr>
          <w:rFonts w:ascii="Arial" w:cs="Arial" w:eastAsia="Arial" w:hAnsi="Arial"/>
          <w:sz w:val="20"/>
          <w:szCs w:val="20"/>
          <w:color w:val="auto"/>
        </w:rPr>
        <w:t>benefits, bonus, travel and entertainment, supplies and other direct expenses and (b) indirect allocations, including all general and administrative expenses, human resources, finance, occupancy and depreciation, in each case ((a) and (b)), expended in connection with relevant activities.</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GAAP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“GAAP” shall mean United States generally accepted accounting principles, consistently applied.</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9"/>
          <w:szCs w:val="19"/>
          <w:b w:val="1"/>
          <w:bCs w:val="1"/>
          <w:color w:val="auto"/>
        </w:rPr>
        <w:t>GCP</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“GCP” shall mean good clinical practices, which are the then-current standards for Clinical Trials for pharmaceuticals, as set forth in the FD&amp;C Act, ICH Guideline Q7A, or other Applicable Law, and such standards of good clinical practice as are required by the Regulatory Authorities of the European Union and other organizations and governmental authorities in countries for which the applicable Product Candidate or Product is intended to be developed, to the extent such standards are not less stringent than United States standards or ICH Guidelines.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9"/>
          <w:szCs w:val="19"/>
          <w:b w:val="1"/>
          <w:bCs w:val="1"/>
          <w:color w:val="auto"/>
        </w:rPr>
        <w:t>GLP</w:t>
      </w:r>
    </w:p>
    <w:p>
      <w:pPr>
        <w:spacing w:after="0" w:line="1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term “GLP” shall mean the then-current good laboratory practice standards promulgated or endorsed by the FDA as defined in 21 C.F.R. Part 58, or the successor thereto, or comparable regulatory standards in jurisdictions outside of the United States as they may be updated from time to time, to the extent such standards are not less stringent than United States standards.</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9"/>
          <w:szCs w:val="19"/>
          <w:b w:val="1"/>
          <w:bCs w:val="1"/>
          <w:color w:val="auto"/>
        </w:rPr>
        <w:t>GMP</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“GMP” shall mean the then-current Good Manufacturing Practices as specified in Applicable Law, including the United States Code of Federal Regulations, ICH Guideline Q7A, or equivalent laws, rules or regulations of an applicable Regulatory Authority at the time of manufacture.</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9"/>
          <w:szCs w:val="19"/>
          <w:b w:val="1"/>
          <w:bCs w:val="1"/>
          <w:color w:val="auto"/>
        </w:rPr>
        <w:t>Governmental Authority</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“Governmental Authority” shall mean any applicable government authority, court, council, tribunal, arbitrator, agency, department, bureau, branch, office, legislative body, commission or other instrumentality of (a) any government of any country or territory, (b) any nation, state, province, county, city, or other political subdivision thereof, or (c) any supranational body.</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19"/>
          <w:szCs w:val="19"/>
          <w:b w:val="1"/>
          <w:bCs w:val="1"/>
          <w:color w:val="auto"/>
        </w:rPr>
        <w:t>Insolvency Event</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“Insolvency Event” shall mean circumstances under which a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(iii) enters into any composition or arrangement with its creditors (other than relating to a solvent restructuring); (iv) ceases to carry on business; or (v) is unable to pay its debts as they become due in the ordinary course of business.</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19"/>
          <w:szCs w:val="19"/>
          <w:b w:val="1"/>
          <w:bCs w:val="1"/>
          <w:color w:val="auto"/>
        </w:rPr>
        <w:t>IFRS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“IFRS” shall mean International Financial Reporting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7" w:name="page88"/>
    <w:bookmarkEnd w:id="87"/>
    <w:p>
      <w:pPr>
        <w:spacing w:after="0"/>
        <w:tabs>
          <w:tab w:leader="none" w:pos="7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JOT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“JOT” shall mean the joint operation team described in Section 3.2.</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JRC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“JRC” shall mean the joint research committee described in Section 3.1.</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Know-How</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term “Know-How” shall mean any inventions, discoveries, data, knowledge, information and materials, including samples, chemical manufacturing data, toxicological data, pharmacological data, preclinical and clinical data, results, formulas, trade secrets, techniques, methods, processes, procedures, technology, practices, chemical structures, nucleic and amino acid sequences, assays, platforms, formulations, specifications and quality control testing data.</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Material Delay</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“Material Delay” shall mean any unanticipated delay of greater than [***] consecutive days in the timeline for a Party to conduct its respective activities under the Rescue Plan or Study Plan for Part B2, including but not limited to (i) non-scientific events, including for example, a Force Majeure Event, or (ii) scientific events independent of the performance of Product Candidate features, but which materially impacts the ability to assess the data package for Part B2, including for example, failure of the positive/negative control to work as expected or failure of the experimental model.</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9"/>
          <w:szCs w:val="19"/>
          <w:b w:val="1"/>
          <w:bCs w:val="1"/>
          <w:color w:val="auto"/>
        </w:rPr>
        <w:t>Materials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“Materials” means all biological materials, chemical compounds and other materials provided by such Party to the other Party for use by the other Party to conduct activities pursuant to this Agreement.</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9"/>
          <w:szCs w:val="19"/>
          <w:b w:val="1"/>
          <w:bCs w:val="1"/>
          <w:color w:val="auto"/>
        </w:rPr>
        <w:t>Out-of-Pocket Costs</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term “Out-of-Pocket Costs” means, with respect to a Party, costs and expenses paid by such Party or its Affiliates to Third Parties (or payable to Third Parties and accrued in accordance with Accounting Standards), other than employees of such Party or its Affiliates.</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9"/>
          <w:szCs w:val="19"/>
          <w:b w:val="1"/>
          <w:bCs w:val="1"/>
          <w:color w:val="auto"/>
        </w:rPr>
        <w:t>Patent Rights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term “Patent Rights” shall mean all rights under any patent or patent application, in any country worldwide, including any provisional, non-provisional, substitution renewal, divisional, continuation or continuation-in-part and all patents granted thereon, and all reissues, re-examinations, extensions, confirmations, revalidations, registrations and patents of addition thereof, including patent term extensions and supplementary protection certificates, international patent applications filed under the Patent Cooperation Treaty (PCT) and any foreign equivalents to any of the foregoing.</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Party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“Party” shall mean Synlogic or Roche, as the case may be, and “Parties” shall mean Synlogic and Roche collectively.</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9"/>
          <w:szCs w:val="19"/>
          <w:b w:val="1"/>
          <w:bCs w:val="1"/>
          <w:color w:val="auto"/>
        </w:rPr>
        <w:t>Product Candidate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“Product Candidate” shall mean [***].</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19"/>
          <w:szCs w:val="19"/>
          <w:b w:val="1"/>
          <w:bCs w:val="1"/>
          <w:color w:val="auto"/>
        </w:rPr>
        <w:t>Product</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term “Product” shall mean any product, including any combination product, containing a Product Candidate as an active ingredient regardless of their finished form, formulation or dosage.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8" w:name="page89"/>
    <w:bookmarkEnd w:id="88"/>
    <w:p>
      <w:pPr>
        <w:spacing w:after="0"/>
        <w:tabs>
          <w:tab w:leader="none" w:pos="74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9"/>
          <w:szCs w:val="19"/>
          <w:b w:val="1"/>
          <w:bCs w:val="1"/>
          <w:color w:val="auto"/>
        </w:rPr>
        <w:t>Regulatory Authority</w:t>
      </w:r>
    </w:p>
    <w:p>
      <w:pPr>
        <w:spacing w:after="0" w:line="10"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The term “Regulatory Authority” shall mean, with respect to a given country, any national (e.g., the FDA), supra-national (e.g., the European Commission, the Council of the European Union, or the EMA), regional, state or local regulatory agency, department, bureau, board, commission, council or other Governmental Authority that holds responsibility for development, commercialization or manufacturing of, and the granting of marketing approval for a pharmaceutical product in such country or region.</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b w:val="1"/>
          <w:bCs w:val="1"/>
          <w:color w:val="auto"/>
        </w:rPr>
        <w:t>Rescue Plan Costs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Rescue Plan Costs” shall mean FTE Costs and Out-of-Pocket Costs incurred by or on behalf of a Party or its Affiliates in the conduct of research and development activities in accordance with any Rescue Plan.</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9"/>
          <w:szCs w:val="19"/>
          <w:b w:val="1"/>
          <w:bCs w:val="1"/>
          <w:color w:val="auto"/>
        </w:rPr>
        <w:t>Synlogic Platform Technology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“Synlogic Platform Technology” shall mean [***].</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Synthetic Biotic Medicines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“Synthetic Biotic Medicines” shall mean [***].</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8"/>
          <w:szCs w:val="18"/>
          <w:b w:val="1"/>
          <w:bCs w:val="1"/>
          <w:color w:val="auto"/>
        </w:rPr>
        <w:t>Target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The term “Target” shall mean [***].</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b w:val="1"/>
          <w:bCs w:val="1"/>
          <w:color w:val="auto"/>
        </w:rPr>
        <w:t>Third Party</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The term “Third Party” shall mean a person or entity other than (i) Synlogic or any of its Affiliates or (ii) Roche or any of its Affiliates.</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9"/>
          <w:szCs w:val="19"/>
          <w:b w:val="1"/>
          <w:bCs w:val="1"/>
          <w:color w:val="auto"/>
        </w:rPr>
        <w:t>Additional Definitions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Each of the following definitions is set forth in the Section of this Agreement indicated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jc w:val="center"/>
              <w:ind w:left="341"/>
              <w:spacing w:after="0"/>
              <w:rPr>
                <w:sz w:val="20"/>
                <w:szCs w:val="20"/>
                <w:color w:val="auto"/>
              </w:rPr>
            </w:pPr>
            <w:r>
              <w:rPr>
                <w:rFonts w:ascii="Arial" w:cs="Arial" w:eastAsia="Arial" w:hAnsi="Arial"/>
                <w:sz w:val="20"/>
                <w:szCs w:val="20"/>
                <w:color w:val="auto"/>
              </w:rPr>
              <w:t>Definition</w:t>
            </w:r>
          </w:p>
        </w:tc>
        <w:tc>
          <w:tcPr>
            <w:tcW w:w="5340" w:type="dxa"/>
            <w:vAlign w:val="bottom"/>
          </w:tcPr>
          <w:p>
            <w:pPr>
              <w:ind w:left="1540"/>
              <w:spacing w:after="0"/>
              <w:rPr>
                <w:sz w:val="20"/>
                <w:szCs w:val="20"/>
                <w:color w:val="auto"/>
              </w:rPr>
            </w:pPr>
            <w:r>
              <w:rPr>
                <w:rFonts w:ascii="Arial" w:cs="Arial" w:eastAsia="Arial" w:hAnsi="Arial"/>
                <w:sz w:val="20"/>
                <w:szCs w:val="20"/>
                <w:color w:val="auto"/>
              </w:rPr>
              <w:t>Section</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Alliance Director</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rPr>
              <w:t>3.4</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7"/>
              </w:rPr>
              <w:t>Acquired Party</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rPr>
              <w:t>7.2</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9"/>
              </w:rPr>
              <w:t>Auditing Party</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5.5.1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9"/>
              </w:rPr>
              <w:t>Audited Party</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5.5.1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Breaching Party</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rPr>
              <w:t>12.2.1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9"/>
              </w:rPr>
              <w:t>Chairperson</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3.1.2</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6"/>
              </w:rPr>
              <w:t>CLA Term Sheet</w:t>
            </w:r>
          </w:p>
        </w:tc>
        <w:tc>
          <w:tcPr>
            <w:tcW w:w="5340" w:type="dxa"/>
            <w:vAlign w:val="bottom"/>
          </w:tcPr>
          <w:p>
            <w:pPr>
              <w:jc w:val="center"/>
              <w:ind w:right="1501"/>
              <w:spacing w:after="0" w:line="216" w:lineRule="exact"/>
              <w:rPr>
                <w:sz w:val="20"/>
                <w:szCs w:val="20"/>
                <w:color w:val="auto"/>
              </w:rPr>
            </w:pPr>
            <w:r>
              <w:rPr>
                <w:rFonts w:ascii="Arial" w:cs="Arial" w:eastAsia="Arial" w:hAnsi="Arial"/>
                <w:sz w:val="20"/>
                <w:szCs w:val="20"/>
                <w:color w:val="auto"/>
                <w:w w:val="97"/>
              </w:rPr>
              <w:t>2.11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Collaboration Know-How</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9.1.2</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Collaboration Patent Rights</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9.1.2</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Collaboration Technology</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9.1.2</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Development Budget</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5.2.1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7"/>
              </w:rPr>
              <w:t>Disclosing Party</w:t>
            </w:r>
          </w:p>
        </w:tc>
        <w:tc>
          <w:tcPr>
            <w:tcW w:w="5340" w:type="dxa"/>
            <w:vAlign w:val="bottom"/>
          </w:tcPr>
          <w:p>
            <w:pPr>
              <w:jc w:val="center"/>
              <w:ind w:right="1501"/>
              <w:spacing w:after="0" w:line="216" w:lineRule="exact"/>
              <w:rPr>
                <w:sz w:val="20"/>
                <w:szCs w:val="20"/>
                <w:color w:val="auto"/>
              </w:rPr>
            </w:pPr>
            <w:r>
              <w:rPr>
                <w:rFonts w:ascii="Arial" w:cs="Arial" w:eastAsia="Arial" w:hAnsi="Arial"/>
                <w:sz w:val="20"/>
                <w:szCs w:val="20"/>
                <w:color w:val="auto"/>
                <w:w w:val="97"/>
              </w:rPr>
              <w:t>1.11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9"/>
              </w:rPr>
              <w:t>Expert Committee</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rPr>
              <w:t>3.3</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9"/>
              </w:rPr>
              <w:t>Filing Party</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rPr>
              <w:t>6.2</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rPr>
              <w:t>ICC</w:t>
            </w:r>
          </w:p>
        </w:tc>
        <w:tc>
          <w:tcPr>
            <w:tcW w:w="5340" w:type="dxa"/>
            <w:vAlign w:val="bottom"/>
          </w:tcPr>
          <w:p>
            <w:pPr>
              <w:jc w:val="center"/>
              <w:ind w:right="1501"/>
              <w:spacing w:after="0" w:line="216" w:lineRule="exact"/>
              <w:rPr>
                <w:sz w:val="20"/>
                <w:szCs w:val="20"/>
                <w:color w:val="auto"/>
              </w:rPr>
            </w:pPr>
            <w:r>
              <w:rPr>
                <w:rFonts w:ascii="Arial" w:cs="Arial" w:eastAsia="Arial" w:hAnsi="Arial"/>
                <w:sz w:val="20"/>
                <w:szCs w:val="20"/>
                <w:color w:val="auto"/>
                <w:w w:val="99"/>
              </w:rPr>
              <w:t>13.11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7"/>
              </w:rPr>
              <w:t>Indemnified Party</w:t>
            </w:r>
          </w:p>
        </w:tc>
        <w:tc>
          <w:tcPr>
            <w:tcW w:w="5340" w:type="dxa"/>
            <w:vAlign w:val="bottom"/>
          </w:tcPr>
          <w:p>
            <w:pPr>
              <w:jc w:val="center"/>
              <w:ind w:right="1501"/>
              <w:spacing w:after="0" w:line="216" w:lineRule="exact"/>
              <w:rPr>
                <w:sz w:val="20"/>
                <w:szCs w:val="20"/>
                <w:color w:val="auto"/>
              </w:rPr>
            </w:pPr>
            <w:r>
              <w:rPr>
                <w:rFonts w:ascii="Arial" w:cs="Arial" w:eastAsia="Arial" w:hAnsi="Arial"/>
                <w:sz w:val="20"/>
                <w:szCs w:val="20"/>
                <w:color w:val="auto"/>
                <w:w w:val="97"/>
              </w:rPr>
              <w:t>11.3</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w w:val="98"/>
              </w:rPr>
              <w:t>Indemnifying Party</w:t>
            </w:r>
          </w:p>
        </w:tc>
        <w:tc>
          <w:tcPr>
            <w:tcW w:w="5340" w:type="dxa"/>
            <w:vAlign w:val="bottom"/>
          </w:tcPr>
          <w:p>
            <w:pPr>
              <w:jc w:val="center"/>
              <w:ind w:right="1501"/>
              <w:spacing w:after="0" w:line="216" w:lineRule="exact"/>
              <w:rPr>
                <w:sz w:val="20"/>
                <w:szCs w:val="20"/>
                <w:color w:val="auto"/>
              </w:rPr>
            </w:pPr>
            <w:r>
              <w:rPr>
                <w:rFonts w:ascii="Arial" w:cs="Arial" w:eastAsia="Arial" w:hAnsi="Arial"/>
                <w:sz w:val="20"/>
                <w:szCs w:val="20"/>
                <w:color w:val="auto"/>
                <w:w w:val="97"/>
              </w:rPr>
              <w:t>11.3</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rPr>
              <w:t>Losses</w:t>
            </w:r>
          </w:p>
        </w:tc>
        <w:tc>
          <w:tcPr>
            <w:tcW w:w="5340" w:type="dxa"/>
            <w:vAlign w:val="bottom"/>
          </w:tcPr>
          <w:p>
            <w:pPr>
              <w:jc w:val="center"/>
              <w:ind w:right="1501"/>
              <w:spacing w:after="0" w:line="216" w:lineRule="exact"/>
              <w:rPr>
                <w:sz w:val="20"/>
                <w:szCs w:val="20"/>
                <w:color w:val="auto"/>
              </w:rPr>
            </w:pPr>
            <w:r>
              <w:rPr>
                <w:rFonts w:ascii="Arial" w:cs="Arial" w:eastAsia="Arial" w:hAnsi="Arial"/>
                <w:sz w:val="20"/>
                <w:szCs w:val="20"/>
                <w:color w:val="auto"/>
                <w:w w:val="97"/>
              </w:rPr>
              <w:t>11.1</w:t>
            </w:r>
          </w:p>
        </w:tc>
      </w:tr>
      <w:tr>
        <w:trPr>
          <w:trHeight w:val="216"/>
        </w:trPr>
        <w:tc>
          <w:tcPr>
            <w:tcW w:w="5920" w:type="dxa"/>
            <w:vAlign w:val="bottom"/>
          </w:tcPr>
          <w:p>
            <w:pPr>
              <w:jc w:val="center"/>
              <w:ind w:left="341"/>
              <w:spacing w:after="0" w:line="216" w:lineRule="exact"/>
              <w:rPr>
                <w:sz w:val="20"/>
                <w:szCs w:val="20"/>
                <w:color w:val="auto"/>
              </w:rPr>
            </w:pPr>
            <w:r>
              <w:rPr>
                <w:rFonts w:ascii="Arial" w:cs="Arial" w:eastAsia="Arial" w:hAnsi="Arial"/>
                <w:sz w:val="20"/>
                <w:szCs w:val="20"/>
                <w:color w:val="auto"/>
              </w:rPr>
              <w:t>Members</w:t>
            </w:r>
          </w:p>
        </w:tc>
        <w:tc>
          <w:tcPr>
            <w:tcW w:w="5340" w:type="dxa"/>
            <w:vAlign w:val="bottom"/>
          </w:tcPr>
          <w:p>
            <w:pPr>
              <w:jc w:val="center"/>
              <w:ind w:right="1481"/>
              <w:spacing w:after="0" w:line="216" w:lineRule="exact"/>
              <w:rPr>
                <w:sz w:val="20"/>
                <w:szCs w:val="20"/>
                <w:color w:val="auto"/>
              </w:rPr>
            </w:pPr>
            <w:r>
              <w:rPr>
                <w:rFonts w:ascii="Arial" w:cs="Arial" w:eastAsia="Arial" w:hAnsi="Arial"/>
                <w:sz w:val="20"/>
                <w:szCs w:val="20"/>
                <w:color w:val="auto"/>
                <w:w w:val="98"/>
              </w:rPr>
              <w:t>3.1.2</w:t>
            </w:r>
          </w:p>
        </w:tc>
      </w:tr>
      <w:tr>
        <w:trPr>
          <w:trHeight w:val="237"/>
        </w:trPr>
        <w:tc>
          <w:tcPr>
            <w:tcW w:w="5920" w:type="dxa"/>
            <w:vAlign w:val="bottom"/>
          </w:tcPr>
          <w:p>
            <w:pPr>
              <w:jc w:val="center"/>
              <w:ind w:left="341"/>
              <w:spacing w:after="0"/>
              <w:rPr>
                <w:sz w:val="20"/>
                <w:szCs w:val="20"/>
                <w:color w:val="auto"/>
              </w:rPr>
            </w:pPr>
            <w:r>
              <w:rPr>
                <w:rFonts w:ascii="Arial" w:cs="Arial" w:eastAsia="Arial" w:hAnsi="Arial"/>
                <w:sz w:val="20"/>
                <w:szCs w:val="20"/>
                <w:color w:val="auto"/>
                <w:w w:val="99"/>
              </w:rPr>
              <w:t>Non-Breaching Party</w:t>
            </w:r>
          </w:p>
        </w:tc>
        <w:tc>
          <w:tcPr>
            <w:tcW w:w="5340" w:type="dxa"/>
            <w:vAlign w:val="bottom"/>
          </w:tcPr>
          <w:p>
            <w:pPr>
              <w:jc w:val="center"/>
              <w:ind w:right="1481"/>
              <w:spacing w:after="0"/>
              <w:rPr>
                <w:sz w:val="20"/>
                <w:szCs w:val="20"/>
                <w:color w:val="auto"/>
              </w:rPr>
            </w:pPr>
            <w:r>
              <w:rPr>
                <w:rFonts w:ascii="Arial" w:cs="Arial" w:eastAsia="Arial" w:hAnsi="Arial"/>
                <w:sz w:val="20"/>
                <w:szCs w:val="20"/>
                <w:color w:val="auto"/>
              </w:rPr>
              <w:t>12.2.1</w:t>
            </w:r>
          </w:p>
        </w:tc>
      </w:tr>
      <w:tr>
        <w:trPr>
          <w:trHeight w:val="543"/>
        </w:trPr>
        <w:tc>
          <w:tcPr>
            <w:tcW w:w="59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89" w:name="page90"/>
    <w:bookmarkEnd w:id="89"/>
    <w:tbl>
      <w:tblPr>
        <w:tblLayout w:type="fixed"/>
        <w:tblInd w:w="1660" w:type="dxa"/>
        <w:tblCellMar>
          <w:top w:w="0" w:type="dxa"/>
          <w:left w:w="0" w:type="dxa"/>
          <w:bottom w:w="0" w:type="dxa"/>
          <w:right w:w="0" w:type="dxa"/>
        </w:tblCellMar>
      </w:tblPr>
      <w:tr>
        <w:trPr>
          <w:trHeight w:val="230"/>
        </w:trPr>
        <w:tc>
          <w:tcPr>
            <w:tcW w:w="4440" w:type="dxa"/>
            <w:vAlign w:val="bottom"/>
          </w:tcPr>
          <w:p>
            <w:pPr>
              <w:jc w:val="center"/>
              <w:ind w:right="1301"/>
              <w:spacing w:after="0"/>
              <w:rPr>
                <w:sz w:val="20"/>
                <w:szCs w:val="20"/>
                <w:color w:val="auto"/>
              </w:rPr>
            </w:pPr>
            <w:r>
              <w:rPr>
                <w:rFonts w:ascii="Arial" w:cs="Arial" w:eastAsia="Arial" w:hAnsi="Arial"/>
                <w:sz w:val="20"/>
                <w:szCs w:val="20"/>
                <w:color w:val="auto"/>
                <w:w w:val="97"/>
              </w:rPr>
              <w:t>Non-Filing Party</w:t>
            </w:r>
          </w:p>
        </w:tc>
        <w:tc>
          <w:tcPr>
            <w:tcW w:w="1980" w:type="dxa"/>
            <w:vAlign w:val="bottom"/>
          </w:tcPr>
          <w:p>
            <w:pPr>
              <w:jc w:val="center"/>
              <w:ind w:left="1321"/>
              <w:spacing w:after="0"/>
              <w:rPr>
                <w:sz w:val="20"/>
                <w:szCs w:val="20"/>
                <w:color w:val="auto"/>
              </w:rPr>
            </w:pPr>
            <w:r>
              <w:rPr>
                <w:rFonts w:ascii="Arial" w:cs="Arial" w:eastAsia="Arial" w:hAnsi="Arial"/>
                <w:sz w:val="20"/>
                <w:szCs w:val="20"/>
                <w:color w:val="auto"/>
              </w:rPr>
              <w:t>6.2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7"/>
              </w:rPr>
              <w:t>Non-Publishing Party</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6.4</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Option Exercise Deadline</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4</w:t>
            </w:r>
          </w:p>
        </w:tc>
      </w:tr>
      <w:tr>
        <w:trPr>
          <w:trHeight w:val="216"/>
        </w:trPr>
        <w:tc>
          <w:tcPr>
            <w:tcW w:w="4440" w:type="dxa"/>
            <w:vAlign w:val="bottom"/>
          </w:tcPr>
          <w:p>
            <w:pPr>
              <w:jc w:val="center"/>
              <w:ind w:right="1281"/>
              <w:spacing w:after="0" w:line="216" w:lineRule="exact"/>
              <w:rPr>
                <w:sz w:val="20"/>
                <w:szCs w:val="20"/>
                <w:color w:val="auto"/>
              </w:rPr>
            </w:pPr>
            <w:r>
              <w:rPr>
                <w:rFonts w:ascii="Arial" w:cs="Arial" w:eastAsia="Arial" w:hAnsi="Arial"/>
                <w:sz w:val="20"/>
                <w:szCs w:val="20"/>
                <w:color w:val="auto"/>
                <w:w w:val="98"/>
              </w:rPr>
              <w:t>Option Right</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4</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Other Acquired Program</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8</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Part</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Part A Payment Trigger Date</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w w:val="98"/>
              </w:rPr>
              <w:t>2.7.2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Part B1 Payment Trigger Date</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w w:val="98"/>
              </w:rPr>
              <w:t>2.7.2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Part B2 Payment Trigger Date</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w w:val="98"/>
              </w:rPr>
              <w:t>2.7.2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Payment Trigger Dates</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w w:val="98"/>
              </w:rPr>
              <w:t>2.7.2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Peremptory Notice Period</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12.2.1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Pilot Collaboration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Provision Date</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w w:val="98"/>
              </w:rPr>
              <w:t>2.7.1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Publishing Party</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6.4</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Receiving Party</w:t>
            </w:r>
          </w:p>
        </w:tc>
        <w:tc>
          <w:tcPr>
            <w:tcW w:w="1980" w:type="dxa"/>
            <w:vAlign w:val="bottom"/>
          </w:tcPr>
          <w:p>
            <w:pPr>
              <w:jc w:val="center"/>
              <w:ind w:left="1301"/>
              <w:spacing w:after="0" w:line="216" w:lineRule="exact"/>
              <w:rPr>
                <w:sz w:val="20"/>
                <w:szCs w:val="20"/>
                <w:color w:val="auto"/>
              </w:rPr>
            </w:pPr>
            <w:r>
              <w:rPr>
                <w:rFonts w:ascii="Arial" w:cs="Arial" w:eastAsia="Arial" w:hAnsi="Arial"/>
                <w:sz w:val="20"/>
                <w:szCs w:val="20"/>
                <w:color w:val="auto"/>
                <w:w w:val="97"/>
              </w:rPr>
              <w:t>1.11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Re-Negotiation Period</w:t>
            </w:r>
          </w:p>
        </w:tc>
        <w:tc>
          <w:tcPr>
            <w:tcW w:w="1980" w:type="dxa"/>
            <w:vAlign w:val="bottom"/>
          </w:tcPr>
          <w:p>
            <w:pPr>
              <w:jc w:val="center"/>
              <w:ind w:left="1301"/>
              <w:spacing w:after="0" w:line="216" w:lineRule="exact"/>
              <w:rPr>
                <w:sz w:val="20"/>
                <w:szCs w:val="20"/>
                <w:color w:val="auto"/>
              </w:rPr>
            </w:pPr>
            <w:r>
              <w:rPr>
                <w:rFonts w:ascii="Arial" w:cs="Arial" w:eastAsia="Arial" w:hAnsi="Arial"/>
                <w:sz w:val="20"/>
                <w:szCs w:val="20"/>
                <w:color w:val="auto"/>
                <w:w w:val="97"/>
              </w:rPr>
              <w:t>2.10</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Re-Negotiation Request</w:t>
            </w:r>
          </w:p>
        </w:tc>
        <w:tc>
          <w:tcPr>
            <w:tcW w:w="1980" w:type="dxa"/>
            <w:vAlign w:val="bottom"/>
          </w:tcPr>
          <w:p>
            <w:pPr>
              <w:jc w:val="center"/>
              <w:ind w:left="1301"/>
              <w:spacing w:after="0" w:line="216" w:lineRule="exact"/>
              <w:rPr>
                <w:sz w:val="20"/>
                <w:szCs w:val="20"/>
                <w:color w:val="auto"/>
              </w:rPr>
            </w:pPr>
            <w:r>
              <w:rPr>
                <w:rFonts w:ascii="Arial" w:cs="Arial" w:eastAsia="Arial" w:hAnsi="Arial"/>
                <w:sz w:val="20"/>
                <w:szCs w:val="20"/>
                <w:color w:val="auto"/>
                <w:w w:val="97"/>
              </w:rPr>
              <w:t>2.10</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Representatives</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6.1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Rescue Plan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2.8</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Rescue Plan Decision Period</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2.8</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Roche Indemnitees</w:t>
            </w:r>
          </w:p>
        </w:tc>
        <w:tc>
          <w:tcPr>
            <w:tcW w:w="1980" w:type="dxa"/>
            <w:vAlign w:val="bottom"/>
          </w:tcPr>
          <w:p>
            <w:pPr>
              <w:jc w:val="center"/>
              <w:ind w:left="1301"/>
              <w:spacing w:after="0" w:line="216" w:lineRule="exact"/>
              <w:rPr>
                <w:sz w:val="20"/>
                <w:szCs w:val="20"/>
                <w:color w:val="auto"/>
              </w:rPr>
            </w:pPr>
            <w:r>
              <w:rPr>
                <w:rFonts w:ascii="Arial" w:cs="Arial" w:eastAsia="Arial" w:hAnsi="Arial"/>
                <w:sz w:val="20"/>
                <w:szCs w:val="20"/>
                <w:color w:val="auto"/>
                <w:w w:val="97"/>
              </w:rPr>
              <w:t>11.1</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Sensitive Information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7</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Sharing Date</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6.3</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Study Plan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Success Criteria</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9"/>
              </w:rPr>
              <w:t>Success Criteria Failure Expiration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2.8</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Synlogic Acquisition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7.3</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Synlogic Acquisition Program</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7.3</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Synlogic COC Program</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7.2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8"/>
              </w:rPr>
              <w:t>Synlogic Indemnitees</w:t>
            </w:r>
          </w:p>
        </w:tc>
        <w:tc>
          <w:tcPr>
            <w:tcW w:w="1980" w:type="dxa"/>
            <w:vAlign w:val="bottom"/>
          </w:tcPr>
          <w:p>
            <w:pPr>
              <w:jc w:val="center"/>
              <w:ind w:left="1301"/>
              <w:spacing w:after="0" w:line="216" w:lineRule="exact"/>
              <w:rPr>
                <w:sz w:val="20"/>
                <w:szCs w:val="20"/>
                <w:color w:val="auto"/>
              </w:rPr>
            </w:pPr>
            <w:r>
              <w:rPr>
                <w:rFonts w:ascii="Arial" w:cs="Arial" w:eastAsia="Arial" w:hAnsi="Arial"/>
                <w:sz w:val="20"/>
                <w:szCs w:val="20"/>
                <w:color w:val="auto"/>
                <w:w w:val="97"/>
              </w:rPr>
              <w:t>11.2</w:t>
            </w:r>
          </w:p>
        </w:tc>
      </w:tr>
      <w:tr>
        <w:trPr>
          <w:trHeight w:val="216"/>
        </w:trPr>
        <w:tc>
          <w:tcPr>
            <w:tcW w:w="4440" w:type="dxa"/>
            <w:vAlign w:val="bottom"/>
          </w:tcPr>
          <w:p>
            <w:pPr>
              <w:jc w:val="center"/>
              <w:ind w:right="1301"/>
              <w:spacing w:after="0" w:line="216" w:lineRule="exact"/>
              <w:rPr>
                <w:sz w:val="20"/>
                <w:szCs w:val="20"/>
                <w:color w:val="auto"/>
              </w:rPr>
            </w:pPr>
            <w:r>
              <w:rPr>
                <w:rFonts w:ascii="Arial" w:cs="Arial" w:eastAsia="Arial" w:hAnsi="Arial"/>
                <w:sz w:val="20"/>
                <w:szCs w:val="20"/>
                <w:color w:val="auto"/>
                <w:w w:val="97"/>
              </w:rPr>
              <w:t>Third Party Acquisition</w:t>
            </w:r>
          </w:p>
        </w:tc>
        <w:tc>
          <w:tcPr>
            <w:tcW w:w="1980" w:type="dxa"/>
            <w:vAlign w:val="bottom"/>
          </w:tcPr>
          <w:p>
            <w:pPr>
              <w:jc w:val="center"/>
              <w:ind w:left="1321"/>
              <w:spacing w:after="0" w:line="216" w:lineRule="exact"/>
              <w:rPr>
                <w:sz w:val="20"/>
                <w:szCs w:val="20"/>
                <w:color w:val="auto"/>
              </w:rPr>
            </w:pPr>
            <w:r>
              <w:rPr>
                <w:rFonts w:ascii="Arial" w:cs="Arial" w:eastAsia="Arial" w:hAnsi="Arial"/>
                <w:sz w:val="20"/>
                <w:szCs w:val="20"/>
                <w:color w:val="auto"/>
              </w:rPr>
              <w:t>8</w:t>
            </w:r>
          </w:p>
        </w:tc>
      </w:tr>
      <w:tr>
        <w:trPr>
          <w:trHeight w:val="237"/>
        </w:trPr>
        <w:tc>
          <w:tcPr>
            <w:tcW w:w="4440" w:type="dxa"/>
            <w:vAlign w:val="bottom"/>
          </w:tcPr>
          <w:p>
            <w:pPr>
              <w:jc w:val="center"/>
              <w:ind w:right="1301"/>
              <w:spacing w:after="0"/>
              <w:rPr>
                <w:sz w:val="20"/>
                <w:szCs w:val="20"/>
                <w:color w:val="auto"/>
              </w:rPr>
            </w:pPr>
            <w:r>
              <w:rPr>
                <w:rFonts w:ascii="Arial" w:cs="Arial" w:eastAsia="Arial" w:hAnsi="Arial"/>
                <w:sz w:val="20"/>
                <w:szCs w:val="20"/>
                <w:color w:val="auto"/>
                <w:w w:val="99"/>
              </w:rPr>
              <w:t>Third Party Claims</w:t>
            </w:r>
          </w:p>
        </w:tc>
        <w:tc>
          <w:tcPr>
            <w:tcW w:w="1980" w:type="dxa"/>
            <w:vAlign w:val="bottom"/>
          </w:tcPr>
          <w:p>
            <w:pPr>
              <w:jc w:val="center"/>
              <w:ind w:left="1301"/>
              <w:spacing w:after="0"/>
              <w:rPr>
                <w:sz w:val="20"/>
                <w:szCs w:val="20"/>
                <w:color w:val="auto"/>
              </w:rPr>
            </w:pPr>
            <w:r>
              <w:rPr>
                <w:rFonts w:ascii="Arial" w:cs="Arial" w:eastAsia="Arial" w:hAnsi="Arial"/>
                <w:sz w:val="20"/>
                <w:szCs w:val="20"/>
                <w:color w:val="auto"/>
                <w:w w:val="97"/>
              </w:rPr>
              <w:t>11.1</w:t>
            </w:r>
          </w:p>
        </w:tc>
      </w:tr>
    </w:tbl>
    <w:p>
      <w:pPr>
        <w:spacing w:after="0" w:line="184"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the Pilot Collaboration</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Scope</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goals of the collaboration under this Agreement (“</w:t>
      </w:r>
      <w:r>
        <w:rPr>
          <w:rFonts w:ascii="Arial" w:cs="Arial" w:eastAsia="Arial" w:hAnsi="Arial"/>
          <w:sz w:val="20"/>
          <w:szCs w:val="20"/>
          <w:b w:val="1"/>
          <w:bCs w:val="1"/>
          <w:color w:val="auto"/>
        </w:rPr>
        <w:t>Pilot Collaboration</w:t>
      </w:r>
      <w:r>
        <w:rPr>
          <w:rFonts w:ascii="Arial" w:cs="Arial" w:eastAsia="Arial" w:hAnsi="Arial"/>
          <w:sz w:val="20"/>
          <w:szCs w:val="20"/>
          <w:color w:val="auto"/>
        </w:rPr>
        <w:t>”) are for the Parties to research and pre-clinically develop Product Candidates by [***]. The Pilot Collaboration is divided into three parts, which shall each be defined in the Study Plan: “</w:t>
      </w:r>
      <w:r>
        <w:rPr>
          <w:rFonts w:ascii="Arial" w:cs="Arial" w:eastAsia="Arial" w:hAnsi="Arial"/>
          <w:sz w:val="20"/>
          <w:szCs w:val="20"/>
          <w:b w:val="1"/>
          <w:bCs w:val="1"/>
          <w:color w:val="auto"/>
        </w:rPr>
        <w:t>Part A</w:t>
      </w:r>
      <w:r>
        <w:rPr>
          <w:rFonts w:ascii="Arial" w:cs="Arial" w:eastAsia="Arial" w:hAnsi="Arial"/>
          <w:sz w:val="20"/>
          <w:szCs w:val="20"/>
          <w:color w:val="auto"/>
        </w:rPr>
        <w:t>”, “</w:t>
      </w:r>
      <w:r>
        <w:rPr>
          <w:rFonts w:ascii="Arial" w:cs="Arial" w:eastAsia="Arial" w:hAnsi="Arial"/>
          <w:sz w:val="20"/>
          <w:szCs w:val="20"/>
          <w:b w:val="1"/>
          <w:bCs w:val="1"/>
          <w:color w:val="auto"/>
        </w:rPr>
        <w:t>Part B1</w:t>
      </w:r>
      <w:r>
        <w:rPr>
          <w:rFonts w:ascii="Arial" w:cs="Arial" w:eastAsia="Arial" w:hAnsi="Arial"/>
          <w:sz w:val="20"/>
          <w:szCs w:val="20"/>
          <w:color w:val="auto"/>
        </w:rPr>
        <w:t>” and “</w:t>
      </w:r>
      <w:r>
        <w:rPr>
          <w:rFonts w:ascii="Arial" w:cs="Arial" w:eastAsia="Arial" w:hAnsi="Arial"/>
          <w:sz w:val="20"/>
          <w:szCs w:val="20"/>
          <w:b w:val="1"/>
          <w:bCs w:val="1"/>
          <w:color w:val="auto"/>
        </w:rPr>
        <w:t>Part B2</w:t>
      </w:r>
      <w:r>
        <w:rPr>
          <w:rFonts w:ascii="Arial" w:cs="Arial" w:eastAsia="Arial" w:hAnsi="Arial"/>
          <w:sz w:val="20"/>
          <w:szCs w:val="20"/>
          <w:color w:val="auto"/>
        </w:rPr>
        <w:t>” (each a “</w:t>
      </w:r>
      <w:r>
        <w:rPr>
          <w:rFonts w:ascii="Arial" w:cs="Arial" w:eastAsia="Arial" w:hAnsi="Arial"/>
          <w:sz w:val="20"/>
          <w:szCs w:val="20"/>
          <w:b w:val="1"/>
          <w:bCs w:val="1"/>
          <w:color w:val="auto"/>
        </w:rPr>
        <w:t>Part</w:t>
      </w:r>
      <w:r>
        <w:rPr>
          <w:rFonts w:ascii="Arial" w:cs="Arial" w:eastAsia="Arial" w:hAnsi="Arial"/>
          <w:sz w:val="20"/>
          <w:szCs w:val="20"/>
          <w:color w:val="auto"/>
        </w:rPr>
        <w:t>”).</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Study Plan</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detailed study plan for the Pilot Collaboration is attached hereto as Appendix 1 (“</w:t>
      </w:r>
      <w:r>
        <w:rPr>
          <w:rFonts w:ascii="Arial" w:cs="Arial" w:eastAsia="Arial" w:hAnsi="Arial"/>
          <w:sz w:val="20"/>
          <w:szCs w:val="20"/>
          <w:b w:val="1"/>
          <w:bCs w:val="1"/>
          <w:color w:val="auto"/>
        </w:rPr>
        <w:t>Study Plan</w:t>
      </w:r>
      <w:r>
        <w:rPr>
          <w:rFonts w:ascii="Arial" w:cs="Arial" w:eastAsia="Arial" w:hAnsi="Arial"/>
          <w:sz w:val="20"/>
          <w:szCs w:val="20"/>
          <w:color w:val="auto"/>
        </w:rPr>
        <w:t>”). The Parties will conduct the Pilot Collaboration in accordance with the Study Plan with oversight by the JRC. Subject to Section 3.1.4 (g), the Study Plan may only be modified by written agreement of the Parties; provided that the Study Plan shall at all times set forth (a) the three Parts of the Pilot Collaboration and a list of defined success criteria (“</w:t>
      </w:r>
      <w:r>
        <w:rPr>
          <w:rFonts w:ascii="Arial" w:cs="Arial" w:eastAsia="Arial" w:hAnsi="Arial"/>
          <w:sz w:val="20"/>
          <w:szCs w:val="20"/>
          <w:b w:val="1"/>
          <w:bCs w:val="1"/>
          <w:color w:val="auto"/>
        </w:rPr>
        <w:t>Success Criteria</w:t>
      </w:r>
      <w:r>
        <w:rPr>
          <w:rFonts w:ascii="Arial" w:cs="Arial" w:eastAsia="Arial" w:hAnsi="Arial"/>
          <w:sz w:val="20"/>
          <w:szCs w:val="20"/>
          <w:color w:val="auto"/>
        </w:rPr>
        <w:t>”) for each Part, (b) the work to be performed by Synlogic and/or Roche, (c) the Material(s) to be provided by Roche to Synlogic and by Synlogic to Roche, respectively, (d) the expected Deliverables, including data packages, to be provided by each Party during the Pilot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0" w:name="page91"/>
    <w:bookmarkEnd w:id="90"/>
    <w:p>
      <w:pPr>
        <w:spacing w:after="0"/>
        <w:tabs>
          <w:tab w:leader="none" w:pos="7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Transfer of Materials</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To facilitate the conduct of activities under the Study Plan (and Rescue Plan, as applicable), each Party will provide such Materials specified in the Study Plan (and Rescue Plan, as applicable) to the other Party in reasonable quantities to permit such other Party to conduct its respective activities under the Study Plan (and Rescue Plan, as applicable). All Materials transferred pursuant to this Section 2.3: (a) will be provided according to DAP (address of the receiving Party) Incoterms® 2020, (b) will remain the sole property of the supplying Party, (c) will be used only in the fulfilment of the receiving Party’s obligations or exercise of rights under this Agreement, (d) will remain solely under the control of the receiving Party, (e) will not be used or delivered by the receiving Party to or for the benefit of any Third Party (other than a subcontractor permitted in accordance with Section 8.3) without the prior written consent of the supplying Party, and (f) will not be used in research or testing involving human subjects, unless expressly agreed in writing. The receiving Party will use the Materials in compliance with Applicable Laws and the terms and conditions of this Agreement, and will not reverse engineer or chemically analyse such Materials, except as specified in the Study Plan or Rescue Plan. All Materials supplied under this Section 2.3 that are not Deliverables are supplied “as is”, with no warranties of fitness for a particular purpose and must be used with prudence and appropriate caution in any experimental work, as not all of their characteristics may be known.</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Diligent Efforts</w:t>
      </w:r>
    </w:p>
    <w:p>
      <w:pPr>
        <w:spacing w:after="0" w:line="10"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Roche and Synlogic shall each use Commercially Reasonable Efforts to perform their respective tasks and obligations in conducting all activities ascribed to it in the then-current Study Plan and any Rescue Plan, as applicable, in accordance with the time parameters and the Rescue Plan Costs set forth therein.</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Records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Each Party will maintain, and cause its Affiliates and subcontractors to maintain, records of the activities undertaken pursuant to the Study Plan or Rescue Plan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9"/>
          <w:szCs w:val="19"/>
          <w:b w:val="1"/>
          <w:bCs w:val="1"/>
          <w:color w:val="auto"/>
        </w:rPr>
        <w:t>Reporting</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will furnish to the JRC, within [***] days after the end of each calendar quarter, to the extent applicable to such Party, an update on such Party’s progress under the Study Plan or Rescue Plan during the relevant calendar quarter, including a summary of any results and data generated by such Party under such Study Plan or Rescue Plan. Such Party will provide the JRC with such other information, results and data with respect to the research activities under the Study Plan or Rescue Plan as any member of the JRC may reasonably request that are in such Party’s possession or control.</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Provision of Data Packages; Achievement of Success Criteria</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9"/>
          <w:szCs w:val="19"/>
          <w:color w:val="auto"/>
        </w:rPr>
        <w:t>Provision of Data Packages</w:t>
      </w:r>
    </w:p>
    <w:p>
      <w:pPr>
        <w:jc w:val="both"/>
        <w:spacing w:after="0" w:line="229" w:lineRule="auto"/>
        <w:rPr>
          <w:sz w:val="20"/>
          <w:szCs w:val="20"/>
          <w:color w:val="auto"/>
        </w:rPr>
      </w:pPr>
      <w:r>
        <w:rPr>
          <w:rFonts w:ascii="Arial" w:cs="Arial" w:eastAsia="Arial" w:hAnsi="Arial"/>
          <w:sz w:val="20"/>
          <w:szCs w:val="20"/>
          <w:color w:val="auto"/>
        </w:rPr>
        <w:t>With respect to each of Part A, Part B1, and Part B2 of the Study Plan or Rescue Plan, as applicable, upon the JOT’s reasonable belief (as determined in good faith) that the Success Criteria for such Part has been achieved, Synlogic will provide a data package with all data and results for its respective activities for such Part as required under the Study Plan or the applicable Rescue Plan (the date such data package is provided, the “</w:t>
      </w:r>
      <w:r>
        <w:rPr>
          <w:rFonts w:ascii="Arial" w:cs="Arial" w:eastAsia="Arial" w:hAnsi="Arial"/>
          <w:sz w:val="20"/>
          <w:szCs w:val="20"/>
          <w:b w:val="1"/>
          <w:bCs w:val="1"/>
          <w:color w:val="auto"/>
        </w:rPr>
        <w:t>Provision Date</w:t>
      </w:r>
      <w:r>
        <w:rPr>
          <w:rFonts w:ascii="Arial" w:cs="Arial" w:eastAsia="Arial" w:hAnsi="Arial"/>
          <w:sz w:val="20"/>
          <w:szCs w:val="20"/>
          <w:color w:val="auto"/>
        </w:rPr>
        <w:t>”). After the Provision Date for a given Part, the JRC will meet within [***] days after the Provision Date to review the full data package and determine whether or not the Success Criteria have been met for such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spacing w:after="0"/>
        <w:tabs>
          <w:tab w:leader="none" w:pos="84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9"/>
          <w:szCs w:val="19"/>
          <w:color w:val="auto"/>
        </w:rPr>
        <w:t>Achievement of Success Criteria</w:t>
      </w:r>
    </w:p>
    <w:p>
      <w:pPr>
        <w:jc w:val="both"/>
        <w:spacing w:after="0"/>
        <w:rPr>
          <w:sz w:val="20"/>
          <w:szCs w:val="20"/>
          <w:color w:val="auto"/>
        </w:rPr>
      </w:pPr>
      <w:r>
        <w:rPr>
          <w:rFonts w:ascii="Arial" w:cs="Arial" w:eastAsia="Arial" w:hAnsi="Arial"/>
          <w:sz w:val="19"/>
          <w:szCs w:val="19"/>
          <w:color w:val="auto"/>
        </w:rPr>
        <w:t>Upon the JRC’s determination that the Success Criteria for Part A have been met (including after any Rescue Plan, if applicable) (the “</w:t>
      </w:r>
      <w:r>
        <w:rPr>
          <w:rFonts w:ascii="Arial" w:cs="Arial" w:eastAsia="Arial" w:hAnsi="Arial"/>
          <w:sz w:val="19"/>
          <w:szCs w:val="19"/>
          <w:b w:val="1"/>
          <w:bCs w:val="1"/>
          <w:color w:val="auto"/>
        </w:rPr>
        <w:t>Part A Payment Trigger Date</w:t>
      </w:r>
      <w:r>
        <w:rPr>
          <w:rFonts w:ascii="Arial" w:cs="Arial" w:eastAsia="Arial" w:hAnsi="Arial"/>
          <w:sz w:val="19"/>
          <w:szCs w:val="19"/>
          <w:color w:val="auto"/>
        </w:rPr>
        <w:t>”), Roche will pay Synlogic the milestone payment set forth in Section 5.1.2. Upon the JRC’s determination that the Success Criteria for Part B1 have been met (including after any Rescue Plan, if applicable) (the “</w:t>
      </w:r>
      <w:r>
        <w:rPr>
          <w:rFonts w:ascii="Arial" w:cs="Arial" w:eastAsia="Arial" w:hAnsi="Arial"/>
          <w:sz w:val="19"/>
          <w:szCs w:val="19"/>
          <w:b w:val="1"/>
          <w:bCs w:val="1"/>
          <w:color w:val="auto"/>
        </w:rPr>
        <w:t>Part B1</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Trigger Date</w:t>
      </w:r>
      <w:r>
        <w:rPr>
          <w:rFonts w:ascii="Arial" w:cs="Arial" w:eastAsia="Arial" w:hAnsi="Arial"/>
          <w:sz w:val="19"/>
          <w:szCs w:val="19"/>
          <w:color w:val="auto"/>
        </w:rPr>
        <w:t>”), Roche will pay Synlogic the milestone payment set forth in Section 5.1.3. Upon the JRC’s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determination that the Success Criteria for Part B2 have been met (including after any Rescue Plan, if applicable) (the “</w:t>
      </w:r>
      <w:r>
        <w:rPr>
          <w:rFonts w:ascii="Arial" w:cs="Arial" w:eastAsia="Arial" w:hAnsi="Arial"/>
          <w:sz w:val="19"/>
          <w:szCs w:val="19"/>
          <w:b w:val="1"/>
          <w:bCs w:val="1"/>
          <w:color w:val="auto"/>
        </w:rPr>
        <w:t>Part B2</w:t>
      </w:r>
      <w:r>
        <w:rPr>
          <w:rFonts w:ascii="Arial" w:cs="Arial" w:eastAsia="Arial" w:hAnsi="Arial"/>
          <w:sz w:val="19"/>
          <w:szCs w:val="19"/>
          <w:color w:val="auto"/>
        </w:rPr>
        <w:t xml:space="preserve"> </w:t>
      </w:r>
      <w:r>
        <w:rPr>
          <w:rFonts w:ascii="Arial" w:cs="Arial" w:eastAsia="Arial" w:hAnsi="Arial"/>
          <w:sz w:val="19"/>
          <w:szCs w:val="19"/>
          <w:b w:val="1"/>
          <w:bCs w:val="1"/>
          <w:color w:val="auto"/>
        </w:rPr>
        <w:t>Payment Trigger Date</w:t>
      </w:r>
      <w:r>
        <w:rPr>
          <w:rFonts w:ascii="Arial" w:cs="Arial" w:eastAsia="Arial" w:hAnsi="Arial"/>
          <w:sz w:val="19"/>
          <w:szCs w:val="19"/>
          <w:color w:val="auto"/>
        </w:rPr>
        <w:t>”, and, together with the Part A Payment Trigger Date and the Part B1 Payment Trigger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Payment Trigger Dates</w:t>
      </w:r>
      <w:r>
        <w:rPr>
          <w:rFonts w:ascii="Arial" w:cs="Arial" w:eastAsia="Arial" w:hAnsi="Arial"/>
          <w:sz w:val="19"/>
          <w:szCs w:val="19"/>
          <w:color w:val="auto"/>
        </w:rPr>
        <w:t>”), Roche will pay Synlogic the milestone payment set forth in Section 5.1.4.</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Rescue Plan</w:t>
      </w:r>
    </w:p>
    <w:p>
      <w:pPr>
        <w:spacing w:after="0" w:line="24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With respect to each of Part A, Part B1, and Part B2 of the Study Plan, if, following the Provision Date, the JRC determines that the Success Criteria have not been met for such Part (a “</w:t>
      </w:r>
      <w:r>
        <w:rPr>
          <w:rFonts w:ascii="Arial" w:cs="Arial" w:eastAsia="Arial" w:hAnsi="Arial"/>
          <w:sz w:val="20"/>
          <w:szCs w:val="20"/>
          <w:b w:val="1"/>
          <w:bCs w:val="1"/>
          <w:color w:val="auto"/>
        </w:rPr>
        <w:t>Success Criteria Failure Determination</w:t>
      </w:r>
      <w:r>
        <w:rPr>
          <w:rFonts w:ascii="Arial" w:cs="Arial" w:eastAsia="Arial" w:hAnsi="Arial"/>
          <w:sz w:val="20"/>
          <w:szCs w:val="20"/>
          <w:color w:val="auto"/>
        </w:rPr>
        <w:t>”), then within [***] days after the Provision Date (“</w:t>
      </w:r>
      <w:r>
        <w:rPr>
          <w:rFonts w:ascii="Arial" w:cs="Arial" w:eastAsia="Arial" w:hAnsi="Arial"/>
          <w:sz w:val="20"/>
          <w:szCs w:val="20"/>
          <w:b w:val="1"/>
          <w:bCs w:val="1"/>
          <w:color w:val="auto"/>
        </w:rPr>
        <w:t>Rescue Plan Decision Period</w:t>
      </w:r>
      <w:r>
        <w:rPr>
          <w:rFonts w:ascii="Arial" w:cs="Arial" w:eastAsia="Arial" w:hAnsi="Arial"/>
          <w:sz w:val="20"/>
          <w:szCs w:val="20"/>
          <w:color w:val="auto"/>
        </w:rPr>
        <w:t>”), Roche may request in writing for the JRC to discuss an additional plan for such Part for additional optimization or experiments to be performed by the Parties with the goal of achieving the Success Criteria for such Part. In the event that the Parties mutually agree on the activities to be conducted pursuant to an additional plan for such Part, then the Parties will document such additional activities in a “</w:t>
      </w:r>
      <w:r>
        <w:rPr>
          <w:rFonts w:ascii="Arial" w:cs="Arial" w:eastAsia="Arial" w:hAnsi="Arial"/>
          <w:sz w:val="20"/>
          <w:szCs w:val="20"/>
          <w:b w:val="1"/>
          <w:bCs w:val="1"/>
          <w:color w:val="auto"/>
        </w:rPr>
        <w:t>Rescue Plan</w:t>
      </w:r>
      <w:r>
        <w:rPr>
          <w:rFonts w:ascii="Arial" w:cs="Arial" w:eastAsia="Arial" w:hAnsi="Arial"/>
          <w:sz w:val="20"/>
          <w:szCs w:val="20"/>
          <w:color w:val="auto"/>
        </w:rPr>
        <w:t>” for such Part, including (i) a list of activities to be conducted by the Parties, (ii) an estimated timeline to conduct such activities, and (iii) the Rescue Plan Costs for such activities, broken down by Party.</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9"/>
          <w:szCs w:val="19"/>
          <w:b w:val="1"/>
          <w:bCs w:val="1"/>
          <w:color w:val="auto"/>
        </w:rPr>
        <w:t>Success Criteria Failure Expiration</w:t>
      </w:r>
    </w:p>
    <w:p>
      <w:pPr>
        <w:spacing w:after="0" w:line="24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9"/>
          <w:szCs w:val="19"/>
          <w:color w:val="auto"/>
        </w:rPr>
        <w:t>Without Rescue Plan</w:t>
      </w:r>
    </w:p>
    <w:p>
      <w:pPr>
        <w:spacing w:after="0" w:line="202" w:lineRule="exact"/>
        <w:rPr>
          <w:sz w:val="20"/>
          <w:szCs w:val="20"/>
          <w:color w:val="auto"/>
        </w:rPr>
      </w:pPr>
    </w:p>
    <w:p>
      <w:pPr>
        <w:jc w:val="both"/>
        <w:ind w:left="960" w:hanging="952"/>
        <w:spacing w:after="0" w:line="229" w:lineRule="auto"/>
        <w:tabs>
          <w:tab w:leader="none" w:pos="9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Success Criteria Failure Determination occurs with respect to Part A or Part B1 on the earlier of, as applicable, (i) the date that the Parties conclude they are unable to agree upon a Rescue Plan, after Roche has made a timely request for a Rescue Plan in accordance with Section 2.8, or (ii), if Roche has failed to make a timely request for a Rescue Plan in accordance with Section 2.8 the expiration of the Rescue Plan Decision Period; provided, however, that Roche may issue the Re-Negotiation Request before the occurrence of the Success Criteria Failure Expiration pursuant to Article 3.</w:t>
      </w:r>
    </w:p>
    <w:p>
      <w:pPr>
        <w:spacing w:after="0" w:line="195" w:lineRule="exact"/>
        <w:rPr>
          <w:rFonts w:ascii="Arial" w:cs="Arial" w:eastAsia="Arial" w:hAnsi="Arial"/>
          <w:sz w:val="20"/>
          <w:szCs w:val="20"/>
          <w:color w:val="auto"/>
        </w:rPr>
      </w:pPr>
    </w:p>
    <w:p>
      <w:pPr>
        <w:jc w:val="both"/>
        <w:ind w:left="960" w:hanging="952"/>
        <w:spacing w:after="0" w:line="230" w:lineRule="auto"/>
        <w:tabs>
          <w:tab w:leader="none" w:pos="9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Success Criteria Failure Determination occurs with respect to Part B2 on the expiration of the Rescue Plan Decision Period (or such earlier time as Roche notifies Synlogic that it will not initiate negotiations of the CLA), if Roche has not initiated negotiations of the CLA, on the expiration of the Rescue Plan Decision Period), and Roche shall not have the right to issue a Re-Negotiation Request.</w:t>
      </w:r>
    </w:p>
    <w:p>
      <w:pPr>
        <w:spacing w:after="0" w:line="198" w:lineRule="exact"/>
        <w:rPr>
          <w:rFonts w:ascii="Arial" w:cs="Arial" w:eastAsia="Arial" w:hAnsi="Arial"/>
          <w:sz w:val="20"/>
          <w:szCs w:val="20"/>
          <w:color w:val="auto"/>
        </w:rPr>
      </w:pPr>
    </w:p>
    <w:p>
      <w:pPr>
        <w:jc w:val="both"/>
        <w:ind w:left="960" w:right="20" w:hanging="952"/>
        <w:spacing w:after="0" w:line="232" w:lineRule="auto"/>
        <w:tabs>
          <w:tab w:leader="none" w:pos="9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Success Criteria Failure Determination occurs with respect to Part B2 on the date that the Parties conclude they are unable to agree upon a Rescue Plan under Section 2.8, if Roche requests a Rescue Plan prior to the end of the Rescue Plan Decision Period.</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19"/>
          <w:szCs w:val="19"/>
          <w:color w:val="auto"/>
        </w:rPr>
        <w:t>With Rescue Plan</w:t>
      </w:r>
    </w:p>
    <w:p>
      <w:pPr>
        <w:spacing w:after="0" w:line="236" w:lineRule="auto"/>
        <w:rPr>
          <w:sz w:val="20"/>
          <w:szCs w:val="20"/>
          <w:color w:val="auto"/>
        </w:rPr>
      </w:pPr>
      <w:r>
        <w:rPr>
          <w:rFonts w:ascii="Arial" w:cs="Arial" w:eastAsia="Arial" w:hAnsi="Arial"/>
          <w:sz w:val="20"/>
          <w:szCs w:val="20"/>
          <w:color w:val="auto"/>
        </w:rPr>
        <w:t>If Roche timely requests a Rescue Plan with respect to either Part A or Part B1 and the Parties agree upon a Rescue Plan, and thereafter it is determined in accordance with Section 2.7.1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92" w:name="page93"/>
    <w:bookmarkEnd w:id="92"/>
    <w:p>
      <w:pPr>
        <w:jc w:val="both"/>
        <w:spacing w:after="0" w:line="230" w:lineRule="auto"/>
        <w:rPr>
          <w:sz w:val="20"/>
          <w:szCs w:val="20"/>
          <w:color w:val="auto"/>
        </w:rPr>
      </w:pPr>
      <w:r>
        <w:rPr>
          <w:rFonts w:ascii="Arial" w:cs="Arial" w:eastAsia="Arial" w:hAnsi="Arial"/>
          <w:sz w:val="20"/>
          <w:szCs w:val="20"/>
          <w:color w:val="auto"/>
        </w:rPr>
        <w:t>the Success Criteria for such Part are not met upon completion of the applicable Rescue Plan, then Success Criteria Failure Expiration shall be deemed to have occurred with respect to such Part on the date that the JRC determines that the Success Criteria have not been met under such Rescue Plan. Notwithstanding the foregoing, if Roche issues a Re-Negotiation Request within [***] days thereafter, then Section 2.10 shall apply.</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9"/>
          <w:szCs w:val="19"/>
          <w:b w:val="1"/>
          <w:bCs w:val="1"/>
          <w:color w:val="auto"/>
        </w:rPr>
        <w:t>Re-Negotiation Request</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Roche has a [***] right prior to the Option Exercise Deadline to issue a written request to re-negotiate the scope of this Agreement (a “</w:t>
      </w:r>
      <w:r>
        <w:rPr>
          <w:rFonts w:ascii="Arial" w:cs="Arial" w:eastAsia="Arial" w:hAnsi="Arial"/>
          <w:sz w:val="20"/>
          <w:szCs w:val="20"/>
          <w:b w:val="1"/>
          <w:bCs w:val="1"/>
          <w:color w:val="auto"/>
        </w:rPr>
        <w:t>Re-Negotiation Request</w:t>
      </w:r>
      <w:r>
        <w:rPr>
          <w:rFonts w:ascii="Arial" w:cs="Arial" w:eastAsia="Arial" w:hAnsi="Arial"/>
          <w:sz w:val="20"/>
          <w:szCs w:val="20"/>
          <w:color w:val="auto"/>
        </w:rPr>
        <w:t>”). If Roche issues a Re-Negotiation Request, then for a period of [***] days thereafter (or until such time as Roche informs Synlogic that it desires to terminate such negotiations, if earlier) (the “</w:t>
      </w:r>
      <w:r>
        <w:rPr>
          <w:rFonts w:ascii="Arial" w:cs="Arial" w:eastAsia="Arial" w:hAnsi="Arial"/>
          <w:sz w:val="20"/>
          <w:szCs w:val="20"/>
          <w:b w:val="1"/>
          <w:bCs w:val="1"/>
          <w:color w:val="auto"/>
        </w:rPr>
        <w:t>Re-Negotiation</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the Parties will negotiate in good faith a new pilot collaboration agreement or other agreement, including a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change of scope for targets other than the Target, the scope of the transaction and the associated economics for such transaction. If the Parties are unable to mutually agree to a new pilot collaboration agreement or other agreement during the [***] day period following the date of the Re-Negotiation Request, then the Parties will have no further obligation under this Section 2.10.</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9"/>
          <w:szCs w:val="19"/>
          <w:b w:val="1"/>
          <w:bCs w:val="1"/>
          <w:color w:val="auto"/>
        </w:rPr>
        <w:t>CLA Negotiations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At any time after the Effective Date but no later than [***] days after the Payment Trigger Date for Part B2 (including provision of any applicable Rescue Plan), Roche may elect to initiate negotiations of the CLA. If Roche initiates such negotiations, the Parties shall negotiate with each other in good faith, which good faith requires adherence to the terms included in the CLA term sheet attached hereto as Appendix 2 (the “</w:t>
      </w:r>
      <w:r>
        <w:rPr>
          <w:rFonts w:ascii="Arial" w:cs="Arial" w:eastAsia="Arial" w:hAnsi="Arial"/>
          <w:sz w:val="20"/>
          <w:szCs w:val="20"/>
          <w:b w:val="1"/>
          <w:bCs w:val="1"/>
          <w:color w:val="auto"/>
        </w:rPr>
        <w:t>CLA Term Sheet</w:t>
      </w:r>
      <w:r>
        <w:rPr>
          <w:rFonts w:ascii="Arial" w:cs="Arial" w:eastAsia="Arial" w:hAnsi="Arial"/>
          <w:sz w:val="20"/>
          <w:szCs w:val="20"/>
          <w:color w:val="auto"/>
        </w:rPr>
        <w:t>”). If the CLA is not executed by the Parties prior to the Option Exercise Deadline, then the Parties will have no further obligations to negotiate with each other (unless Roche has issued a Re-Negotiation Request in accordance with Section 2.10).</w:t>
      </w:r>
    </w:p>
    <w:p>
      <w:pPr>
        <w:spacing w:after="0" w:line="185"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auto"/>
        </w:rPr>
        <w:t>Joint Research Committee</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9"/>
          <w:szCs w:val="19"/>
          <w:color w:val="auto"/>
        </w:rPr>
        <w:t>Establishment of JRC</w:t>
      </w:r>
    </w:p>
    <w:p>
      <w:pPr>
        <w:jc w:val="both"/>
        <w:ind w:right="20"/>
        <w:spacing w:after="0" w:line="236" w:lineRule="auto"/>
        <w:rPr>
          <w:sz w:val="20"/>
          <w:szCs w:val="20"/>
          <w:color w:val="auto"/>
        </w:rPr>
      </w:pPr>
      <w:r>
        <w:rPr>
          <w:rFonts w:ascii="Arial" w:cs="Arial" w:eastAsia="Arial" w:hAnsi="Arial"/>
          <w:sz w:val="20"/>
          <w:szCs w:val="20"/>
          <w:color w:val="auto"/>
        </w:rPr>
        <w:t>As of the Effective Date, the Parties shall establish a JRC to oversee and manage the Pilot Collaboration, Study Plan and/or Rescue Plan, as applicable.</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JRC Members</w:t>
      </w:r>
    </w:p>
    <w:p>
      <w:pPr>
        <w:jc w:val="both"/>
        <w:spacing w:after="0" w:line="228" w:lineRule="auto"/>
        <w:rPr>
          <w:sz w:val="20"/>
          <w:szCs w:val="20"/>
          <w:color w:val="auto"/>
        </w:rPr>
      </w:pPr>
      <w:r>
        <w:rPr>
          <w:rFonts w:ascii="Arial" w:cs="Arial" w:eastAsia="Arial" w:hAnsi="Arial"/>
          <w:sz w:val="20"/>
          <w:szCs w:val="20"/>
          <w:color w:val="auto"/>
        </w:rPr>
        <w:t>The JRC shall be composed of [***] (“</w:t>
      </w:r>
      <w:r>
        <w:rPr>
          <w:rFonts w:ascii="Arial" w:cs="Arial" w:eastAsia="Arial" w:hAnsi="Arial"/>
          <w:sz w:val="20"/>
          <w:szCs w:val="20"/>
          <w:b w:val="1"/>
          <w:bCs w:val="1"/>
          <w:color w:val="auto"/>
        </w:rPr>
        <w:t>Members</w:t>
      </w:r>
      <w:r>
        <w:rPr>
          <w:rFonts w:ascii="Arial" w:cs="Arial" w:eastAsia="Arial" w:hAnsi="Arial"/>
          <w:sz w:val="20"/>
          <w:szCs w:val="20"/>
          <w:color w:val="auto"/>
        </w:rPr>
        <w:t>”). Roche and Synlogic each shall be entitled to appoint [***] Members with appropriate seniority and functional expertise. Each Party may replace any of its Members and appoint a person to fill the vacancy arising from each such replacement. A Party that replaces a Member shall notify the other Party at least [***] days prior to the next scheduled meeting of the JRC. Both Parties shall use reasonable efforts to keep an appropriate level of continuity in representation. Both Parties may invite a reasonable number of additional experts and/or advisors to attend part or the whole JRC meeting with prior notification to the JRC. The Alliance Director of each Party may attend the JRC meetings as a permanent participant. Members may be represented at any meeting by another person designated by the absent Member. The JRC shall be chaired by a [***] (“</w:t>
      </w:r>
      <w:r>
        <w:rPr>
          <w:rFonts w:ascii="Arial" w:cs="Arial" w:eastAsia="Arial" w:hAnsi="Arial"/>
          <w:sz w:val="20"/>
          <w:szCs w:val="20"/>
          <w:b w:val="1"/>
          <w:bCs w:val="1"/>
          <w:color w:val="auto"/>
        </w:rPr>
        <w:t>Chairperson</w:t>
      </w:r>
      <w:r>
        <w:rPr>
          <w:rFonts w:ascii="Arial" w:cs="Arial" w:eastAsia="Arial" w:hAnsi="Arial"/>
          <w:sz w:val="20"/>
          <w:szCs w:val="20"/>
          <w:color w:val="auto"/>
        </w:rPr>
        <w:t>”), unless agreed otherwise by the JRC.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3" w:name="page94"/>
    <w:bookmarkEnd w:id="93"/>
    <w:p>
      <w:pPr>
        <w:spacing w:after="0"/>
        <w:tabs>
          <w:tab w:leader="none" w:pos="84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color w:val="auto"/>
        </w:rPr>
        <w:t>Meetings.</w:t>
      </w:r>
    </w:p>
    <w:p>
      <w:pPr>
        <w:spacing w:after="0" w:line="225" w:lineRule="auto"/>
        <w:rPr>
          <w:sz w:val="20"/>
          <w:szCs w:val="20"/>
          <w:color w:val="auto"/>
        </w:rPr>
      </w:pPr>
      <w:r>
        <w:rPr>
          <w:rFonts w:ascii="Arial" w:cs="Arial" w:eastAsia="Arial" w:hAnsi="Arial"/>
          <w:sz w:val="20"/>
          <w:szCs w:val="20"/>
          <w:color w:val="auto"/>
        </w:rPr>
        <w:t>The format (virtual or in person) and venue for the meetings shall be agreed by the JRC. The JRC will meet at least once every</w:t>
      </w:r>
    </w:p>
    <w:p>
      <w:pPr>
        <w:jc w:val="both"/>
        <w:ind w:firstLine="8"/>
        <w:spacing w:after="0" w:line="225" w:lineRule="auto"/>
        <w:tabs>
          <w:tab w:leader="none" w:pos="413" w:val="left"/>
        </w:tabs>
        <w:numPr>
          <w:ilvl w:val="0"/>
          <w:numId w:val="72"/>
        </w:numPr>
        <w:rPr>
          <w:rFonts w:ascii="Arial" w:cs="Arial" w:eastAsia="Arial" w:hAnsi="Arial"/>
          <w:sz w:val="20"/>
          <w:szCs w:val="20"/>
          <w:color w:val="auto"/>
        </w:rPr>
      </w:pPr>
      <w:r>
        <w:rPr>
          <w:rFonts w:ascii="Arial" w:cs="Arial" w:eastAsia="Arial" w:hAnsi="Arial"/>
          <w:sz w:val="20"/>
          <w:szCs w:val="20"/>
          <w:color w:val="auto"/>
        </w:rPr>
        <w:t>months or as agreed by the JRC to plan, review and discuss the progress of the Pilot Collaboration. Notwithstanding the foregoing, in any case where a matter within the JRC’s authority arises, the JRC will convene a meeting, either virtually or in person, and consider such matter as soon as reasonably practicable, but in no event later than [***] days after the matter is first brought to the JRC’s attention (or, if earlier, at the next regularly scheduled JRC meeting). Alternatively, the JRC may decide to take decisions by email.).</w:t>
      </w:r>
    </w:p>
    <w:p>
      <w:pPr>
        <w:spacing w:after="0" w:line="1" w:lineRule="exact"/>
        <w:rPr>
          <w:rFonts w:ascii="Arial" w:cs="Arial" w:eastAsia="Arial" w:hAnsi="Arial"/>
          <w:sz w:val="20"/>
          <w:szCs w:val="20"/>
          <w:color w:val="auto"/>
        </w:rPr>
      </w:pPr>
    </w:p>
    <w:p>
      <w:pPr>
        <w:spacing w:after="0" w:line="237" w:lineRule="auto"/>
        <w:rPr>
          <w:rFonts w:ascii="Arial" w:cs="Arial" w:eastAsia="Arial" w:hAnsi="Arial"/>
          <w:sz w:val="20"/>
          <w:szCs w:val="20"/>
          <w:color w:val="auto"/>
        </w:rPr>
      </w:pPr>
      <w:r>
        <w:rPr>
          <w:rFonts w:ascii="Arial" w:cs="Arial" w:eastAsia="Arial" w:hAnsi="Arial"/>
          <w:sz w:val="20"/>
          <w:szCs w:val="20"/>
          <w:color w:val="auto"/>
        </w:rPr>
        <w:t>3.1.4</w:t>
      </w:r>
      <w:r>
        <w:rPr>
          <w:rFonts w:ascii="Arial" w:cs="Arial" w:eastAsia="Arial" w:hAnsi="Arial"/>
          <w:sz w:val="19"/>
          <w:szCs w:val="19"/>
          <w:color w:val="auto"/>
        </w:rPr>
        <w:t>Responsibilities of JRC.</w:t>
      </w:r>
    </w:p>
    <w:p>
      <w:pPr>
        <w:spacing w:after="0"/>
        <w:rPr>
          <w:rFonts w:ascii="Arial" w:cs="Arial" w:eastAsia="Arial" w:hAnsi="Arial"/>
          <w:sz w:val="20"/>
          <w:szCs w:val="20"/>
          <w:color w:val="auto"/>
        </w:rPr>
      </w:pPr>
      <w:r>
        <w:rPr>
          <w:rFonts w:ascii="Arial" w:cs="Arial" w:eastAsia="Arial" w:hAnsi="Arial"/>
          <w:sz w:val="20"/>
          <w:szCs w:val="20"/>
          <w:color w:val="auto"/>
        </w:rPr>
        <w:t>The JRC shall have the responsibility and authority to:</w:t>
      </w:r>
    </w:p>
    <w:p>
      <w:pPr>
        <w:spacing w:after="0" w:line="94" w:lineRule="exact"/>
        <w:rPr>
          <w:sz w:val="20"/>
          <w:szCs w:val="20"/>
          <w:color w:val="auto"/>
        </w:rPr>
      </w:pPr>
    </w:p>
    <w:p>
      <w:pPr>
        <w:jc w:val="both"/>
        <w:ind w:left="660" w:hanging="652"/>
        <w:spacing w:after="0" w:line="230"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review and oversee the execution of the Study Plan and/or Rescue Plan, as applicable, for the Pilot Collaboration, including the Success Criteria for each Part, the work to be performed by Synlogic and/or Roche, the Material(s) to be provided by Roche to Synlogic and by Synlogic to Roche, respectively, and the expected deliverables and data packages to be provided by each Party during the Pilot Collaboration;</w:t>
      </w:r>
    </w:p>
    <w:p>
      <w:pPr>
        <w:spacing w:after="0" w:line="90"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review the efforts of the Parties under the Pilot Collaboration;</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discuss appropriate resources necessary to conduct the Rescue Plan, as applicable;</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establish, oversee and set expectations and mandates for the JOT;</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recommend action items to each Party’s respective decision making bodies;</w:t>
      </w:r>
    </w:p>
    <w:p>
      <w:pPr>
        <w:spacing w:after="0" w:line="94" w:lineRule="exact"/>
        <w:rPr>
          <w:rFonts w:ascii="Arial" w:cs="Arial" w:eastAsia="Arial" w:hAnsi="Arial"/>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attempt to resolve any disputes on an informal basis; and</w:t>
      </w:r>
    </w:p>
    <w:p>
      <w:pPr>
        <w:spacing w:after="0" w:line="94" w:lineRule="exact"/>
        <w:rPr>
          <w:rFonts w:ascii="Arial" w:cs="Arial" w:eastAsia="Arial" w:hAnsi="Arial"/>
          <w:sz w:val="20"/>
          <w:szCs w:val="20"/>
          <w:color w:val="auto"/>
        </w:rPr>
      </w:pPr>
    </w:p>
    <w:p>
      <w:pPr>
        <w:ind w:left="660" w:right="20" w:hanging="652"/>
        <w:spacing w:after="0" w:line="236"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make minor consensual changes to the Study Plan, provided that such changes do not affect Deliverables, Success Criteria and timelines and budget.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The JRC shall have no responsibility and authority other than that expressly set forth in this Section 3.1.4.</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b w:val="1"/>
          <w:bCs w:val="1"/>
          <w:color w:val="auto"/>
        </w:rPr>
        <w:t>Joint Operation Team</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The JRC shall establish a JOT with respect to the day-to-day conduct of certain activities under the Study Plan or any Rescue Plan. The JOT shall be composed of representatives designated by each Party. Representatives must be appropriate for the tasks then being undertaken and the stage of research or pre-clinical development, in terms of their seniority, availability, function in their respective organizations, training and experience. Each Party shall designate one of its representatives as its primary JOT contact. Each Party may replace its representatives from time to time upon written notice to the other Party;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if a Party’s representative is unable to attend a meeting, such Party may designate a knowledgeable</w:t>
      </w:r>
      <w:r>
        <w:rPr>
          <w:rFonts w:ascii="Arial" w:cs="Arial" w:eastAsia="Arial" w:hAnsi="Arial"/>
          <w:sz w:val="20"/>
          <w:szCs w:val="20"/>
          <w:i w:val="1"/>
          <w:iCs w:val="1"/>
          <w:color w:val="auto"/>
        </w:rPr>
        <w:t xml:space="preserve"> </w:t>
      </w:r>
      <w:r>
        <w:rPr>
          <w:rFonts w:ascii="Arial" w:cs="Arial" w:eastAsia="Arial" w:hAnsi="Arial"/>
          <w:sz w:val="20"/>
          <w:szCs w:val="20"/>
          <w:color w:val="auto"/>
        </w:rPr>
        <w:t>alternate to attend such meeting and perform the functions of such representative. The JOT will be responsible for overseeing the day-to-day execution of the Study Plan and for reviewing the Parties’ progress thereunder, subject to the oversight by the JRC. The JOT shall meet at least monthly by audio or video teleconference or as otherwise agreed by the JOT. For the avoidance of doubt, the JOT is not a decision-making body.</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9"/>
          <w:szCs w:val="19"/>
          <w:b w:val="1"/>
          <w:bCs w:val="1"/>
          <w:color w:val="auto"/>
        </w:rPr>
        <w:t>Dispute Resolution</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JRC shall operate by consensus, with each of the [***] of each Party having collectively [***]. In the event consensus cannot be reached, the following rules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94" w:name="page95"/>
    <w:bookmarkEnd w:id="94"/>
    <w:p>
      <w:pPr>
        <w:ind w:left="540" w:right="20" w:hanging="532"/>
        <w:spacing w:after="0" w:line="236" w:lineRule="auto"/>
        <w:tabs>
          <w:tab w:leader="none" w:pos="5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 the event of a dispute over whether the Part A or Part B1 Success Criteria have been met, then Roche shall have the final say, which shall be made in good faith;</w:t>
      </w:r>
    </w:p>
    <w:p>
      <w:pPr>
        <w:spacing w:after="0" w:line="195" w:lineRule="exact"/>
        <w:rPr>
          <w:rFonts w:ascii="Arial" w:cs="Arial" w:eastAsia="Arial" w:hAnsi="Arial"/>
          <w:sz w:val="20"/>
          <w:szCs w:val="20"/>
          <w:color w:val="auto"/>
        </w:rPr>
      </w:pPr>
    </w:p>
    <w:p>
      <w:pPr>
        <w:ind w:left="540" w:right="20" w:hanging="532"/>
        <w:spacing w:after="0" w:line="236" w:lineRule="auto"/>
        <w:tabs>
          <w:tab w:leader="none" w:pos="5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 the event of a dispute over whether the Part B2 Success Criteria have been met, then the matter will be escalated to the respective designated Executive Officer for each Party for a good faith resolution.</w:t>
      </w:r>
    </w:p>
    <w:p>
      <w:pPr>
        <w:spacing w:after="0" w:line="195" w:lineRule="exact"/>
        <w:rPr>
          <w:rFonts w:ascii="Arial" w:cs="Arial" w:eastAsia="Arial" w:hAnsi="Arial"/>
          <w:sz w:val="20"/>
          <w:szCs w:val="20"/>
          <w:color w:val="auto"/>
        </w:rPr>
      </w:pPr>
    </w:p>
    <w:p>
      <w:pPr>
        <w:jc w:val="both"/>
        <w:ind w:left="540"/>
        <w:spacing w:after="0" w:line="227" w:lineRule="auto"/>
        <w:rPr>
          <w:rFonts w:ascii="Arial" w:cs="Arial" w:eastAsia="Arial" w:hAnsi="Arial"/>
          <w:sz w:val="20"/>
          <w:szCs w:val="20"/>
          <w:color w:val="auto"/>
        </w:rPr>
      </w:pPr>
      <w:r>
        <w:rPr>
          <w:rFonts w:ascii="Arial" w:cs="Arial" w:eastAsia="Arial" w:hAnsi="Arial"/>
          <w:sz w:val="20"/>
          <w:szCs w:val="20"/>
          <w:color w:val="auto"/>
        </w:rPr>
        <w:t>If the Executive Officers are unable to resolve the matter within [***] days of such referral, then such dispute shall be resolved by the Expert Committee as follows: Roche will select one (1) Expert, Synlogic will select one (1) Expert, and those two (2) Experts shall select the Expert, who shall then be chairman of a committee of the three (3) Experts (the “</w:t>
      </w:r>
      <w:r>
        <w:rPr>
          <w:rFonts w:ascii="Arial" w:cs="Arial" w:eastAsia="Arial" w:hAnsi="Arial"/>
          <w:sz w:val="20"/>
          <w:szCs w:val="20"/>
          <w:b w:val="1"/>
          <w:bCs w:val="1"/>
          <w:color w:val="auto"/>
        </w:rPr>
        <w:t>Expert Committee</w:t>
      </w:r>
      <w:r>
        <w:rPr>
          <w:rFonts w:ascii="Arial" w:cs="Arial" w:eastAsia="Arial" w:hAnsi="Arial"/>
          <w:sz w:val="20"/>
          <w:szCs w:val="20"/>
          <w:color w:val="auto"/>
        </w:rPr>
        <w:t>”), each with a single deciding vote. The Expert Committee will promptly hold a meeting to review the issue under review, at which meeting it will consider memoranda based on the data package for Part B2 submitted by each Party at least [***] days before the meeting, as well as reasonable additional arguments that each Party may present at the meeting. The Expert Committee shall then within [***] days after the meeting, make a determination on such dispute. The determination of the Expert Committee as to the dispute under review will be binding on both Parties. The Parties will share equally in the costs of the Expert Committee. Unless otherwise agreed to by the Parties, the Expert Committee may not decide on issues outside the scope mandated under terms of this Agreement.</w:t>
      </w:r>
    </w:p>
    <w:p>
      <w:pPr>
        <w:spacing w:after="0" w:line="200" w:lineRule="exact"/>
        <w:rPr>
          <w:rFonts w:ascii="Arial" w:cs="Arial" w:eastAsia="Arial" w:hAnsi="Arial"/>
          <w:sz w:val="20"/>
          <w:szCs w:val="20"/>
          <w:color w:val="auto"/>
        </w:rPr>
      </w:pPr>
    </w:p>
    <w:p>
      <w:pPr>
        <w:ind w:left="540" w:hanging="532"/>
        <w:spacing w:after="0"/>
        <w:tabs>
          <w:tab w:leader="none" w:pos="5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Other than a dispute over whether the Success Criteria have been met,</w:t>
      </w:r>
    </w:p>
    <w:p>
      <w:pPr>
        <w:spacing w:after="0" w:line="202" w:lineRule="exact"/>
        <w:rPr>
          <w:rFonts w:ascii="Arial" w:cs="Arial" w:eastAsia="Arial" w:hAnsi="Arial"/>
          <w:sz w:val="20"/>
          <w:szCs w:val="20"/>
          <w:color w:val="auto"/>
        </w:rPr>
      </w:pPr>
    </w:p>
    <w:p>
      <w:pPr>
        <w:ind w:left="1300" w:hanging="442"/>
        <w:spacing w:after="0"/>
        <w:tabs>
          <w:tab w:leader="none" w:pos="13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300" w:hanging="442"/>
        <w:spacing w:after="0"/>
        <w:tabs>
          <w:tab w:leader="none" w:pos="13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b w:val="1"/>
          <w:bCs w:val="1"/>
          <w:color w:val="auto"/>
        </w:rPr>
        <w:t>Alliance Director</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appoint one person to be its point of contact with responsibility for facilitating communication and collaboration between the Parties (each, an “</w:t>
      </w:r>
      <w:r>
        <w:rPr>
          <w:rFonts w:ascii="Arial" w:cs="Arial" w:eastAsia="Arial" w:hAnsi="Arial"/>
          <w:sz w:val="20"/>
          <w:szCs w:val="20"/>
          <w:b w:val="1"/>
          <w:bCs w:val="1"/>
          <w:color w:val="auto"/>
        </w:rPr>
        <w:t>Alliance Director</w:t>
      </w:r>
      <w:r>
        <w:rPr>
          <w:rFonts w:ascii="Arial" w:cs="Arial" w:eastAsia="Arial" w:hAnsi="Arial"/>
          <w:sz w:val="20"/>
          <w:szCs w:val="20"/>
          <w:color w:val="auto"/>
        </w:rPr>
        <w:t>”). The Alliance Directors shall be permanent participants of the JRC meetings (but not members of the JRC) and may attend JOT meetings as appropriate. The Alliance Directors shall facilitate resolution of potential and pending issues and potential disputes to enable the JRC to reach consensus and avert escalation of such issues or potential disputes.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9"/>
          <w:szCs w:val="19"/>
          <w:b w:val="1"/>
          <w:bCs w:val="1"/>
          <w:color w:val="auto"/>
        </w:rPr>
        <w:t>Limitations of Authority</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JRC, the JOT or any other committee shall have no authority to amend or waive any terms of this Agreement, nor shall the JRC, the JOT or any other committee have the authority to determine whether a Party is in breach of this Agreement.</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9"/>
          <w:szCs w:val="19"/>
          <w:b w:val="1"/>
          <w:bCs w:val="1"/>
          <w:color w:val="auto"/>
        </w:rPr>
        <w:t>Expenses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Each Party shall be responsible for its own expenses including travel and accommodation costs incurred in connection with the JRC, the JOT or any other committee.</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9"/>
          <w:szCs w:val="19"/>
          <w:b w:val="1"/>
          <w:bCs w:val="1"/>
          <w:color w:val="auto"/>
        </w:rPr>
        <w:t>Lifetime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JRC shall exist until the completion of the Pilot Collaboration, unless otherwise agreed in the CLA. The JOT shall exist until the completion of the Pilot Collaboration.</w:t>
      </w:r>
    </w:p>
    <w:p>
      <w:pPr>
        <w:spacing w:after="0" w:line="185"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Option Right</w:t>
      </w:r>
    </w:p>
    <w:p>
      <w:pPr>
        <w:spacing w:after="0" w:line="1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Synlogic hereby grants Roche an exclusive option right (“</w:t>
      </w:r>
      <w:r>
        <w:rPr>
          <w:rFonts w:ascii="Arial" w:cs="Arial" w:eastAsia="Arial" w:hAnsi="Arial"/>
          <w:sz w:val="20"/>
          <w:szCs w:val="20"/>
          <w:b w:val="1"/>
          <w:bCs w:val="1"/>
          <w:color w:val="auto"/>
        </w:rPr>
        <w:t>Option Right</w:t>
      </w:r>
      <w:r>
        <w:rPr>
          <w:rFonts w:ascii="Arial" w:cs="Arial" w:eastAsia="Arial" w:hAnsi="Arial"/>
          <w:sz w:val="20"/>
          <w:szCs w:val="20"/>
          <w:color w:val="auto"/>
        </w:rPr>
        <w:t>”) which, if exercised by Roche, shall grant to Roche the rights and licenses set forth in the definitive CLA negotiated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95" w:name="page96"/>
    <w:bookmarkEnd w:id="95"/>
    <w:p>
      <w:pPr>
        <w:ind w:right="20"/>
        <w:spacing w:after="0" w:line="236" w:lineRule="auto"/>
        <w:rPr>
          <w:sz w:val="20"/>
          <w:szCs w:val="20"/>
          <w:color w:val="auto"/>
        </w:rPr>
      </w:pPr>
      <w:r>
        <w:rPr>
          <w:rFonts w:ascii="Arial" w:cs="Arial" w:eastAsia="Arial" w:hAnsi="Arial"/>
          <w:sz w:val="20"/>
          <w:szCs w:val="20"/>
          <w:color w:val="auto"/>
        </w:rPr>
        <w:t>executed in accordance with Section 2.11. Roche may exercise its Option Right at any time prior to the Option Exercise Deadline. “</w:t>
      </w:r>
      <w:r>
        <w:rPr>
          <w:rFonts w:ascii="Arial" w:cs="Arial" w:eastAsia="Arial" w:hAnsi="Arial"/>
          <w:sz w:val="20"/>
          <w:szCs w:val="20"/>
          <w:b w:val="1"/>
          <w:bCs w:val="1"/>
          <w:color w:val="auto"/>
        </w:rPr>
        <w:t>Option Exercise Deadline</w:t>
      </w:r>
      <w:r>
        <w:rPr>
          <w:rFonts w:ascii="Arial" w:cs="Arial" w:eastAsia="Arial" w:hAnsi="Arial"/>
          <w:sz w:val="20"/>
          <w:szCs w:val="20"/>
          <w:color w:val="auto"/>
        </w:rPr>
        <w:t>” shall mean the earliest of:</w:t>
      </w:r>
    </w:p>
    <w:p>
      <w:pPr>
        <w:spacing w:after="0" w:line="196" w:lineRule="exact"/>
        <w:rPr>
          <w:sz w:val="20"/>
          <w:szCs w:val="20"/>
          <w:color w:val="auto"/>
        </w:rPr>
      </w:pPr>
    </w:p>
    <w:p>
      <w:pPr>
        <w:ind w:left="860" w:hanging="852"/>
        <w:spacing w:after="0"/>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expiration or termination of this Agreement, or</w:t>
      </w:r>
    </w:p>
    <w:p>
      <w:pPr>
        <w:spacing w:after="0" w:line="202" w:lineRule="exact"/>
        <w:rPr>
          <w:rFonts w:ascii="Arial" w:cs="Arial" w:eastAsia="Arial" w:hAnsi="Arial"/>
          <w:sz w:val="20"/>
          <w:szCs w:val="20"/>
          <w:color w:val="auto"/>
        </w:rPr>
      </w:pPr>
    </w:p>
    <w:p>
      <w:pPr>
        <w:ind w:left="860" w:hanging="852"/>
        <w:spacing w:after="0"/>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 anniversary of the Effective Date if the Success Criteria for Part A have not been achieved by such date, or</w:t>
      </w:r>
    </w:p>
    <w:p>
      <w:pPr>
        <w:spacing w:after="0" w:line="202" w:lineRule="exact"/>
        <w:rPr>
          <w:rFonts w:ascii="Arial" w:cs="Arial" w:eastAsia="Arial" w:hAnsi="Arial"/>
          <w:sz w:val="20"/>
          <w:szCs w:val="20"/>
          <w:color w:val="auto"/>
        </w:rPr>
      </w:pPr>
    </w:p>
    <w:p>
      <w:pPr>
        <w:ind w:left="960" w:hanging="952"/>
        <w:spacing w:after="0" w:line="236" w:lineRule="auto"/>
        <w:tabs>
          <w:tab w:leader="none" w:pos="9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 anniversary of the date of the Payment Trigger Date for Part A if the Success Criteria for Part B1 have not been achieved by such date, or</w:t>
      </w:r>
    </w:p>
    <w:p>
      <w:pPr>
        <w:spacing w:after="0" w:line="195" w:lineRule="exact"/>
        <w:rPr>
          <w:rFonts w:ascii="Arial" w:cs="Arial" w:eastAsia="Arial" w:hAnsi="Arial"/>
          <w:sz w:val="20"/>
          <w:szCs w:val="20"/>
          <w:color w:val="auto"/>
        </w:rPr>
      </w:pPr>
    </w:p>
    <w:p>
      <w:pPr>
        <w:jc w:val="both"/>
        <w:ind w:left="860" w:hanging="852"/>
        <w:spacing w:after="0" w:line="230" w:lineRule="auto"/>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(i) [***] days after the Provision Date for Part B2 (including provision of any applicable Rescue Plan), [***] days after the end of the Rescue Plan Decision Period for Part B2 where (A) the Success Criteria have not been met for Part B2 and (B) prior to the end of the Rescue Plan Decision Period, if Roche has not yet requested a Rescue Plan but has initiated negotiations of the CLA, or</w:t>
      </w:r>
    </w:p>
    <w:p>
      <w:pPr>
        <w:spacing w:after="0" w:line="198" w:lineRule="exact"/>
        <w:rPr>
          <w:rFonts w:ascii="Arial" w:cs="Arial" w:eastAsia="Arial" w:hAnsi="Arial"/>
          <w:sz w:val="20"/>
          <w:szCs w:val="20"/>
          <w:color w:val="auto"/>
        </w:rPr>
      </w:pPr>
    </w:p>
    <w:p>
      <w:pPr>
        <w:ind w:left="860" w:hanging="852"/>
        <w:spacing w:after="0" w:line="236" w:lineRule="auto"/>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date Roche informs Synlogic that it will not initiate negotiations of the CLA or desires to terminate negotiations of the CLA, or</w:t>
      </w:r>
    </w:p>
    <w:p>
      <w:pPr>
        <w:spacing w:after="0" w:line="195" w:lineRule="exact"/>
        <w:rPr>
          <w:rFonts w:ascii="Arial" w:cs="Arial" w:eastAsia="Arial" w:hAnsi="Arial"/>
          <w:sz w:val="20"/>
          <w:szCs w:val="20"/>
          <w:color w:val="auto"/>
        </w:rPr>
      </w:pPr>
    </w:p>
    <w:p>
      <w:pPr>
        <w:jc w:val="both"/>
        <w:ind w:left="860" w:hanging="852"/>
        <w:spacing w:after="0" w:line="228" w:lineRule="auto"/>
        <w:tabs>
          <w:tab w:leader="none" w:pos="8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On the [***] anniversary of the Payment Trigger Date for Part B1, provided that if the Study Plan timelines for Part B2 have not been met because of any Material Delay, the Option Exercise Deadline will be extended by the additional days needed to enable the Party performing the relevant activities to remedy such Material Delay and to complete its activities for Part B2 for the applicable Rescue Plan or Study Plan. The duration of such timeline extension shall be agreed upon by the JRC in good faith. In the event of a dispute over whether a timeline extension is appropriate, the Party performing the activities for which the time extension is necessary, shall have the final say, which must be made in good faith.</w:t>
      </w:r>
    </w:p>
    <w:p>
      <w:pPr>
        <w:spacing w:after="0" w:line="161"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Payments by Roche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In consideration of Synlogic’s contribution to the Pilot Collaboration, Roche shall make the following payments:</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Upfront and Milestone Payments</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9"/>
          <w:szCs w:val="19"/>
          <w:color w:val="auto"/>
        </w:rPr>
        <w:t>Upfront</w:t>
      </w:r>
    </w:p>
    <w:p>
      <w:pPr>
        <w:ind w:right="20"/>
        <w:spacing w:after="0" w:line="236" w:lineRule="auto"/>
        <w:rPr>
          <w:sz w:val="20"/>
          <w:szCs w:val="20"/>
          <w:color w:val="auto"/>
        </w:rPr>
      </w:pPr>
      <w:r>
        <w:rPr>
          <w:rFonts w:ascii="Arial" w:cs="Arial" w:eastAsia="Arial" w:hAnsi="Arial"/>
          <w:sz w:val="20"/>
          <w:szCs w:val="20"/>
          <w:color w:val="auto"/>
        </w:rPr>
        <w:t>Roche shall pay an upfront of one million US dollars (US$ 1,000,000), due [***] days from the Effective Date and receipt of an invoice from Synlogic.</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9"/>
          <w:szCs w:val="19"/>
          <w:color w:val="auto"/>
        </w:rPr>
        <w:t>Part A Milestone Payment</w:t>
      </w:r>
    </w:p>
    <w:p>
      <w:pPr>
        <w:spacing w:after="0" w:line="236" w:lineRule="auto"/>
        <w:rPr>
          <w:sz w:val="20"/>
          <w:szCs w:val="20"/>
          <w:color w:val="auto"/>
        </w:rPr>
      </w:pPr>
      <w:r>
        <w:rPr>
          <w:rFonts w:ascii="Arial" w:cs="Arial" w:eastAsia="Arial" w:hAnsi="Arial"/>
          <w:sz w:val="20"/>
          <w:szCs w:val="20"/>
          <w:color w:val="auto"/>
        </w:rPr>
        <w:t>Roche shall make a milestone payment of [***] for Part A of the Study Plan, due [***] days after the Part A Payment Trigger Date and receipt of an invoice from Synlogic.</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9"/>
          <w:szCs w:val="19"/>
          <w:color w:val="auto"/>
        </w:rPr>
        <w:t>Part B1 Milestone Payment</w:t>
      </w:r>
    </w:p>
    <w:p>
      <w:pPr>
        <w:spacing w:after="0" w:line="236" w:lineRule="auto"/>
        <w:rPr>
          <w:sz w:val="20"/>
          <w:szCs w:val="20"/>
          <w:color w:val="auto"/>
        </w:rPr>
      </w:pPr>
      <w:r>
        <w:rPr>
          <w:rFonts w:ascii="Arial" w:cs="Arial" w:eastAsia="Arial" w:hAnsi="Arial"/>
          <w:sz w:val="20"/>
          <w:szCs w:val="20"/>
          <w:color w:val="auto"/>
        </w:rPr>
        <w:t>Roche shall make a milestone payment of [***] for Part B1 of the Study Plan, due [***] days after the Part B1 Payment Trigger Date and receipt of an invoice from Synlogic.</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9"/>
          <w:szCs w:val="19"/>
          <w:color w:val="auto"/>
        </w:rPr>
        <w:t>Part B2 Milestone Payment</w:t>
      </w:r>
    </w:p>
    <w:p>
      <w:pPr>
        <w:spacing w:after="0" w:line="236" w:lineRule="auto"/>
        <w:rPr>
          <w:sz w:val="20"/>
          <w:szCs w:val="20"/>
          <w:color w:val="auto"/>
        </w:rPr>
      </w:pPr>
      <w:r>
        <w:rPr>
          <w:rFonts w:ascii="Arial" w:cs="Arial" w:eastAsia="Arial" w:hAnsi="Arial"/>
          <w:sz w:val="20"/>
          <w:szCs w:val="20"/>
          <w:color w:val="auto"/>
        </w:rPr>
        <w:t>Roche shall make a milestone payment of [***] for Part B2 of the Study Plan, due [***] days after the Part B2 Payment Trigger Date and receipt of an invoice, unless there is a dispute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6" w:name="page97"/>
    <w:bookmarkEnd w:id="96"/>
    <w:p>
      <w:pPr>
        <w:jc w:val="both"/>
        <w:spacing w:after="0" w:line="236" w:lineRule="auto"/>
        <w:rPr>
          <w:sz w:val="20"/>
          <w:szCs w:val="20"/>
          <w:color w:val="auto"/>
        </w:rPr>
      </w:pPr>
      <w:r>
        <w:rPr>
          <w:rFonts w:ascii="Arial" w:cs="Arial" w:eastAsia="Arial" w:hAnsi="Arial"/>
          <w:sz w:val="20"/>
          <w:szCs w:val="20"/>
          <w:color w:val="auto"/>
        </w:rPr>
        <w:t>whether the Success Criteria have been met which is resolved in Synlogic’s favour, in which case the payment will be deferred until [***] days after resolution of the dispute and receipt of an invoice.</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9"/>
          <w:szCs w:val="19"/>
          <w:color w:val="auto"/>
        </w:rPr>
        <w:t>General</w:t>
      </w:r>
    </w:p>
    <w:p>
      <w:pPr>
        <w:spacing w:after="0"/>
        <w:rPr>
          <w:sz w:val="20"/>
          <w:szCs w:val="20"/>
          <w:color w:val="auto"/>
        </w:rPr>
      </w:pPr>
      <w:r>
        <w:rPr>
          <w:rFonts w:ascii="Arial" w:cs="Arial" w:eastAsia="Arial" w:hAnsi="Arial"/>
          <w:sz w:val="20"/>
          <w:szCs w:val="20"/>
          <w:color w:val="auto"/>
        </w:rPr>
        <w:t>Each payment under this Section 5.1 will be non-refundable and non-creditable.</w:t>
      </w:r>
    </w:p>
    <w:p>
      <w:pPr>
        <w:spacing w:after="0" w:line="17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Research Funding</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19"/>
          <w:szCs w:val="19"/>
          <w:color w:val="auto"/>
        </w:rPr>
        <w:t>Cost Sharing Responsibilities.</w:t>
      </w:r>
    </w:p>
    <w:p>
      <w:pPr>
        <w:jc w:val="both"/>
        <w:spacing w:after="0" w:line="229" w:lineRule="auto"/>
        <w:rPr>
          <w:sz w:val="20"/>
          <w:szCs w:val="20"/>
          <w:color w:val="auto"/>
        </w:rPr>
      </w:pPr>
      <w:r>
        <w:rPr>
          <w:rFonts w:ascii="Arial" w:cs="Arial" w:eastAsia="Arial" w:hAnsi="Arial"/>
          <w:sz w:val="20"/>
          <w:szCs w:val="20"/>
          <w:color w:val="auto"/>
        </w:rPr>
        <w:t>[***]. For any Rescue Plan, Roche will fund [***] percent ([***]%) and Synlogic will fund the remaining [***] percent ([***]%) of all Rescue Plan Costs under the budget related to the activities described under such Rescue Plan (the “</w:t>
      </w:r>
      <w:r>
        <w:rPr>
          <w:rFonts w:ascii="Arial" w:cs="Arial" w:eastAsia="Arial" w:hAnsi="Arial"/>
          <w:sz w:val="20"/>
          <w:szCs w:val="20"/>
          <w:b w:val="1"/>
          <w:bCs w:val="1"/>
          <w:color w:val="auto"/>
        </w:rPr>
        <w:t>Rescue Plan Budget</w:t>
      </w:r>
      <w:r>
        <w:rPr>
          <w:rFonts w:ascii="Arial" w:cs="Arial" w:eastAsia="Arial" w:hAnsi="Arial"/>
          <w:sz w:val="20"/>
          <w:szCs w:val="20"/>
          <w:color w:val="auto"/>
        </w:rPr>
        <w:t>”); provided that such Rescue Plan Costs are incurred pursuant to the Rescue Plan as approved by the JRC. Synlogic shall invoice Roche on a calendar quarterly basis for all Rescue Plan Costs payable to Synlogic by Roche pursuant to the Rescue Plan Budget. Roche shall pay each such invoice within [***] days of receipt thereof.</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5.2.2</w:t>
      </w:r>
      <w:r>
        <w:rPr>
          <w:sz w:val="20"/>
          <w:szCs w:val="20"/>
          <w:color w:val="auto"/>
        </w:rPr>
        <w:tab/>
      </w:r>
      <w:r>
        <w:rPr>
          <w:rFonts w:ascii="Arial" w:cs="Arial" w:eastAsia="Arial" w:hAnsi="Arial"/>
          <w:sz w:val="19"/>
          <w:szCs w:val="19"/>
          <w:color w:val="auto"/>
        </w:rPr>
        <w:t>Excess Rescue Plan Costs.</w:t>
      </w:r>
    </w:p>
    <w:p>
      <w:pPr>
        <w:jc w:val="both"/>
        <w:spacing w:after="0" w:line="230" w:lineRule="auto"/>
        <w:rPr>
          <w:sz w:val="20"/>
          <w:szCs w:val="20"/>
          <w:color w:val="auto"/>
        </w:rPr>
      </w:pPr>
      <w:r>
        <w:rPr>
          <w:rFonts w:ascii="Arial" w:cs="Arial" w:eastAsia="Arial" w:hAnsi="Arial"/>
          <w:sz w:val="20"/>
          <w:szCs w:val="20"/>
          <w:color w:val="auto"/>
        </w:rPr>
        <w:t>Each Party will use Commercially Reasonable Efforts to ensure that the Rescue Plan Costs for a given Calendar Year do not exceed [***] ([***]%) of the agreed Rescue Plan Budget with respect to that year. If either Party’s Rescue Plan Costs exceed [***] ([***]%) of the agreed Rescue Plan Budget for the activities for which such Party is responsible under the Rescue Plan, then such Party shall be solely responsible for any such excess Rescue Plan Costs.</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Invoices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All invoices shall be issued to the following address (or other address as Roche may later provide):</w:t>
      </w:r>
    </w:p>
    <w:p>
      <w:pPr>
        <w:spacing w:after="0" w:line="80" w:lineRule="exact"/>
        <w:rPr>
          <w:sz w:val="20"/>
          <w:szCs w:val="20"/>
          <w:color w:val="auto"/>
        </w:rPr>
      </w:pPr>
    </w:p>
    <w:p>
      <w:pPr>
        <w:ind w:left="2060"/>
        <w:spacing w:after="0"/>
        <w:rPr>
          <w:sz w:val="20"/>
          <w:szCs w:val="20"/>
          <w:color w:val="auto"/>
        </w:rPr>
      </w:pPr>
      <w:r>
        <w:rPr>
          <w:rFonts w:ascii="Arial" w:cs="Arial" w:eastAsia="Arial" w:hAnsi="Arial"/>
          <w:sz w:val="20"/>
          <w:szCs w:val="20"/>
          <w:color w:val="auto"/>
        </w:rPr>
        <w:t>F. Hoffmann-La Roche Ltd</w:t>
      </w:r>
    </w:p>
    <w:p>
      <w:pPr>
        <w:ind w:left="2060"/>
        <w:spacing w:after="0" w:line="225" w:lineRule="auto"/>
        <w:rPr>
          <w:sz w:val="20"/>
          <w:szCs w:val="20"/>
          <w:color w:val="auto"/>
        </w:rPr>
      </w:pPr>
      <w:r>
        <w:rPr>
          <w:rFonts w:ascii="Arial" w:cs="Arial" w:eastAsia="Arial" w:hAnsi="Arial"/>
          <w:sz w:val="20"/>
          <w:szCs w:val="20"/>
          <w:color w:val="auto"/>
        </w:rPr>
        <w:t>Accounts Payable</w:t>
      </w:r>
    </w:p>
    <w:p>
      <w:pPr>
        <w:ind w:left="2060"/>
        <w:spacing w:after="0" w:line="225" w:lineRule="auto"/>
        <w:rPr>
          <w:sz w:val="20"/>
          <w:szCs w:val="20"/>
          <w:color w:val="auto"/>
        </w:rPr>
      </w:pPr>
      <w:r>
        <w:rPr>
          <w:rFonts w:ascii="Arial" w:cs="Arial" w:eastAsia="Arial" w:hAnsi="Arial"/>
          <w:sz w:val="20"/>
          <w:szCs w:val="20"/>
          <w:color w:val="auto"/>
        </w:rPr>
        <w:t>Grenzacherstrasse 124</w:t>
      </w:r>
    </w:p>
    <w:p>
      <w:pPr>
        <w:ind w:left="2060"/>
        <w:spacing w:after="0" w:line="226" w:lineRule="auto"/>
        <w:rPr>
          <w:sz w:val="20"/>
          <w:szCs w:val="20"/>
          <w:color w:val="auto"/>
        </w:rPr>
      </w:pPr>
      <w:r>
        <w:rPr>
          <w:rFonts w:ascii="Arial" w:cs="Arial" w:eastAsia="Arial" w:hAnsi="Arial"/>
          <w:sz w:val="20"/>
          <w:szCs w:val="20"/>
          <w:color w:val="auto"/>
        </w:rPr>
        <w:t>CH-4070 Basel</w:t>
      </w:r>
    </w:p>
    <w:p>
      <w:pPr>
        <w:ind w:left="2060"/>
        <w:spacing w:after="0"/>
        <w:rPr>
          <w:sz w:val="20"/>
          <w:szCs w:val="20"/>
          <w:color w:val="auto"/>
        </w:rPr>
      </w:pPr>
      <w:r>
        <w:rPr>
          <w:rFonts w:ascii="Arial" w:cs="Arial" w:eastAsia="Arial" w:hAnsi="Arial"/>
          <w:sz w:val="20"/>
          <w:szCs w:val="20"/>
          <w:color w:val="auto"/>
        </w:rPr>
        <w:t>Switzerland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Each invoice shall contain:</w:t>
      </w:r>
    </w:p>
    <w:p>
      <w:pPr>
        <w:ind w:left="1280" w:hanging="435"/>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Synlogic’s name, address, VAT number;</w:t>
      </w:r>
    </w:p>
    <w:p>
      <w:pPr>
        <w:ind w:left="1280" w:hanging="435"/>
        <w:spacing w:after="0" w:line="225" w:lineRule="auto"/>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billing details: invoice date, reference to the contract, applicable payment term and a description of the activities for which payment is sought, in reasonable detail;</w:t>
      </w:r>
    </w:p>
    <w:p>
      <w:pPr>
        <w:ind w:left="1280" w:hanging="435"/>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invoice amount and currency;</w:t>
      </w:r>
    </w:p>
    <w:p>
      <w:pPr>
        <w:ind w:left="1280" w:hanging="435"/>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Purchase Order number if provided by Roche;</w:t>
      </w:r>
    </w:p>
    <w:p>
      <w:pPr>
        <w:ind w:left="1280" w:hanging="435"/>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bank account information to which payment shall be made; and</w:t>
      </w:r>
    </w:p>
    <w:p>
      <w:pPr>
        <w:ind w:left="1280" w:hanging="435"/>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name of Roche’s contract manager.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Failure to provide invoices as directed may result in payment delays.</w:t>
      </w:r>
    </w:p>
    <w:p>
      <w:pPr>
        <w:spacing w:after="0" w:line="21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All payments according to this Article 5 made by Roche to Synlogic are net of all present or future taxes, levies, imposts, deductions, charges or withholdings, and all liabilities with respect thereto. According to this, all taxes, fees, duties etc. due by Synlogic shall be paid solely by Synlogic.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payments to be made under this Agreement shall not include value added tax (VAT), if any is due and payable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7" w:name="page98"/>
    <w:bookmarkEnd w:id="97"/>
    <w:p>
      <w:pPr>
        <w:jc w:val="both"/>
        <w:spacing w:after="0" w:line="228" w:lineRule="auto"/>
        <w:rPr>
          <w:sz w:val="20"/>
          <w:szCs w:val="20"/>
          <w:color w:val="auto"/>
        </w:rPr>
      </w:pPr>
      <w:r>
        <w:rPr>
          <w:rFonts w:ascii="Arial" w:cs="Arial" w:eastAsia="Arial" w:hAnsi="Arial"/>
          <w:sz w:val="20"/>
          <w:szCs w:val="20"/>
          <w:color w:val="auto"/>
        </w:rPr>
        <w:t>If any Applicable Law requires the withholding of taxes of any type, levies or other charges with respect to any amounts payable under this Agreement to Synlogic, then Roche shall promptly pay such tax, levy or charge for and on behalf of Synlogic to the proper governmental authority, and shall promptly furnish Synlogic with receipt of payment. Roche shall be entitled to deduct any such tax, levy or charge actually paid from royalty or other payment due to Synlogic or be promptly reimbursed by Synlogic if no further payments are due to Synlogic. Each Party agrees to reasonably assist the other Party in claiming exemption from such deductions or withholdings under double taxation or similar agreement or treaty from time to time in force and in minimizing the amount required to be so withheld or deducted.</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Late Payments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Any payment under this Agreement that is not paid on the thirtieth business day after the date such payment is due shall bear interest, to the extent permitted by Applicable Law, at [***] percentage points above the average one-month Euro Interbank Offered Rate (EURIBOR) (if EURIBOR ceases to exist, then other such short term inter-bank interest rate as deemed suitable by the Parties), as reported by Reuters from time to time, calculated on the number of days such payment is overdue.</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Auditing</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5.5.1</w:t>
      </w:r>
      <w:r>
        <w:rPr>
          <w:sz w:val="20"/>
          <w:szCs w:val="20"/>
          <w:color w:val="auto"/>
        </w:rPr>
        <w:tab/>
      </w:r>
      <w:r>
        <w:rPr>
          <w:rFonts w:ascii="Arial" w:cs="Arial" w:eastAsia="Arial" w:hAnsi="Arial"/>
          <w:sz w:val="19"/>
          <w:szCs w:val="19"/>
          <w:color w:val="auto"/>
        </w:rPr>
        <w:t>Auditing</w:t>
      </w:r>
    </w:p>
    <w:p>
      <w:pPr>
        <w:jc w:val="both"/>
        <w:spacing w:after="0" w:line="228" w:lineRule="auto"/>
        <w:rPr>
          <w:sz w:val="20"/>
          <w:szCs w:val="20"/>
          <w:color w:val="auto"/>
        </w:rPr>
      </w:pPr>
      <w:r>
        <w:rPr>
          <w:rFonts w:ascii="Arial" w:cs="Arial" w:eastAsia="Arial" w:hAnsi="Arial"/>
          <w:sz w:val="20"/>
          <w:szCs w:val="20"/>
          <w:color w:val="auto"/>
        </w:rPr>
        <w:t>Each Party shall keep, and shall require its Affiliates and subcontractors to keep, full, true and accurate books of account containing all particulars that may be necessary for the purpose of calculating all Rescue Plan Costs under this Agreement. Such books of accounts shall be kept at their principal place of business. Each Party (the “</w:t>
      </w:r>
      <w:r>
        <w:rPr>
          <w:rFonts w:ascii="Arial" w:cs="Arial" w:eastAsia="Arial" w:hAnsi="Arial"/>
          <w:sz w:val="20"/>
          <w:szCs w:val="20"/>
          <w:b w:val="1"/>
          <w:bCs w:val="1"/>
          <w:color w:val="auto"/>
        </w:rPr>
        <w:t>Auditing Party</w:t>
      </w:r>
      <w:r>
        <w:rPr>
          <w:rFonts w:ascii="Arial" w:cs="Arial" w:eastAsia="Arial" w:hAnsi="Arial"/>
          <w:sz w:val="20"/>
          <w:szCs w:val="20"/>
          <w:color w:val="auto"/>
        </w:rPr>
        <w:t>”), at its sole cost and expense, shall have the right to engage an internationally recognized independent public accountant reasonably acceptable to the other Party (the “</w:t>
      </w:r>
      <w:r>
        <w:rPr>
          <w:rFonts w:ascii="Arial" w:cs="Arial" w:eastAsia="Arial" w:hAnsi="Arial"/>
          <w:sz w:val="20"/>
          <w:szCs w:val="20"/>
          <w:b w:val="1"/>
          <w:bCs w:val="1"/>
          <w:color w:val="auto"/>
        </w:rPr>
        <w:t>Audited Party</w:t>
      </w:r>
      <w:r>
        <w:rPr>
          <w:rFonts w:ascii="Arial" w:cs="Arial" w:eastAsia="Arial" w:hAnsi="Arial"/>
          <w:sz w:val="20"/>
          <w:szCs w:val="20"/>
          <w:color w:val="auto"/>
        </w:rPr>
        <w:t>”) to perform, on behalf of the auditing Party, an audit of such books and records of such member that are deemed necessary by the independent public accountant to report on the Rescue Plan Costs incurred for the period or periods requested by the auditing Party and the correctness of any financial report or payments made under this Agreement.</w:t>
      </w:r>
    </w:p>
    <w:p>
      <w:pPr>
        <w:spacing w:after="0" w:line="2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Upon timely request and at least [***] working days' prior written notice from the auditing Party, such audit shall be conducted for those countries for which the auditing Party has specifically requested, during regular business hours in such a manner as to not unnecessarily interfere with the audited Party’s normal business activities. Such audit shall be limited to results in the [***] Calendar Years prior to audit notification, and if the auditing Party requests an audit for a given Calendar Year, no additional audits may be conducted for such Calendar Year. If the auditing Party does not request an audit of a given country in a given Calendar Year on or before the [***] anniversary of the end of such Calendar Year, then the auditing Party will be deemed to have accepted the royalty payments and reports for such country in such Calendar Year.</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Such audit shall not be performed more frequently [***] Calendar Year nor more frequently than once with respect to records covering any specific period of time.</w:t>
      </w:r>
    </w:p>
    <w:p>
      <w:pPr>
        <w:spacing w:after="0" w:line="20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All information, data documents and abstracts herein referred to shall be used only for the purpose of verifying Rescue Plan Costs, shall be treated as the audited Party’s Confidential Information subject to the obligations of this Agreement and need neither be retained more than [***] after completion of an audit hereof, if an audit has been requested; nor more than [***] from the end of the Calendar Year to which each shall pertain; nor more than [***] after the date of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8" w:name="page99"/>
    <w:bookmarkEnd w:id="98"/>
    <w:p>
      <w:pPr>
        <w:spacing w:after="0"/>
        <w:tabs>
          <w:tab w:leader="none" w:pos="840" w:val="left"/>
        </w:tabs>
        <w:rPr>
          <w:sz w:val="20"/>
          <w:szCs w:val="20"/>
          <w:color w:val="auto"/>
        </w:rPr>
      </w:pPr>
      <w:r>
        <w:rPr>
          <w:rFonts w:ascii="Arial" w:cs="Arial" w:eastAsia="Arial" w:hAnsi="Arial"/>
          <w:sz w:val="20"/>
          <w:szCs w:val="20"/>
          <w:color w:val="auto"/>
        </w:rPr>
        <w:t>5.5.2</w:t>
      </w:r>
      <w:r>
        <w:rPr>
          <w:sz w:val="20"/>
          <w:szCs w:val="20"/>
          <w:color w:val="auto"/>
        </w:rPr>
        <w:tab/>
      </w:r>
      <w:r>
        <w:rPr>
          <w:rFonts w:ascii="Arial" w:cs="Arial" w:eastAsia="Arial" w:hAnsi="Arial"/>
          <w:sz w:val="19"/>
          <w:szCs w:val="19"/>
          <w:color w:val="auto"/>
        </w:rPr>
        <w:t>Audit Reports</w:t>
      </w:r>
    </w:p>
    <w:p>
      <w:pPr>
        <w:jc w:val="both"/>
        <w:spacing w:after="0" w:line="247" w:lineRule="auto"/>
        <w:rPr>
          <w:sz w:val="20"/>
          <w:szCs w:val="20"/>
          <w:color w:val="auto"/>
        </w:rPr>
      </w:pPr>
      <w:r>
        <w:rPr>
          <w:rFonts w:ascii="Arial" w:cs="Arial" w:eastAsia="Arial" w:hAnsi="Arial"/>
          <w:sz w:val="19"/>
          <w:szCs w:val="19"/>
          <w:color w:val="auto"/>
        </w:rPr>
        <w:t>The auditors shall only state factual findings in the audit reports and shall not interpret this Agreement. The auditors shall share all draft audit findings with the audited Party before sharing such findings with the auditing Party and before the final audit report is issued. The final audit report shall be shared with the audited Party at the same time it is shared with the auditing Party.</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5.5.3</w:t>
      </w:r>
      <w:r>
        <w:rPr>
          <w:sz w:val="20"/>
          <w:szCs w:val="20"/>
          <w:color w:val="auto"/>
        </w:rPr>
        <w:tab/>
      </w:r>
      <w:r>
        <w:rPr>
          <w:rFonts w:ascii="Arial" w:cs="Arial" w:eastAsia="Arial" w:hAnsi="Arial"/>
          <w:sz w:val="19"/>
          <w:szCs w:val="19"/>
          <w:color w:val="auto"/>
        </w:rPr>
        <w:t>Over- or Under-Payment</w:t>
      </w:r>
    </w:p>
    <w:p>
      <w:pPr>
        <w:jc w:val="both"/>
        <w:spacing w:after="0" w:line="230" w:lineRule="auto"/>
        <w:rPr>
          <w:sz w:val="20"/>
          <w:szCs w:val="20"/>
          <w:color w:val="auto"/>
        </w:rPr>
      </w:pPr>
      <w:r>
        <w:rPr>
          <w:rFonts w:ascii="Arial" w:cs="Arial" w:eastAsia="Arial" w:hAnsi="Arial"/>
          <w:sz w:val="20"/>
          <w:szCs w:val="20"/>
          <w:color w:val="auto"/>
        </w:rPr>
        <w:t>If the audit reveals an overpayment, the auditing Party shall reimburse the audited Party for the amount of the overpayment within [***] days. If the audit reveals an underpayment, the audited Party shall reimburse the auditing Party for the amount of the underpayment within [***] days. The audited Party shall pay for the audit costs if the underpayment of the audited Party exceeds [***] percent ([***]%) of the aggregate amount of Rescue Plan Costs owed for the period of the audit.</w:t>
      </w:r>
    </w:p>
    <w:p>
      <w:pPr>
        <w:spacing w:after="0" w:line="188"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Obligation Not to Disclose Confidential Information</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During the term of this Agreement and for a period of [***] years thereafter, the Receiving Party agrees to (i) treat such Confidential Information as confidential with the same standard of care it would its own proprietary information of a like nature, but no less than a reasonable standard of care; (ii) take commercially reasonable precautions to prevent the disclosure of such Confidential Information to any Third Party, and (iii) not use such Confidential Information other than for the purpose of fulfilling its obligations or exercising its rights under this Agreement, without the prior written consent of the Disclosing Party.</w:t>
      </w:r>
    </w:p>
    <w:p>
      <w:pPr>
        <w:spacing w:after="0" w:line="21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Each Receiving Party shall only disclose the Disclosing Party’s Confidential Information to those of its and its Affiliates’ employees, agents, representatives, advisors, Third Party contract research organizations, and potential and actual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investors (collectively, “</w:t>
      </w:r>
      <w:r>
        <w:rPr>
          <w:rFonts w:ascii="Arial" w:cs="Arial" w:eastAsia="Arial" w:hAnsi="Arial"/>
          <w:sz w:val="20"/>
          <w:szCs w:val="20"/>
          <w:b w:val="1"/>
          <w:bCs w:val="1"/>
          <w:color w:val="auto"/>
        </w:rPr>
        <w:t>Representatives</w:t>
      </w:r>
      <w:r>
        <w:rPr>
          <w:rFonts w:ascii="Arial" w:cs="Arial" w:eastAsia="Arial" w:hAnsi="Arial"/>
          <w:sz w:val="20"/>
          <w:szCs w:val="20"/>
          <w:color w:val="auto"/>
        </w:rPr>
        <w:t>”) who (i) with respect to Disclosing Party’s employees and Third Party contract research organizations, have need to know the Confidential Information for the performance of the Study Plan, (ii) are apprised of the confidential nature of the Confidential Information and (iii) are bound to written confidentiality and nondisclosure obligations (or in the case of professional advisors, ethical duties) which are no less restrictive than the terms of this Agreement (but which may be of a shorter duration, if customary). Each Party shall be responsible for any breach of any of the terms of this Agreement by any of its Representatives.</w:t>
      </w:r>
    </w:p>
    <w:p>
      <w:pPr>
        <w:spacing w:after="0" w:line="18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Permitted Disclosure</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the event that Confidential Information of a Disclosing Party is required to be disclosed by a Receiving Party pursuant to law or regulation, by subpoena, judicial or administrative order, the party required to make disclosure shall give timely prior notice (in no event less than [***] days) to the other party to allow that party to assert any exclusions or exemptions that may be available to it under such law or regulation and shall provide reasonable cooperation and assistance to such party in seeking to obtain protection of such Confidential Information. If either Party reasonably concludes that a copy of this Agreement or any disclosure regarding this Agreement must be filed with the United States Securities and Exchange Commission or similar regulatory agency in a country other than the United States, then such Party (the “</w:t>
      </w:r>
      <w:r>
        <w:rPr>
          <w:rFonts w:ascii="Arial" w:cs="Arial" w:eastAsia="Arial" w:hAnsi="Arial"/>
          <w:sz w:val="20"/>
          <w:szCs w:val="20"/>
          <w:b w:val="1"/>
          <w:bCs w:val="1"/>
          <w:color w:val="auto"/>
        </w:rPr>
        <w:t>Filing Party</w:t>
      </w:r>
      <w:r>
        <w:rPr>
          <w:rFonts w:ascii="Arial" w:cs="Arial" w:eastAsia="Arial" w:hAnsi="Arial"/>
          <w:sz w:val="20"/>
          <w:szCs w:val="20"/>
          <w:color w:val="auto"/>
        </w:rPr>
        <w:t>”) will provide the other Party (the ”</w:t>
      </w:r>
      <w:r>
        <w:rPr>
          <w:rFonts w:ascii="Arial" w:cs="Arial" w:eastAsia="Arial" w:hAnsi="Arial"/>
          <w:sz w:val="20"/>
          <w:szCs w:val="20"/>
          <w:b w:val="1"/>
          <w:bCs w:val="1"/>
          <w:color w:val="auto"/>
        </w:rPr>
        <w:t>Non-Filing Party</w:t>
      </w:r>
      <w:r>
        <w:rPr>
          <w:rFonts w:ascii="Arial" w:cs="Arial" w:eastAsia="Arial" w:hAnsi="Arial"/>
          <w:sz w:val="20"/>
          <w:szCs w:val="20"/>
          <w:color w:val="auto"/>
        </w:rPr>
        <w:t>”) with a draft of such disclosure at least [***] prior to its intended publication for the Non-Filing Party’s review if such</w:t>
      </w:r>
      <w:r>
        <w:rPr>
          <w:rFonts w:ascii="Arial" w:cs="Arial" w:eastAsia="Arial" w:hAnsi="Arial"/>
          <w:sz w:val="20"/>
          <w:szCs w:val="20"/>
          <w:b w:val="1"/>
          <w:bCs w:val="1"/>
          <w:color w:val="auto"/>
        </w:rPr>
        <w:t xml:space="preserve"> </w:t>
      </w:r>
      <w:r>
        <w:rPr>
          <w:rFonts w:ascii="Arial" w:cs="Arial" w:eastAsia="Arial" w:hAnsi="Arial"/>
          <w:sz w:val="20"/>
          <w:szCs w:val="20"/>
          <w:color w:val="auto"/>
        </w:rPr>
        <w:t>disclosure is being made in connection with any regularly filed report, including any quarterly (10-Q) or annual (10-K) report, or at least [***] business days prior to its intended publication for all other disclosures. During such period, the Non-Filing Party shall (i) approve the draft disclosure and permit the Filing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99" w:name="page100"/>
    <w:bookmarkEnd w:id="99"/>
    <w:p>
      <w:pPr>
        <w:jc w:val="both"/>
        <w:spacing w:after="0" w:line="232" w:lineRule="auto"/>
        <w:rPr>
          <w:sz w:val="20"/>
          <w:szCs w:val="20"/>
          <w:color w:val="auto"/>
        </w:rPr>
      </w:pPr>
      <w:r>
        <w:rPr>
          <w:rFonts w:ascii="Arial" w:cs="Arial" w:eastAsia="Arial" w:hAnsi="Arial"/>
          <w:sz w:val="20"/>
          <w:szCs w:val="20"/>
          <w:color w:val="auto"/>
        </w:rPr>
        <w:t>issue it, or (ii) contact the Filing Party to discuss modification to the draft disclosure. If the Non-Filing Party asks for modification, then the Filing Party shall make such modification unless the Non-Filing Party is advised by its outside legal counsel in good faith that such disclosure must be made without such modification to comply with applicable law.</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Sharing Date</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Synlogic may not share the results of the Pilot Collaboration with Third Parties prior to the Sharing Date. After the Sharing Date, Synlogic may share the results of the Pilot Collaboration with Third Parties under obligations of confidentiality, however such results may not mention Roche or Roche Affiliates. “</w:t>
      </w:r>
      <w:r>
        <w:rPr>
          <w:rFonts w:ascii="Arial" w:cs="Arial" w:eastAsia="Arial" w:hAnsi="Arial"/>
          <w:sz w:val="19"/>
          <w:szCs w:val="19"/>
          <w:b w:val="1"/>
          <w:bCs w:val="1"/>
          <w:color w:val="auto"/>
        </w:rPr>
        <w:t>Sharing Date</w:t>
      </w:r>
      <w:r>
        <w:rPr>
          <w:rFonts w:ascii="Arial" w:cs="Arial" w:eastAsia="Arial" w:hAnsi="Arial"/>
          <w:sz w:val="19"/>
          <w:szCs w:val="19"/>
          <w:color w:val="auto"/>
        </w:rPr>
        <w:t>” means the later of (i) expiration or termination of this Agreement, (ii) the Re-Negotiation Period, if applicable, and (iii) [***] days after the Option Exercise Deadline pursuant to clause</w:t>
      </w:r>
    </w:p>
    <w:p>
      <w:pPr>
        <w:spacing w:after="0" w:line="1" w:lineRule="exact"/>
        <w:rPr>
          <w:sz w:val="20"/>
          <w:szCs w:val="20"/>
          <w:color w:val="auto"/>
        </w:rPr>
      </w:pPr>
    </w:p>
    <w:p>
      <w:pPr>
        <w:jc w:val="both"/>
        <w:ind w:firstLine="8"/>
        <w:spacing w:after="0" w:line="230" w:lineRule="auto"/>
        <w:tabs>
          <w:tab w:leader="none" w:pos="304" w:val="left"/>
        </w:tabs>
        <w:numPr>
          <w:ilvl w:val="0"/>
          <w:numId w:val="80"/>
        </w:numPr>
        <w:rPr>
          <w:rFonts w:ascii="Arial" w:cs="Arial" w:eastAsia="Arial" w:hAnsi="Arial"/>
          <w:sz w:val="20"/>
          <w:szCs w:val="20"/>
          <w:color w:val="auto"/>
        </w:rPr>
      </w:pPr>
      <w:r>
        <w:rPr>
          <w:rFonts w:ascii="Arial" w:cs="Arial" w:eastAsia="Arial" w:hAnsi="Arial"/>
          <w:sz w:val="20"/>
          <w:szCs w:val="20"/>
          <w:color w:val="auto"/>
        </w:rPr>
        <w:t>of Article 4, provided, however, that in either of (i) or (ii), if the Parties initiate negotiations for the CLA prior to the end of the Sharing Date and eventually successfully enter into the CLA, then the terms of the CLA shall govern when Synlogic may share such results, which point in time shall be no earlier than the end of the [***] (unless mutually agreed by the Parties under the CLA).</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Publication</w:t>
      </w:r>
    </w:p>
    <w:p>
      <w:pPr>
        <w:spacing w:after="0" w:line="10"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With respect to any paper or presentation proposed for disclosure (a) by Roche which includes Confidential Information of Synlogic, or (b) during this Agreement term, by either Party which utilizes information, data, and/or results generated under the Pilot Collaboration or (c) Synlogic, which includes Confidential Information of Roche (such publishing Party in each of clauses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(a)-(c), the “</w:t>
      </w:r>
      <w:r>
        <w:rPr>
          <w:rFonts w:ascii="Arial" w:cs="Arial" w:eastAsia="Arial" w:hAnsi="Arial"/>
          <w:sz w:val="20"/>
          <w:szCs w:val="20"/>
          <w:b w:val="1"/>
          <w:bCs w:val="1"/>
          <w:color w:val="auto"/>
        </w:rPr>
        <w:t>Publishing Party</w:t>
      </w:r>
      <w:r>
        <w:rPr>
          <w:rFonts w:ascii="Arial" w:cs="Arial" w:eastAsia="Arial" w:hAnsi="Arial"/>
          <w:sz w:val="20"/>
          <w:szCs w:val="20"/>
          <w:color w:val="auto"/>
        </w:rPr>
        <w:t>”), the other Party (the “</w:t>
      </w:r>
      <w:r>
        <w:rPr>
          <w:rFonts w:ascii="Arial" w:cs="Arial" w:eastAsia="Arial" w:hAnsi="Arial"/>
          <w:sz w:val="20"/>
          <w:szCs w:val="20"/>
          <w:b w:val="1"/>
          <w:bCs w:val="1"/>
          <w:color w:val="auto"/>
        </w:rPr>
        <w:t>Non-Publishing Party</w:t>
      </w:r>
      <w:r>
        <w:rPr>
          <w:rFonts w:ascii="Arial" w:cs="Arial" w:eastAsia="Arial" w:hAnsi="Arial"/>
          <w:sz w:val="20"/>
          <w:szCs w:val="20"/>
          <w:color w:val="auto"/>
        </w:rPr>
        <w:t xml:space="preserve">”) shall have the right to review any such proposed paper or presentation. The Publishing Party shall submit to the Non-Publishing Party the proposed publication or presentation (including posters, slides, abstracts, manuscripts, marketing materials and written descriptions of oral presentations) at least [***] calendar days prior to the date of submission for publication or the date of presentation, whichever is earlier, of any of such submitted materials. The Non-Publishing Party shall review such submitted materials and respond to the Publishing Party as soon as reasonably possible, but in any case within [***] calendar days ([***] calendar days for abstracts) of receipt thereof. At the option of the Non-Publishing Party, the Publishing Party shall (A) delete from such proposed publication or presentation any Confidential Information of the Non-Publishing Party, and/or (B) delay the date of such submission for publication or the date of such presentation for a period of time sufficiently long (but in no event longer than an additional [***] calendar days) to permit the Non-Publishing Party to prepare and file a patent application for any patentable subject matter in accordance with Section 9.2. Once a publication has been approved by the Non-Publishing Party, the Publishing Party may make subsequent public disclosure of the contents of such publication without the further approval of the Non-Publishing Party; </w:t>
      </w:r>
      <w:r>
        <w:rPr>
          <w:rFonts w:ascii="Arial" w:cs="Arial" w:eastAsia="Arial" w:hAnsi="Arial"/>
          <w:sz w:val="20"/>
          <w:szCs w:val="20"/>
          <w:i w:val="1"/>
          <w:iCs w:val="1"/>
          <w:color w:val="auto"/>
        </w:rPr>
        <w:t>provided</w:t>
      </w:r>
      <w:r>
        <w:rPr>
          <w:rFonts w:ascii="Arial" w:cs="Arial" w:eastAsia="Arial" w:hAnsi="Arial"/>
          <w:sz w:val="20"/>
          <w:szCs w:val="20"/>
          <w:color w:val="auto"/>
        </w:rPr>
        <w:t>, such content is not presented with any new data or information or conclusions and/or in a form or manner that materially alters the understanding of the subject matter therein. Notwithstanding the foregoing, in the case of proposed publication or presentation by a Party during this Agreement term under clause (b) above, neither Party shall submit such publication or make such presentation without the other Party’s prior written consent.</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9"/>
          <w:szCs w:val="19"/>
          <w:b w:val="1"/>
          <w:bCs w:val="1"/>
          <w:color w:val="auto"/>
        </w:rPr>
        <w:t>Return or Destruction of Confidential Information.</w:t>
      </w:r>
    </w:p>
    <w:p>
      <w:pPr>
        <w:spacing w:after="0" w:line="1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Upon the written request of the Disclosing Party, the Receiving Party shall return or destroy all copies of the Confidential Information, provided however, that the Receiving Party may retain one copy of such information in its files for archival purposes. Any electronic back-up tapes or other electronic back-up files that have been created solely by their automatic or routine archiving and back-up procedures shall not be subject to this Section. For clarity, Roche may retain all results and data arising from the performance of the Study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0" w:name="page101"/>
    <w:bookmarkEnd w:id="100"/>
    <w:p>
      <w:pPr>
        <w:ind w:left="520" w:hanging="512"/>
        <w:spacing w:after="0"/>
        <w:tabs>
          <w:tab w:leader="none" w:pos="52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 Change of Control</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9"/>
          <w:szCs w:val="19"/>
          <w:b w:val="1"/>
          <w:bCs w:val="1"/>
          <w:color w:val="auto"/>
        </w:rPr>
        <w:t>Exclusivity Covenants</w:t>
      </w:r>
    </w:p>
    <w:p>
      <w:pPr>
        <w:spacing w:after="0" w:line="10"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During the term of this Agreement, Synlogic will not [***], in each case [***] other than as requested by Synlogic and agreed by Roche in its sole discretion. For clarity, [***].</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9"/>
          <w:szCs w:val="19"/>
          <w:b w:val="1"/>
          <w:bCs w:val="1"/>
          <w:color w:val="auto"/>
        </w:rPr>
        <w:t>Change of Control</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there is a Change of Control, then the Party experiencing such Change of Control (“</w:t>
      </w:r>
      <w:r>
        <w:rPr>
          <w:rFonts w:ascii="Arial" w:cs="Arial" w:eastAsia="Arial" w:hAnsi="Arial"/>
          <w:sz w:val="20"/>
          <w:szCs w:val="20"/>
          <w:b w:val="1"/>
          <w:bCs w:val="1"/>
          <w:color w:val="auto"/>
        </w:rPr>
        <w:t>Acquired Party</w:t>
      </w:r>
      <w:r>
        <w:rPr>
          <w:rFonts w:ascii="Arial" w:cs="Arial" w:eastAsia="Arial" w:hAnsi="Arial"/>
          <w:sz w:val="20"/>
          <w:szCs w:val="20"/>
          <w:color w:val="auto"/>
        </w:rPr>
        <w:t>”) shall provide written notice to the other Party (“</w:t>
      </w:r>
      <w:r>
        <w:rPr>
          <w:rFonts w:ascii="Arial" w:cs="Arial" w:eastAsia="Arial" w:hAnsi="Arial"/>
          <w:sz w:val="20"/>
          <w:szCs w:val="20"/>
          <w:b w:val="1"/>
          <w:bCs w:val="1"/>
          <w:color w:val="auto"/>
        </w:rPr>
        <w:t>Non-Acquired Party</w:t>
      </w:r>
      <w:r>
        <w:rPr>
          <w:rFonts w:ascii="Arial" w:cs="Arial" w:eastAsia="Arial" w:hAnsi="Arial"/>
          <w:sz w:val="20"/>
          <w:szCs w:val="20"/>
          <w:color w:val="auto"/>
        </w:rPr>
        <w:t>”) at least [***].</w:t>
      </w:r>
    </w:p>
    <w:p>
      <w:pPr>
        <w:spacing w:after="0" w:line="19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Following consummation of the Change of Control, the Non-Acquired Party and the Acquirer shall adopt in writing reasonable procedures, including the separation of personnel, to prevent the disclosure of the Non-Acquired Party’s Confidential Information beyond the Acquired Party’s personnel who need to know the Confidential Information solely for the purpose of fulfilling the Acquired Party’s obligations under this Agreement.</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Notwithstanding anything herein to the contrary, after any Change of Control of a Party, no Know-How, Patent Rights or proprietary materials of any Affiliate of such Party that becomes an Affiliate after such Change of Control of such Party shall become (i) in the case of Synlogic, “licensed to Roche under Section 8.1 or (ii) in the case of Roche, licensed to Synlogic under Section 8.1, in each case (i)-(ii), unless such Know-How, Patent Rights or proprietary materials are thereafter intentionally used by such Party in such Party’s performance of its activities under this Agreement.</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9"/>
          <w:szCs w:val="19"/>
          <w:color w:val="auto"/>
        </w:rPr>
        <w:t>Synlogic Change of Control</w:t>
      </w:r>
    </w:p>
    <w:p>
      <w:pPr>
        <w:jc w:val="both"/>
        <w:spacing w:after="0" w:line="227" w:lineRule="auto"/>
        <w:rPr>
          <w:sz w:val="20"/>
          <w:szCs w:val="20"/>
          <w:color w:val="auto"/>
        </w:rPr>
      </w:pPr>
      <w:r>
        <w:rPr>
          <w:rFonts w:ascii="Arial" w:cs="Arial" w:eastAsia="Arial" w:hAnsi="Arial"/>
          <w:sz w:val="20"/>
          <w:szCs w:val="20"/>
          <w:color w:val="auto"/>
        </w:rPr>
        <w:t>Notwithstanding Section 7.1, if a Change of Control occurs with respect to Synlogic or its parent Affiliate with an Acquirer, and the Acquirer (or any of such Acquirer’s successors or assigns, other than Synlogic and its Affiliates as of the Change of Control) as of the Change of Control, or later, has a program or product (or rights thereto) that would otherwise violate Section 7.1 (each, a “</w:t>
      </w:r>
      <w:r>
        <w:rPr>
          <w:rFonts w:ascii="Arial" w:cs="Arial" w:eastAsia="Arial" w:hAnsi="Arial"/>
          <w:sz w:val="20"/>
          <w:szCs w:val="20"/>
          <w:b w:val="1"/>
          <w:bCs w:val="1"/>
          <w:color w:val="auto"/>
        </w:rPr>
        <w:t>Synlogic COC Program</w:t>
      </w:r>
      <w:r>
        <w:rPr>
          <w:rFonts w:ascii="Arial" w:cs="Arial" w:eastAsia="Arial" w:hAnsi="Arial"/>
          <w:sz w:val="20"/>
          <w:szCs w:val="20"/>
          <w:color w:val="auto"/>
        </w:rPr>
        <w:t>”), then (a) Section 7.1 will not apply with respect to such Synlogic COC Program, and (b) such Third Party, or any of such Third Party’s Affiliates or any successors or assigns of such Third Party or such Third Party’s Affiliates, as applicable, will be permitted to pursue, and continue such Synlogic COC Program after such Change of Control and such pursuit and continuation will not constitute a violation of Section 7.1; provided that (i) none of the Collaboration Technology and Patent Rights and Know-How licensed to Synlogic by Roche hereunder will be used in the Synlogic COC Program and (ii) the research activities required under this Agreement will be conducted separately from any research activities directed to such Synlogic COC Program, including the non-use of Roche’s Confidential Information, maintenance of separate lab notebooks and records and separate personnel working on each of the activities under this Agreement and the activities covered under such Synlogic COC Program.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Upon [***] days’ prior written notice from Roche, Roche, at its sole cost and expense, shall have the right to [***].</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9"/>
          <w:szCs w:val="19"/>
          <w:color w:val="auto"/>
        </w:rPr>
        <w:t>Synlogic Acquisition</w:t>
      </w:r>
    </w:p>
    <w:p>
      <w:pPr>
        <w:jc w:val="both"/>
        <w:spacing w:after="0" w:line="230" w:lineRule="auto"/>
        <w:rPr>
          <w:sz w:val="20"/>
          <w:szCs w:val="20"/>
          <w:color w:val="auto"/>
        </w:rPr>
      </w:pPr>
      <w:r>
        <w:rPr>
          <w:rFonts w:ascii="Arial" w:cs="Arial" w:eastAsia="Arial" w:hAnsi="Arial"/>
          <w:sz w:val="20"/>
          <w:szCs w:val="20"/>
          <w:color w:val="auto"/>
        </w:rPr>
        <w:t>In addition, notwithstanding Section 7.1, if (a) Synlogic or its Affiliate acquires a Third Party (by merger, sale, consolidation, reorganization, or otherwise) so that such Third Party becomes an Affiliate over which Synlogic or its Affiliate has control, or (b) Synlogic or its Affiliate acquires all or substantially all of the assets of a Third Party (including any subsidiaries or divisions thereof) (each of (a) and (b), a “</w:t>
      </w:r>
      <w:r>
        <w:rPr>
          <w:rFonts w:ascii="Arial" w:cs="Arial" w:eastAsia="Arial" w:hAnsi="Arial"/>
          <w:sz w:val="20"/>
          <w:szCs w:val="20"/>
          <w:b w:val="1"/>
          <w:bCs w:val="1"/>
          <w:color w:val="auto"/>
        </w:rPr>
        <w:t>Synlogic Acquisition</w:t>
      </w:r>
      <w:r>
        <w:rPr>
          <w:rFonts w:ascii="Arial" w:cs="Arial" w:eastAsia="Arial" w:hAnsi="Arial"/>
          <w:sz w:val="20"/>
          <w:szCs w:val="20"/>
          <w:color w:val="auto"/>
        </w:rPr>
        <w:t>”), and, in each case, the Third Party (or any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jc w:val="both"/>
        <w:spacing w:after="0" w:line="227" w:lineRule="auto"/>
        <w:rPr>
          <w:sz w:val="20"/>
          <w:szCs w:val="20"/>
          <w:color w:val="auto"/>
        </w:rPr>
      </w:pPr>
      <w:r>
        <w:rPr>
          <w:rFonts w:ascii="Arial" w:cs="Arial" w:eastAsia="Arial" w:hAnsi="Arial"/>
          <w:sz w:val="20"/>
          <w:szCs w:val="20"/>
          <w:color w:val="auto"/>
        </w:rPr>
        <w:t>Third Party’s Affiliates or any successors or assigns of such Third Party or such Third Party’s Affiliates, other than Synlogic and its Affiliates as of the Synlogic Acquisition) already has, or the acquired assets contain, as applicable, a program or product that existed prior to the Synlogic Acquisition that would otherwise violate any of Section 7.1 (a “</w:t>
      </w:r>
      <w:r>
        <w:rPr>
          <w:rFonts w:ascii="Arial" w:cs="Arial" w:eastAsia="Arial" w:hAnsi="Arial"/>
          <w:sz w:val="20"/>
          <w:szCs w:val="20"/>
          <w:b w:val="1"/>
          <w:bCs w:val="1"/>
          <w:color w:val="auto"/>
        </w:rPr>
        <w:t>Synlogic Acquisition Program</w:t>
      </w:r>
      <w:r>
        <w:rPr>
          <w:rFonts w:ascii="Arial" w:cs="Arial" w:eastAsia="Arial" w:hAnsi="Arial"/>
          <w:sz w:val="20"/>
          <w:szCs w:val="20"/>
          <w:color w:val="auto"/>
        </w:rPr>
        <w:t>”), then Synlogic or such Affiliate will elect whether to (i) divest its rights to such Synlogic Acquisition Program, or (ii) cease the pre-clinical and clinical development and commercialization of such Synlogic Acquisition Program, and will provide Roche written notice of the existence of such Synlogic Acquisition Program and such decision within [***] days after the closing of such Synlogic Acquisition. If Synlogic provides notice as described in clause (i) of the preceding sentence, then Synlogic, and its Affiliates if applicable, will divest such Synlogic Acquisition Program within [***] years after the closing of the applicable Synlogic Acquisition, and if Synlogic provides notice that it will terminate such Synlogic Acquisition Program as described in clause (ii) of the preceding sentence, then Synlogic, and its Affiliates if applicable, will cease the clinical development and commercialization of such Synlogic Acquisition Program as soon as reasonably practicable and in any event within [***] days of the closing of the applicable Synlogic Acquisition, giving due consideration to ethical concerns and requirements under Applicable Law and any agreements with Third Parties.</w:t>
      </w:r>
    </w:p>
    <w:p>
      <w:pPr>
        <w:spacing w:after="0" w:line="186"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Licenses; Subcontracting</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8.1</w:t>
      </w:r>
      <w:r>
        <w:rPr>
          <w:rFonts w:ascii="Arial" w:cs="Arial" w:eastAsia="Arial" w:hAnsi="Arial"/>
          <w:sz w:val="19"/>
          <w:szCs w:val="19"/>
          <w:b w:val="1"/>
          <w:bCs w:val="1"/>
          <w:color w:val="auto"/>
        </w:rPr>
        <w:t>License Grants</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9"/>
          <w:szCs w:val="19"/>
          <w:color w:val="auto"/>
        </w:rPr>
        <w:t>Research License</w:t>
      </w:r>
    </w:p>
    <w:p>
      <w:pPr>
        <w:jc w:val="both"/>
        <w:spacing w:after="0" w:line="229" w:lineRule="auto"/>
        <w:rPr>
          <w:sz w:val="20"/>
          <w:szCs w:val="20"/>
          <w:color w:val="auto"/>
        </w:rPr>
      </w:pPr>
      <w:r>
        <w:rPr>
          <w:rFonts w:ascii="Arial" w:cs="Arial" w:eastAsia="Arial" w:hAnsi="Arial"/>
          <w:sz w:val="20"/>
          <w:szCs w:val="20"/>
          <w:color w:val="auto"/>
        </w:rPr>
        <w:t>During the term of this Agreement, each Party hereby grants to the other Party a non-exclusive, non-transferable, non-sublicensable (except in accordance with Section 8.2), royalty-free right and license under such Party’s respective Patent Rights and Know-How Controlled by such Party as of the Effective Date or during the term of this Agreement that are necessary or reasonably useful to research and pre-clinically develop Product Candidates solely to enable the other Party to conduct the activities assigned to the other Party in the Study Plan or any Rescue Plan.</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color w:val="auto"/>
        </w:rPr>
        <w:t>Collaboration IP</w:t>
      </w:r>
    </w:p>
    <w:p>
      <w:pPr>
        <w:jc w:val="both"/>
        <w:spacing w:after="0" w:line="229" w:lineRule="auto"/>
        <w:rPr>
          <w:sz w:val="20"/>
          <w:szCs w:val="20"/>
          <w:color w:val="auto"/>
        </w:rPr>
      </w:pPr>
      <w:r>
        <w:rPr>
          <w:rFonts w:ascii="Arial" w:cs="Arial" w:eastAsia="Arial" w:hAnsi="Arial"/>
          <w:sz w:val="20"/>
          <w:szCs w:val="20"/>
          <w:color w:val="auto"/>
        </w:rPr>
        <w:t>Synlogic hereby grants to Roche a non-exclusive, perpetual, irrevocable, sublicensable right and license, for any and all purposes whatsoever, under the Collaboration Patent Rights claiming inventions made under the Study Plan or the Rescue Plan where such Collaboration Patent Rights (a) do not specifically relate to the Synlogic Platform Technology or to any Product Candidates or Products, or their use or manufacture, and (b) where at least one inventor is an employee or agent of Roche or Roche’s Affiliates. Such non-exclusive grant to Roche shall be fully paid-up (subject to any applicable payment obligations under this Agreement and the CLA, if the Parties enter into the CLA).</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Sublicensing</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Each Party shall have the right to grant sublicenses under its rights granted under Section 8.1.1 to its Affiliates and to subcontractors permitted in accordance with Section 8.3, without prior approval of the other Party. In addition, Roche shall have the right to grant sublicenses under the license granted pursuant to Section 8.1.2 to Third Parties without the prior consent of Synlogic. Each such sublicense pursuant to this Section 8.2 shall be consistent with all applicable terms and conditions of this Agreement, and each Party shall remain responsible for its rights and obligations hereunder, including the payment of all amounts due hereunder.</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9"/>
          <w:szCs w:val="19"/>
          <w:b w:val="1"/>
          <w:bCs w:val="1"/>
          <w:color w:val="auto"/>
        </w:rPr>
        <w:t>Subcontracting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2" w:name="page103"/>
    <w:bookmarkEnd w:id="102"/>
    <w:p>
      <w:pPr>
        <w:jc w:val="both"/>
        <w:spacing w:after="0" w:line="239" w:lineRule="auto"/>
        <w:rPr>
          <w:sz w:val="20"/>
          <w:szCs w:val="20"/>
          <w:color w:val="auto"/>
        </w:rPr>
      </w:pPr>
      <w:r>
        <w:rPr>
          <w:rFonts w:ascii="Arial" w:cs="Arial" w:eastAsia="Arial" w:hAnsi="Arial"/>
          <w:sz w:val="19"/>
          <w:szCs w:val="19"/>
          <w:color w:val="auto"/>
        </w:rPr>
        <w:t>The Parties will be entitled to utilize the services of Third Parties to perform their respective activities under the Pilot Collaboration; provided, that (a) each Party will require that such Third Party operates in a manner consistent with the terms of this Agreement, and (b) each Party will remain at all times fully liable for its respective responsibilities contracted to such Third Party. Each Party will require that any such Third Party agreement entered into pursuant to this Section 8.3 (a) include confidentiality and non-use provisions that are no less stringent than those set forth in Section 6 (but of duration customary in confidentiality agreements entered into for a similar purpose); and (b) obtain ownership of, or a fully sublicensable license (or an exclusive option to obtain such license) under and to, any Know-How and Patent Rights that are developed by such Third Party in the performance of such agreement. For clarity, the foregoing requirement to obtain ownership of, or a fully sublicensable license (or an exclusive option to obtain such license) will not apply to any background or foundational Know-How or Patent Rights owned or in-licensed by a Third Party or its Affiliates (including any improvements thereto). The Party utilizing the services of a Third Party service provider will be solely responsible for direction of and communications with such Third Party.</w:t>
      </w:r>
    </w:p>
    <w:p>
      <w:pPr>
        <w:spacing w:after="0" w:line="188"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 and Publications</w:t>
      </w:r>
    </w:p>
    <w:p>
      <w:pPr>
        <w:spacing w:after="0" w:line="215"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9.1</w:t>
      </w:r>
      <w:r>
        <w:rPr>
          <w:rFonts w:ascii="Arial" w:cs="Arial" w:eastAsia="Arial" w:hAnsi="Arial"/>
          <w:sz w:val="19"/>
          <w:szCs w:val="19"/>
          <w:b w:val="1"/>
          <w:bCs w:val="1"/>
          <w:color w:val="auto"/>
        </w:rPr>
        <w:t>IP Ownership</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9"/>
          <w:szCs w:val="19"/>
          <w:color w:val="auto"/>
        </w:rPr>
        <w:t>Pre-Existing IP</w:t>
      </w:r>
    </w:p>
    <w:p>
      <w:pPr>
        <w:jc w:val="both"/>
        <w:spacing w:after="0" w:line="232" w:lineRule="auto"/>
        <w:rPr>
          <w:sz w:val="20"/>
          <w:szCs w:val="20"/>
          <w:color w:val="auto"/>
        </w:rPr>
      </w:pPr>
      <w:r>
        <w:rPr>
          <w:rFonts w:ascii="Arial" w:cs="Arial" w:eastAsia="Arial" w:hAnsi="Arial"/>
          <w:sz w:val="20"/>
          <w:szCs w:val="20"/>
          <w:color w:val="auto"/>
        </w:rPr>
        <w:t>Each Party shall remain the owner of all Patent Rights, Know-How, inventions, data and other intellectual property rights (i) owned or Controlled by such Party or its Affiliates as of the Effective Date or (ii) that such Party generates independently of this Agreement.</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9"/>
          <w:szCs w:val="19"/>
          <w:color w:val="auto"/>
        </w:rPr>
        <w:t>Collaboration IP</w:t>
      </w:r>
    </w:p>
    <w:p>
      <w:pPr>
        <w:jc w:val="both"/>
        <w:spacing w:after="0" w:line="227" w:lineRule="auto"/>
        <w:rPr>
          <w:sz w:val="20"/>
          <w:szCs w:val="20"/>
          <w:color w:val="auto"/>
        </w:rPr>
      </w:pPr>
      <w:r>
        <w:rPr>
          <w:rFonts w:ascii="Arial" w:cs="Arial" w:eastAsia="Arial" w:hAnsi="Arial"/>
          <w:sz w:val="20"/>
          <w:szCs w:val="20"/>
          <w:color w:val="auto"/>
        </w:rPr>
        <w:t>Synlogic shall own all Know-How generated solely by or on behalf of either Party or jointly by or on behalf of both Parties under the Study Plan and any Rescue Plan (the “</w:t>
      </w:r>
      <w:r>
        <w:rPr>
          <w:rFonts w:ascii="Arial" w:cs="Arial" w:eastAsia="Arial" w:hAnsi="Arial"/>
          <w:sz w:val="20"/>
          <w:szCs w:val="20"/>
          <w:b w:val="1"/>
          <w:bCs w:val="1"/>
          <w:color w:val="auto"/>
        </w:rPr>
        <w:t>Collaboration Know-How</w:t>
      </w:r>
      <w:r>
        <w:rPr>
          <w:rFonts w:ascii="Arial" w:cs="Arial" w:eastAsia="Arial" w:hAnsi="Arial"/>
          <w:sz w:val="20"/>
          <w:szCs w:val="20"/>
          <w:color w:val="auto"/>
        </w:rPr>
        <w:t>”) regardless of inventorship, and any Patent Rights that cover or claim such Know-How (the “</w:t>
      </w:r>
      <w:r>
        <w:rPr>
          <w:rFonts w:ascii="Arial" w:cs="Arial" w:eastAsia="Arial" w:hAnsi="Arial"/>
          <w:sz w:val="20"/>
          <w:szCs w:val="20"/>
          <w:b w:val="1"/>
          <w:bCs w:val="1"/>
          <w:color w:val="auto"/>
        </w:rPr>
        <w:t>Collaboration Patent Rights</w:t>
      </w:r>
      <w:r>
        <w:rPr>
          <w:rFonts w:ascii="Arial" w:cs="Arial" w:eastAsia="Arial" w:hAnsi="Arial"/>
          <w:sz w:val="20"/>
          <w:szCs w:val="20"/>
          <w:color w:val="auto"/>
        </w:rPr>
        <w:t>”, and, together with the Collaboration Know-How, the “</w:t>
      </w:r>
      <w:r>
        <w:rPr>
          <w:rFonts w:ascii="Arial" w:cs="Arial" w:eastAsia="Arial" w:hAnsi="Arial"/>
          <w:sz w:val="20"/>
          <w:szCs w:val="20"/>
          <w:b w:val="1"/>
          <w:bCs w:val="1"/>
          <w:color w:val="auto"/>
        </w:rPr>
        <w:t>Collaboration Technology</w:t>
      </w:r>
      <w:r>
        <w:rPr>
          <w:rFonts w:ascii="Arial" w:cs="Arial" w:eastAsia="Arial" w:hAnsi="Arial"/>
          <w:sz w:val="20"/>
          <w:szCs w:val="20"/>
          <w:color w:val="auto"/>
        </w:rPr>
        <w:t>”) subject to Section 9.1.1 above. Inventorship will be determined under US patent law as if such Know-How were made in the United States. Roche and its Affiliates will, and hereby does, assign to Synlogic or one or more of its designated Affiliates, its and its Affiliates’ right, title and interest in, to and under the Collaboration Technology, as may be necessary to effectuate the allocation of ownership of Know-How set forth in this Section 9.1.2. Roche agrees that it will promptly disclose all Collaboration Technology to Synlogic as it arises and shall take all actions and provide Synlogic with all reasonably requested assistance to effect such assignment and will execute any and all documents necessary to perfect such assignment.</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Patent Prosecution</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During the term of this Agreement Synlogic shall be responsible (at its own expense) for filing and prosecution of patent applications claiming Collaboration Know-How. During the term of this Agreement. Synlogic will consult with Roche on the filing and prosecution of Collaboration Patent Rights that might trigger payments from Roche to Synlogic under the definitive CLA and will furnish Roche, via electronic mail or such other method as mutually agreed by the Parties, copies of proposed filings and documents received from outside counsel in the course of prosecuting such Patent Rights, or copies of documents filed with the relevant patent offices with respect to such Patent Rights. Synlogic will consider in good faith any timely comments from Roche thereon.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the event that, other than in the customary process of patent prosecution, Synlogic intends to abandon any Collaboration Patent Rights that claim any Product Candidates or the 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3" w:name="page104"/>
    <w:bookmarkEnd w:id="103"/>
    <w:p>
      <w:pPr>
        <w:spacing w:after="0" w:line="236" w:lineRule="auto"/>
        <w:rPr>
          <w:sz w:val="20"/>
          <w:szCs w:val="20"/>
          <w:color w:val="auto"/>
        </w:rPr>
      </w:pPr>
      <w:r>
        <w:rPr>
          <w:rFonts w:ascii="Arial" w:cs="Arial" w:eastAsia="Arial" w:hAnsi="Arial"/>
          <w:sz w:val="20"/>
          <w:szCs w:val="20"/>
          <w:color w:val="auto"/>
        </w:rPr>
        <w:t>manufacture thereof and could potentially be licensed to Roche under the CLA, Synlogic shall notify Roche at least [***] days before any such Patent Right would become abandoned and will offer to assign such Collaboration Patent Rights to Roche.</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9"/>
          <w:szCs w:val="19"/>
          <w:b w:val="1"/>
          <w:bCs w:val="1"/>
          <w:color w:val="auto"/>
        </w:rPr>
        <w:t>Enforcement and Defense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As between the Parties, [***].</w:t>
      </w:r>
    </w:p>
    <w:p>
      <w:pPr>
        <w:spacing w:after="0" w:line="192"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10</w:t>
        <w:tab/>
        <w:t>Representations and Warranties; Covenants</w:t>
      </w:r>
    </w:p>
    <w:p>
      <w:pPr>
        <w:spacing w:after="0" w:line="216" w:lineRule="exact"/>
        <w:rPr>
          <w:sz w:val="20"/>
          <w:szCs w:val="20"/>
          <w:color w:val="auto"/>
        </w:rPr>
      </w:pPr>
    </w:p>
    <w:p>
      <w:pPr>
        <w:ind w:right="4560"/>
        <w:spacing w:after="0" w:line="257" w:lineRule="auto"/>
        <w:rPr>
          <w:sz w:val="20"/>
          <w:szCs w:val="20"/>
          <w:color w:val="auto"/>
        </w:rPr>
      </w:pPr>
      <w:r>
        <w:rPr>
          <w:rFonts w:ascii="Arial" w:cs="Arial" w:eastAsia="Arial" w:hAnsi="Arial"/>
          <w:sz w:val="20"/>
          <w:szCs w:val="20"/>
          <w:b w:val="1"/>
          <w:bCs w:val="1"/>
          <w:color w:val="auto"/>
        </w:rPr>
        <w:t xml:space="preserve">10.1 Synlogic’s Representations and Warranties; Covenants </w:t>
      </w:r>
      <w:r>
        <w:rPr>
          <w:rFonts w:ascii="Arial" w:cs="Arial" w:eastAsia="Arial" w:hAnsi="Arial"/>
          <w:sz w:val="20"/>
          <w:szCs w:val="20"/>
          <w:color w:val="auto"/>
        </w:rPr>
        <w:t>Synlogic hereby represents, warrants and covenants the following to Roche:</w:t>
      </w:r>
    </w:p>
    <w:p>
      <w:pPr>
        <w:spacing w:after="0" w:line="179" w:lineRule="exact"/>
        <w:rPr>
          <w:sz w:val="20"/>
          <w:szCs w:val="20"/>
          <w:color w:val="auto"/>
        </w:rPr>
      </w:pPr>
    </w:p>
    <w:p>
      <w:pPr>
        <w:jc w:val="both"/>
        <w:ind w:left="860" w:hanging="852"/>
        <w:spacing w:after="0" w:line="232" w:lineRule="auto"/>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Synlogic has the full right, power and authority, and has obtained all approvals, licenses, permits or consents necessary, to enter into this Agreement, to perform all of its obligations hereunder and to grant the licenses granted hereunder.</w:t>
      </w:r>
    </w:p>
    <w:p>
      <w:pPr>
        <w:spacing w:after="0" w:line="197" w:lineRule="exact"/>
        <w:rPr>
          <w:rFonts w:ascii="Arial" w:cs="Arial" w:eastAsia="Arial" w:hAnsi="Arial"/>
          <w:sz w:val="20"/>
          <w:szCs w:val="20"/>
          <w:color w:val="auto"/>
        </w:rPr>
      </w:pPr>
    </w:p>
    <w:p>
      <w:pPr>
        <w:ind w:left="860" w:right="20" w:hanging="852"/>
        <w:spacing w:after="0" w:line="236" w:lineRule="auto"/>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Synlogic has not as of the Effective Date entered into, and shall not following the Effective Date enter into, any agreement that conflicts with this Agreement or Synlogic’s obligations hereunder.</w:t>
      </w:r>
    </w:p>
    <w:p>
      <w:pPr>
        <w:spacing w:after="0" w:line="195" w:lineRule="exact"/>
        <w:rPr>
          <w:rFonts w:ascii="Arial" w:cs="Arial" w:eastAsia="Arial" w:hAnsi="Arial"/>
          <w:sz w:val="20"/>
          <w:szCs w:val="20"/>
          <w:color w:val="auto"/>
        </w:rPr>
      </w:pPr>
    </w:p>
    <w:p>
      <w:pPr>
        <w:jc w:val="both"/>
        <w:ind w:left="860" w:hanging="852"/>
        <w:spacing w:after="0" w:line="232" w:lineRule="auto"/>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Synlogic has not prior to the Effective Date agreed to grant in the future, and shall not following the Effective Date grant, any license, sublicense or other right to exploit any intellectual property rights that conflicts with the licenses granted to Roche under this Agreement.</w:t>
      </w:r>
    </w:p>
    <w:p>
      <w:pPr>
        <w:spacing w:after="0" w:line="197" w:lineRule="exact"/>
        <w:rPr>
          <w:rFonts w:ascii="Arial" w:cs="Arial" w:eastAsia="Arial" w:hAnsi="Arial"/>
          <w:sz w:val="20"/>
          <w:szCs w:val="20"/>
          <w:color w:val="auto"/>
        </w:rPr>
      </w:pPr>
    </w:p>
    <w:p>
      <w:pPr>
        <w:ind w:left="860" w:right="20" w:hanging="852"/>
        <w:spacing w:after="0" w:line="236" w:lineRule="auto"/>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All of Synlogic’s employees, officers and consultants have executed agreements requiring assignment to Synlogic of all Know-How made by such individuals during the course of and as a result of their association with Synlogic.</w:t>
      </w:r>
    </w:p>
    <w:p>
      <w:pPr>
        <w:spacing w:after="0" w:line="195" w:lineRule="exact"/>
        <w:rPr>
          <w:rFonts w:ascii="Arial" w:cs="Arial" w:eastAsia="Arial" w:hAnsi="Arial"/>
          <w:sz w:val="20"/>
          <w:szCs w:val="20"/>
          <w:color w:val="auto"/>
        </w:rPr>
      </w:pPr>
    </w:p>
    <w:p>
      <w:pPr>
        <w:jc w:val="both"/>
        <w:ind w:left="860" w:hanging="852"/>
        <w:spacing w:after="0" w:line="228" w:lineRule="auto"/>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Synlogic represents and warrants that neither Synlogic nor Synlogic’s employees have ever been debarred under 21 U.S.C. §335a, disqualified under 21 C.F.R. §312.70 or §812.119, sanctioned by a Federal Health Care Program (as defined in 42 U.S.C §1320 a-7b(f)), including without limitation the federal Medicare or a state Medicaid program, or debarred, suspended, excluded or otherwise declared ineligible from any other similar Federal or state agency or program. In the event Synlogic or an employee of Synlogic receives notice of debarment, suspension, sanction, exclusion, ineligibility or disqualification under the above-referenced statutes, Synlogic shall immediately notify Roche in writing and Roche shall have the right, but not the obligation, to terminate this Agreement for breach.</w:t>
      </w:r>
    </w:p>
    <w:p>
      <w:pPr>
        <w:spacing w:after="0" w:line="198" w:lineRule="exact"/>
        <w:rPr>
          <w:rFonts w:ascii="Arial" w:cs="Arial" w:eastAsia="Arial" w:hAnsi="Arial"/>
          <w:sz w:val="20"/>
          <w:szCs w:val="20"/>
          <w:color w:val="auto"/>
        </w:rPr>
      </w:pPr>
    </w:p>
    <w:p>
      <w:pPr>
        <w:ind w:left="860" w:hanging="852"/>
        <w:spacing w:after="0" w:line="236" w:lineRule="auto"/>
        <w:tabs>
          <w:tab w:leader="none" w:pos="8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Synlogic and its Affiliates and subcontractors will conduct the research under the Study Plan and each Rescue Plan in a good scientific manner and in accordance with all Applicable Laws.</w:t>
      </w:r>
    </w:p>
    <w:p>
      <w:pPr>
        <w:spacing w:after="0" w:line="17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Roche Representations and Warranties; Covenants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Roche hereby represents, warrants and covenants the following to Synlogic:</w:t>
      </w:r>
    </w:p>
    <w:p>
      <w:pPr>
        <w:spacing w:after="0" w:line="202" w:lineRule="exact"/>
        <w:rPr>
          <w:sz w:val="20"/>
          <w:szCs w:val="20"/>
          <w:color w:val="auto"/>
        </w:rPr>
      </w:pPr>
    </w:p>
    <w:p>
      <w:pPr>
        <w:jc w:val="both"/>
        <w:ind w:left="860" w:hanging="852"/>
        <w:spacing w:after="0" w:line="232" w:lineRule="auto"/>
        <w:tabs>
          <w:tab w:leader="none" w:pos="8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Roche has the full right, power and authority, and has obtained all approvals, licenses, permits or consents necessary, to enter into this Agreement and to perform all of its obligations hereunder and to grant the licenses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4" w:name="page105"/>
    <w:bookmarkEnd w:id="104"/>
    <w:p>
      <w:pPr>
        <w:ind w:left="860" w:right="20" w:hanging="852"/>
        <w:spacing w:after="0" w:line="236" w:lineRule="auto"/>
        <w:tabs>
          <w:tab w:leader="none" w:pos="8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Roche has not as of the Effective Date entered into, and shall not following the Effective Date enter into, any agreement that conflicts with this Agreement or Roche’s obligations hereunder.</w:t>
      </w:r>
    </w:p>
    <w:p>
      <w:pPr>
        <w:spacing w:after="0" w:line="195" w:lineRule="exact"/>
        <w:rPr>
          <w:rFonts w:ascii="Arial" w:cs="Arial" w:eastAsia="Arial" w:hAnsi="Arial"/>
          <w:sz w:val="20"/>
          <w:szCs w:val="20"/>
          <w:color w:val="auto"/>
        </w:rPr>
      </w:pPr>
    </w:p>
    <w:p>
      <w:pPr>
        <w:jc w:val="both"/>
        <w:ind w:left="860" w:hanging="852"/>
        <w:spacing w:after="0" w:line="232" w:lineRule="auto"/>
        <w:tabs>
          <w:tab w:leader="none" w:pos="8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Roche has not as of the Effective Date agreed to grant in the future, and shall not following the Effective Date grant, any license, sublicense or other right to exploit any intellectual property rights that conflicts with the licenses granted to Synlogic under this Agreement.</w:t>
      </w:r>
    </w:p>
    <w:p>
      <w:pPr>
        <w:spacing w:after="0" w:line="197" w:lineRule="exact"/>
        <w:rPr>
          <w:rFonts w:ascii="Arial" w:cs="Arial" w:eastAsia="Arial" w:hAnsi="Arial"/>
          <w:sz w:val="20"/>
          <w:szCs w:val="20"/>
          <w:color w:val="auto"/>
        </w:rPr>
      </w:pPr>
    </w:p>
    <w:p>
      <w:pPr>
        <w:ind w:left="860" w:right="20" w:hanging="852"/>
        <w:spacing w:after="0" w:line="236" w:lineRule="auto"/>
        <w:tabs>
          <w:tab w:leader="none" w:pos="8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Roche and its Affiliates and subcontractors will conduct the research under the Study Plan and each Rescue Plan in a good scientific manner and in accordance with all Applicable Laws.</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EXCEPT AS OTHERWISE EXPRESSLY PROVIDED IN THIS AGREEMENT, (A) NEITHER PARTY MAKES ANY REPRESENTATION OR WARRANTY OF ANY KIND WITH RESPECT TO MATERIALS OR INFORMATION SUPPLIED BY IT TO THE OTHER PARTY HEREUNDER AND (B) EACH PARTY EXPRESSLY DISCLAIMS ALL WARRANTIES, EXPRESS OR IMPLIED, INCLUDING WARRANTIES OF MERCHANTABILITY, FITNESS FOR A PARTICULAR PURPOSE AND NONINFRINGEMENT.</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11</w:t>
        <w:tab/>
        <w:t>Indemnification</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Indemnification by Synlogic</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Synlogic hereby agrees to defend, indemnify and hold harmless, Roche, its Affiliates and their respective directors, officers, employees and agents and the successors and assigns of any of the foregoing (collectively, the “</w:t>
      </w:r>
      <w:r>
        <w:rPr>
          <w:rFonts w:ascii="Arial" w:cs="Arial" w:eastAsia="Arial" w:hAnsi="Arial"/>
          <w:sz w:val="20"/>
          <w:szCs w:val="20"/>
          <w:b w:val="1"/>
          <w:bCs w:val="1"/>
          <w:color w:val="auto"/>
        </w:rPr>
        <w:t>Roche Indemnitees</w:t>
      </w:r>
      <w:r>
        <w:rPr>
          <w:rFonts w:ascii="Arial" w:cs="Arial" w:eastAsia="Arial" w:hAnsi="Arial"/>
          <w:sz w:val="20"/>
          <w:szCs w:val="20"/>
          <w:color w:val="auto"/>
        </w:rPr>
        <w:t>”) from any liabilities, damages, penalties, fines, costs, or expenses (including attorney's fees) (collectively, "</w:t>
      </w:r>
      <w:r>
        <w:rPr>
          <w:rFonts w:ascii="Arial" w:cs="Arial" w:eastAsia="Arial" w:hAnsi="Arial"/>
          <w:sz w:val="20"/>
          <w:szCs w:val="20"/>
          <w:b w:val="1"/>
          <w:bCs w:val="1"/>
          <w:color w:val="auto"/>
        </w:rPr>
        <w:t>Losses</w:t>
      </w:r>
      <w:r>
        <w:rPr>
          <w:rFonts w:ascii="Arial" w:cs="Arial" w:eastAsia="Arial" w:hAnsi="Arial"/>
          <w:sz w:val="20"/>
          <w:szCs w:val="20"/>
          <w:color w:val="auto"/>
        </w:rPr>
        <w:t>") arising out of or in connection with any Third Party claims, suits, actions, demands or judgments (“</w:t>
      </w:r>
      <w:r>
        <w:rPr>
          <w:rFonts w:ascii="Arial" w:cs="Arial" w:eastAsia="Arial" w:hAnsi="Arial"/>
          <w:sz w:val="20"/>
          <w:szCs w:val="20"/>
          <w:b w:val="1"/>
          <w:bCs w:val="1"/>
          <w:color w:val="auto"/>
        </w:rPr>
        <w:t>Third Party Claims</w:t>
      </w:r>
      <w:r>
        <w:rPr>
          <w:rFonts w:ascii="Arial" w:cs="Arial" w:eastAsia="Arial" w:hAnsi="Arial"/>
          <w:sz w:val="20"/>
          <w:szCs w:val="20"/>
          <w:color w:val="auto"/>
        </w:rPr>
        <w:t>”) arising out of (a) Synlogic's performance under this Agreement, or (b) Synlogic’s negligence or wilful misconduct; except and to the extent, in each case (a) and (b), that any such Loss is due to the negligence or wilful misconduct of any Roche Indemnitee.</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Indemnification by Roche</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Roche hereby agrees to defend, indemnify and hold harmless, Synlogic, its Affiliates and their respective directors, officers, employees and agents and the successors and assigns of any of the foregoing (collectively, the “</w:t>
      </w:r>
      <w:r>
        <w:rPr>
          <w:rFonts w:ascii="Arial" w:cs="Arial" w:eastAsia="Arial" w:hAnsi="Arial"/>
          <w:sz w:val="20"/>
          <w:szCs w:val="20"/>
          <w:b w:val="1"/>
          <w:bCs w:val="1"/>
          <w:color w:val="auto"/>
        </w:rPr>
        <w:t>Synlogic Indemnitees</w:t>
      </w:r>
      <w:r>
        <w:rPr>
          <w:rFonts w:ascii="Arial" w:cs="Arial" w:eastAsia="Arial" w:hAnsi="Arial"/>
          <w:sz w:val="20"/>
          <w:szCs w:val="20"/>
          <w:color w:val="auto"/>
        </w:rPr>
        <w:t>”) from any Losses arising out of or in connection with any Third Party Claims arising out of (a) Roche’s performance under this Agreement, or (b) Roche’s negligence or wilful misconduct; except and to the extent, in each case (a) and (b), that any such Loss is due to the negligence or wilful misconduct of any Synlogic Indemnitee.</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b w:val="1"/>
          <w:bCs w:val="1"/>
          <w:color w:val="auto"/>
        </w:rPr>
        <w:t>Indemnification Procedure</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the event of a Third Party Claim against a Party entitled to indemnification under this Agreement ("</w:t>
      </w:r>
      <w:r>
        <w:rPr>
          <w:rFonts w:ascii="Arial" w:cs="Arial" w:eastAsia="Arial" w:hAnsi="Arial"/>
          <w:sz w:val="20"/>
          <w:szCs w:val="20"/>
          <w:b w:val="1"/>
          <w:bCs w:val="1"/>
          <w:color w:val="auto"/>
        </w:rPr>
        <w:t>Indemnified Party</w:t>
      </w:r>
      <w:r>
        <w:rPr>
          <w:rFonts w:ascii="Arial" w:cs="Arial" w:eastAsia="Arial" w:hAnsi="Arial"/>
          <w:sz w:val="20"/>
          <w:szCs w:val="20"/>
          <w:color w:val="auto"/>
        </w:rPr>
        <w:t>"), the Indemnified Party shall promptly notify the other Party ("</w:t>
      </w:r>
      <w:r>
        <w:rPr>
          <w:rFonts w:ascii="Arial" w:cs="Arial" w:eastAsia="Arial" w:hAnsi="Arial"/>
          <w:sz w:val="20"/>
          <w:szCs w:val="20"/>
          <w:b w:val="1"/>
          <w:bCs w:val="1"/>
          <w:color w:val="auto"/>
        </w:rPr>
        <w:t>Indemnifying Party</w:t>
      </w:r>
      <w:r>
        <w:rPr>
          <w:rFonts w:ascii="Arial" w:cs="Arial" w:eastAsia="Arial" w:hAnsi="Arial"/>
          <w:sz w:val="20"/>
          <w:szCs w:val="20"/>
          <w:color w:val="auto"/>
        </w:rPr>
        <w:t>") in writing of the claim and the Indemnifying Party shall undertake and solely manage and control, at its sole expense, the defence of the claim and its settlement.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unless the Indemnified Party otherwise agrees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5" w:name="page106"/>
    <w:bookmarkEnd w:id="105"/>
    <w:p>
      <w:pPr>
        <w:spacing w:after="0"/>
        <w:tabs>
          <w:tab w:leader="none" w:pos="7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b w:val="1"/>
          <w:bCs w:val="1"/>
          <w:color w:val="auto"/>
        </w:rPr>
        <w:t>Insurance</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Subject to this Section 11.4, each Party shall obtain and maintain comprehensive general liability insurance customary in the industry for companies of similar size conducting similar business, and in any case sufficient to cover its obligations.</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Upon either Party’s request, each Party shall provide the other Party with its certificate of insurance evidencing the insurance coverage set forth this Section 11.4. Each Party shall provide to the other Party at least [***] days prior written notice of any cancellation, non-renewal or material change in any of such insurance coverage.</w:t>
      </w:r>
    </w:p>
    <w:p>
      <w:pPr>
        <w:spacing w:after="0" w:line="21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the event that either Party is an entity which, [***], the obligations set forth in this Section 11.4 above shall not apply with respect to such Party, if such Party notifies the other Party in writing that it elects to provide coverage through a commercially reasonable program of self-insurance; provided, however, that the obligations set forth in this Section 11.4 above shall resume with respect to such Party and its Affiliates, or successor-in-interest and its Affiliates, if such program of self-insurance is terminated or discontinued for any reason.</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9"/>
          <w:szCs w:val="19"/>
          <w:b w:val="1"/>
          <w:bCs w:val="1"/>
          <w:color w:val="auto"/>
        </w:rPr>
        <w:t>Limitation of Liability</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NEITHER PARTY WILL BE LIABLE FOR SPECIAL, INCIDENTAL, CONSEQUENTIAL OR PUNITIVE DAMAGES ARISING OUT OF THIS AGREEMENT, OR THE EXERCISE OF ITS RIGHTS OR THE PERFORMANCE OF ITS OBLIGATIONS HEREUNDER, INCLUDING LOST PROFITS ARISING FROM OR RELATING TO ANY BREACH OF THIS AGREEMENT, REGARDLESS OF ANY NOTICE OF SUCH DAMAGES, EXCEPT AS A RESULT OF (A) A PARTY’S GROSS NEGLIGENCE OR WILFUL MISCONDUCT, (B) A BREACH OF SECTION 9, (C) A BREACH OF SECTION 6. NOTHING IN THIS SECTION 11.5 IS INTENDED TO LIMIT OR RESTRICT THE INDEMNIFICATION RIGHTS OR OBLIGATIONS OF EITHER PARTY UNDER THIS AGREEMENT.</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12</w:t>
        <w:tab/>
        <w:t>Term and Termination</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8"/>
          <w:szCs w:val="18"/>
          <w:b w:val="1"/>
          <w:bCs w:val="1"/>
          <w:color w:val="auto"/>
        </w:rPr>
        <w:t>Term</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Agreement shall become effective as of the Effective Date. Provided that this Agreement is not earlier terminated in accordance with Section 12.2, it shall continue in force until any of the following:</w:t>
      </w:r>
    </w:p>
    <w:p>
      <w:pPr>
        <w:spacing w:after="0" w:line="223" w:lineRule="exact"/>
        <w:rPr>
          <w:sz w:val="20"/>
          <w:szCs w:val="20"/>
          <w:color w:val="auto"/>
        </w:rPr>
      </w:pPr>
    </w:p>
    <w:p>
      <w:pPr>
        <w:ind w:left="860" w:hanging="852"/>
        <w:spacing w:after="0"/>
        <w:tabs>
          <w:tab w:leader="none" w:pos="8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Success Criteria Failure Expiration;</w:t>
      </w:r>
    </w:p>
    <w:p>
      <w:pPr>
        <w:spacing w:after="0" w:line="202" w:lineRule="exact"/>
        <w:rPr>
          <w:rFonts w:ascii="Arial" w:cs="Arial" w:eastAsia="Arial" w:hAnsi="Arial"/>
          <w:sz w:val="20"/>
          <w:szCs w:val="20"/>
          <w:color w:val="auto"/>
        </w:rPr>
      </w:pPr>
    </w:p>
    <w:p>
      <w:pPr>
        <w:ind w:left="860" w:hanging="852"/>
        <w:spacing w:after="0"/>
        <w:tabs>
          <w:tab w:leader="none" w:pos="8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date Roche exercises its Option Right and the Parties enter into the CLA; or</w:t>
      </w:r>
    </w:p>
    <w:p>
      <w:pPr>
        <w:spacing w:after="0" w:line="202" w:lineRule="exact"/>
        <w:rPr>
          <w:rFonts w:ascii="Arial" w:cs="Arial" w:eastAsia="Arial" w:hAnsi="Arial"/>
          <w:sz w:val="20"/>
          <w:szCs w:val="20"/>
          <w:color w:val="auto"/>
        </w:rPr>
      </w:pPr>
    </w:p>
    <w:p>
      <w:pPr>
        <w:ind w:left="860" w:hanging="852"/>
        <w:spacing w:after="0"/>
        <w:tabs>
          <w:tab w:leader="none" w:pos="8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day after the Option Exercise Deadline.</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Termination</w:t>
      </w: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12.2.1</w:t>
      </w:r>
      <w:r>
        <w:rPr>
          <w:sz w:val="20"/>
          <w:szCs w:val="20"/>
          <w:color w:val="auto"/>
        </w:rPr>
        <w:tab/>
      </w:r>
      <w:r>
        <w:rPr>
          <w:rFonts w:ascii="Arial" w:cs="Arial" w:eastAsia="Arial" w:hAnsi="Arial"/>
          <w:sz w:val="19"/>
          <w:szCs w:val="19"/>
          <w:color w:val="auto"/>
        </w:rPr>
        <w:t>Termination for Breach</w:t>
      </w:r>
    </w:p>
    <w:p>
      <w:pPr>
        <w:jc w:val="both"/>
        <w:spacing w:after="0" w:line="229" w:lineRule="auto"/>
        <w:rPr>
          <w:sz w:val="20"/>
          <w:szCs w:val="20"/>
          <w:color w:val="auto"/>
        </w:rPr>
      </w:pPr>
      <w:r>
        <w:rPr>
          <w:rFonts w:ascii="Arial" w:cs="Arial" w:eastAsia="Arial" w:hAnsi="Arial"/>
          <w:sz w:val="20"/>
          <w:szCs w:val="20"/>
          <w:color w:val="auto"/>
        </w:rPr>
        <w:t>A Party (“</w:t>
      </w:r>
      <w:r>
        <w:rPr>
          <w:rFonts w:ascii="Arial" w:cs="Arial" w:eastAsia="Arial" w:hAnsi="Arial"/>
          <w:sz w:val="20"/>
          <w:szCs w:val="20"/>
          <w:b w:val="1"/>
          <w:bCs w:val="1"/>
          <w:color w:val="auto"/>
        </w:rPr>
        <w:t>Non-Breaching Party</w:t>
      </w:r>
      <w:r>
        <w:rPr>
          <w:rFonts w:ascii="Arial" w:cs="Arial" w:eastAsia="Arial" w:hAnsi="Arial"/>
          <w:sz w:val="20"/>
          <w:szCs w:val="20"/>
          <w:color w:val="auto"/>
        </w:rPr>
        <w:t>”) shall have the right to terminate this Agreement in the event the other Party (“</w:t>
      </w:r>
      <w:r>
        <w:rPr>
          <w:rFonts w:ascii="Arial" w:cs="Arial" w:eastAsia="Arial" w:hAnsi="Arial"/>
          <w:sz w:val="20"/>
          <w:szCs w:val="20"/>
          <w:b w:val="1"/>
          <w:bCs w:val="1"/>
          <w:color w:val="auto"/>
        </w:rPr>
        <w:t>Breaching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is in breach of any of its material obligations under this Agreement. The Non-Breaching Party shall provide written notice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Breaching Party, which notice shall identify the breach. The Breaching Party shall have a period of [***] days after such written notice is provided (“</w:t>
      </w:r>
      <w:r>
        <w:rPr>
          <w:rFonts w:ascii="Arial" w:cs="Arial" w:eastAsia="Arial" w:hAnsi="Arial"/>
          <w:sz w:val="20"/>
          <w:szCs w:val="20"/>
          <w:b w:val="1"/>
          <w:bCs w:val="1"/>
          <w:color w:val="auto"/>
        </w:rPr>
        <w:t>Peremptory Notice Period</w:t>
      </w:r>
      <w:r>
        <w:rPr>
          <w:rFonts w:ascii="Arial" w:cs="Arial" w:eastAsia="Arial" w:hAnsi="Arial"/>
          <w:sz w:val="20"/>
          <w:szCs w:val="20"/>
          <w:color w:val="auto"/>
        </w:rPr>
        <w:t>”) to cure such breach. If the Breaching Party delivers written notice to the Non-Breaching Party of the Breaching Party’s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6" w:name="page107"/>
    <w:bookmarkEnd w:id="106"/>
    <w:p>
      <w:pPr>
        <w:jc w:val="both"/>
        <w:spacing w:after="0" w:line="227" w:lineRule="auto"/>
        <w:rPr>
          <w:sz w:val="20"/>
          <w:szCs w:val="20"/>
          <w:color w:val="auto"/>
        </w:rPr>
      </w:pPr>
      <w:r>
        <w:rPr>
          <w:rFonts w:ascii="Arial" w:cs="Arial" w:eastAsia="Arial" w:hAnsi="Arial"/>
          <w:sz w:val="20"/>
          <w:szCs w:val="20"/>
          <w:color w:val="auto"/>
        </w:rPr>
        <w:t>that such material breach cannot be cured within the [***] days and demonstrates that the breaching Party is working diligently to cure such breach, the Peremptory Notice Period shall be extended up to a maximum of [***] days, subject to the remainder of this Section 12.2.1. If the Breaching Party has a bona fide dispute as to whether such breach occurred or has been cured, it will so notify the Non-Breaching Party during the Peremptory Notice Period, and the expiration of the Peremptory Notice Period shall be tolled until such dispute is resolved pursuant to Section 13.11. Upon a determination of breach or failure to cure, the Breaching Party may have the remainder of the Peremptory Notice Period to cure such breach. If such breach is not cured within the Peremptory Notice Period, then absent withdrawal of the Non-Breaching Party’s request for termination, this Agreement shall terminate in its entirety or such identified countries effective as of the expiration of the Peremptory Notice Period.</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12.2.2</w:t>
      </w:r>
      <w:r>
        <w:rPr>
          <w:sz w:val="20"/>
          <w:szCs w:val="20"/>
          <w:color w:val="auto"/>
        </w:rPr>
        <w:tab/>
      </w:r>
      <w:r>
        <w:rPr>
          <w:rFonts w:ascii="Arial" w:cs="Arial" w:eastAsia="Arial" w:hAnsi="Arial"/>
          <w:sz w:val="19"/>
          <w:szCs w:val="19"/>
          <w:color w:val="auto"/>
        </w:rPr>
        <w:t>Termination for Scientific Reasons</w:t>
      </w:r>
    </w:p>
    <w:p>
      <w:pPr>
        <w:jc w:val="both"/>
        <w:ind w:right="20"/>
        <w:spacing w:after="0" w:line="236" w:lineRule="auto"/>
        <w:rPr>
          <w:sz w:val="20"/>
          <w:szCs w:val="20"/>
          <w:color w:val="auto"/>
        </w:rPr>
      </w:pPr>
      <w:r>
        <w:rPr>
          <w:rFonts w:ascii="Arial" w:cs="Arial" w:eastAsia="Arial" w:hAnsi="Arial"/>
          <w:sz w:val="20"/>
          <w:szCs w:val="20"/>
          <w:color w:val="auto"/>
        </w:rPr>
        <w:t>In case the JRC mutually agrees that the Pilot Collaboration is no longer scientifically viable, the Parties may mutually terminate for lack of scientific viability.</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12.2.3</w:t>
      </w:r>
      <w:r>
        <w:rPr>
          <w:sz w:val="20"/>
          <w:szCs w:val="20"/>
          <w:color w:val="auto"/>
        </w:rPr>
        <w:tab/>
      </w:r>
      <w:r>
        <w:rPr>
          <w:rFonts w:ascii="Arial" w:cs="Arial" w:eastAsia="Arial" w:hAnsi="Arial"/>
          <w:sz w:val="19"/>
          <w:szCs w:val="19"/>
          <w:color w:val="auto"/>
        </w:rPr>
        <w:t>Insolvency</w:t>
      </w:r>
    </w:p>
    <w:p>
      <w:pPr>
        <w:jc w:val="both"/>
        <w:spacing w:after="0" w:line="230" w:lineRule="auto"/>
        <w:rPr>
          <w:sz w:val="20"/>
          <w:szCs w:val="20"/>
          <w:color w:val="auto"/>
        </w:rPr>
      </w:pPr>
      <w:r>
        <w:rPr>
          <w:rFonts w:ascii="Arial" w:cs="Arial" w:eastAsia="Arial" w:hAnsi="Arial"/>
          <w:sz w:val="20"/>
          <w:szCs w:val="20"/>
          <w:color w:val="auto"/>
        </w:rPr>
        <w:t>A Party shall have the right to terminate this Agreement upon [***] days’ written notice,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 days after the filing thereof.</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12.2.4</w:t>
      </w:r>
      <w:r>
        <w:rPr>
          <w:sz w:val="20"/>
          <w:szCs w:val="20"/>
          <w:color w:val="auto"/>
        </w:rPr>
        <w:tab/>
      </w:r>
      <w:r>
        <w:rPr>
          <w:rFonts w:ascii="Arial" w:cs="Arial" w:eastAsia="Arial" w:hAnsi="Arial"/>
          <w:sz w:val="19"/>
          <w:szCs w:val="19"/>
          <w:color w:val="auto"/>
        </w:rPr>
        <w:t>Change of Control</w:t>
      </w:r>
    </w:p>
    <w:p>
      <w:pPr>
        <w:jc w:val="both"/>
        <w:ind w:right="20"/>
        <w:spacing w:after="0" w:line="236" w:lineRule="auto"/>
        <w:rPr>
          <w:sz w:val="20"/>
          <w:szCs w:val="20"/>
          <w:color w:val="auto"/>
        </w:rPr>
      </w:pPr>
      <w:r>
        <w:rPr>
          <w:rFonts w:ascii="Arial" w:cs="Arial" w:eastAsia="Arial" w:hAnsi="Arial"/>
          <w:sz w:val="20"/>
          <w:szCs w:val="20"/>
          <w:color w:val="auto"/>
        </w:rPr>
        <w:t>Roche shall have the right to terminate this Agreement upon written notice, if such written notice of termination is issued within [***] days after Synlogic has informed Roche of such Change of Control.</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auto"/>
        </w:rPr>
        <w:t>12.2.5</w:t>
      </w:r>
      <w:r>
        <w:rPr>
          <w:sz w:val="20"/>
          <w:szCs w:val="20"/>
          <w:color w:val="auto"/>
        </w:rPr>
        <w:tab/>
      </w:r>
      <w:r>
        <w:rPr>
          <w:rFonts w:ascii="Arial" w:cs="Arial" w:eastAsia="Arial" w:hAnsi="Arial"/>
          <w:sz w:val="19"/>
          <w:szCs w:val="19"/>
          <w:color w:val="auto"/>
        </w:rPr>
        <w:t>Termination by Roche without Cause</w:t>
      </w:r>
    </w:p>
    <w:p>
      <w:pPr>
        <w:jc w:val="both"/>
        <w:spacing w:after="0" w:line="232" w:lineRule="auto"/>
        <w:rPr>
          <w:sz w:val="20"/>
          <w:szCs w:val="20"/>
          <w:color w:val="auto"/>
        </w:rPr>
      </w:pPr>
      <w:r>
        <w:rPr>
          <w:rFonts w:ascii="Arial" w:cs="Arial" w:eastAsia="Arial" w:hAnsi="Arial"/>
          <w:sz w:val="20"/>
          <w:szCs w:val="20"/>
          <w:color w:val="auto"/>
        </w:rPr>
        <w:t>Roche may terminate without cause (a) immediately upon written notice where the Success Criteria have been met for either Part A or Part B1 of the Study Plan, commencing on the applicable Provision Date and ending [***] thereafter, or (b) upon ninety (90) days’ prior written notice to Synlogic.</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9"/>
          <w:szCs w:val="19"/>
          <w:b w:val="1"/>
          <w:bCs w:val="1"/>
          <w:color w:val="auto"/>
        </w:rPr>
        <w:t>Consequences of Expiration and Termination</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Except as otherwise set forth in this Section 12.3 and in Section 12.4, all rights and obligations of the Parties hereunder will terminate as of the effective date of such termination, and all licenses granted under Section 8.1 will terminate unless expressly provided otherwise in Section 8.1.</w:t>
      </w:r>
    </w:p>
    <w:p>
      <w:pPr>
        <w:spacing w:after="0" w:line="21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After the expiration date or effective date of termination, neither Party will have any additional payment obligations to the other Party hereunder other than payments due or accrued prior to such expiration date or effective date of termination but unpaid thereunder (including any milestone payment that is due as a result of the Success Criteria having been met prior to the expiration date or the date of termination).</w:t>
      </w:r>
    </w:p>
    <w:p>
      <w:pPr>
        <w:spacing w:after="0" w:line="21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this Agreement is terminated or expires without Roche having exercised its Option Right, Synlogic shall, at its own expense, immediately return to Roche all of the Materials and Confidential Information supplied by Roche (including any modified remnants thereof), or destroy all such Material and Confidential Information if so requested by Roche, and Roche shall, at its own expense, immediately return to Synlogic all of the Materials and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7" w:name="page108"/>
    <w:bookmarkEnd w:id="107"/>
    <w:p>
      <w:pPr>
        <w:jc w:val="both"/>
        <w:ind w:right="20"/>
        <w:spacing w:after="0" w:line="236" w:lineRule="auto"/>
        <w:rPr>
          <w:sz w:val="20"/>
          <w:szCs w:val="20"/>
          <w:color w:val="auto"/>
        </w:rPr>
      </w:pPr>
      <w:r>
        <w:rPr>
          <w:rFonts w:ascii="Arial" w:cs="Arial" w:eastAsia="Arial" w:hAnsi="Arial"/>
          <w:sz w:val="20"/>
          <w:szCs w:val="20"/>
          <w:color w:val="auto"/>
        </w:rPr>
        <w:t>supplied by Synlogic (including any modified remnants thereof), or destroy all such Materials and Confidential Information if so requested by Synlogic.</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Survival</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Article 1 (Definitions, to the extent necessary to interpret this Agreement), Article 5 (Payments by Roche as applicable), Article 6 (Obligation Not to Disclose Confidential Information), Article 9 (Intellectual Property and Publication), Article 11 (Indemnification), Article 13 (Miscellaneous) as well as Sections 8.1 (License Grant), 12.3 (Consequences of Expiration and Termination) and 12.4 (Survival) shall survive expiration or termination of this Agreement and continue to be enforceable.</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13</w:t>
        <w:tab/>
        <w:t>Miscellaneous</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Force Majeure</w:t>
      </w:r>
    </w:p>
    <w:p>
      <w:pPr>
        <w:spacing w:after="0" w:line="1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Neither Party will be held liable to the other Party nor be deemed to have defaulted under or breached this Agreement for failure or delay in performing any obligation under this Agreement to the extent, and for so long as, such failure or delay is caused by or results from one or more Force Majeure Events; provided that the affected Party gives the other Party prompt written notice of any such Force Majeure Event and the cessation thereof; and provided further that the affected Party promptly undertakes and continues to use Commercially Reasonable Efforts to cure such failure or delay resulting from the Force Majeure Event as soon as practicable and to mitigate its effects, and promptly resumes performance whenever such Force Majeure Event is removed. Any deadline or time period affected by such a Force Majeure Event or a Party’s failure to perform resulting therefrom shall be extended automatically by [***]. If a Force Majeure persists for more than [***] days, the Parties will negotiate in good faith any modifications of the terms of this Agreement that may be necessary to arrive at an equitable solution, unless the Party giving such notice has set out a reasonable timeframe and plan to resolve the effects of such force majeure and executes such plan within such timeframe.</w:t>
      </w:r>
    </w:p>
    <w:p>
      <w:pPr>
        <w:spacing w:after="0" w:line="18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Independent Contractor</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notwithstanding any other provision of this Agreement to the contrary, Synlogic legal relationship to Roche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Unenforceable Provisions and Severability</w:t>
      </w:r>
    </w:p>
    <w:p>
      <w:pPr>
        <w:spacing w:after="0" w:line="1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Waiver</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Failure of a party to require the other party to comply with any provision of this Agreement shall not be deemed a waiver of such provision or any other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8" w:name="page109"/>
    <w:bookmarkEnd w:id="108"/>
    <w:p>
      <w:pPr>
        <w:spacing w:after="0"/>
        <w:tabs>
          <w:tab w:leader="none" w:pos="74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9"/>
          <w:szCs w:val="19"/>
          <w:b w:val="1"/>
          <w:bCs w:val="1"/>
          <w:color w:val="auto"/>
        </w:rPr>
        <w:t>Headings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captions to the Sections hereof are not a part of this Agreement, but are merely for convenience to assist in locating and reading the several Sections hereof.</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9"/>
          <w:szCs w:val="19"/>
          <w:b w:val="1"/>
          <w:bCs w:val="1"/>
          <w:color w:val="auto"/>
        </w:rPr>
        <w:t>Assignment</w:t>
      </w:r>
    </w:p>
    <w:p>
      <w:pPr>
        <w:spacing w:after="0" w:line="1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Neither party may assign this Agreement or any part thereof to any Third Party without the prior written consent of the other party. Notwithstanding the foregoing, subject to Section 7.2, either Party may, without the other Party’s written consent, assign this Agreement and its rights and obligations hereunder in whole or in part to an Affiliate or to a party that acquires, by or otherwise in connection with, merger, sale of assets, or otherwise, all or substantially all of the business of the assigning Party to which the subject matter of this Agreement relates. The assigning Party will remain responsible for the performance by its assignee of any obligation hereunder so assigned. Any purported assignment in violation of this Section 13.7 will be null, void, and of no legal effect.</w:t>
      </w:r>
    </w:p>
    <w:p>
      <w:pPr>
        <w:spacing w:after="0" w:line="18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9"/>
          <w:szCs w:val="19"/>
          <w:b w:val="1"/>
          <w:bCs w:val="1"/>
          <w:color w:val="auto"/>
        </w:rPr>
        <w:t>Interpretation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Except where the context expressly requires otherwise:</w:t>
      </w:r>
    </w:p>
    <w:p>
      <w:pPr>
        <w:spacing w:after="0" w:line="202" w:lineRule="exact"/>
        <w:rPr>
          <w:sz w:val="20"/>
          <w:szCs w:val="20"/>
          <w:color w:val="auto"/>
        </w:rPr>
      </w:pPr>
    </w:p>
    <w:p>
      <w:pPr>
        <w:ind w:left="860" w:right="20" w:hanging="852"/>
        <w:spacing w:after="0" w:line="236"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use of any gender herein shall be deemed to encompass references to either or both genders, and the use of the singular shall be deemed to include the plural (and vice versa),</w:t>
      </w:r>
    </w:p>
    <w:p>
      <w:pPr>
        <w:spacing w:after="0" w:line="195" w:lineRule="exact"/>
        <w:rPr>
          <w:rFonts w:ascii="Arial" w:cs="Arial" w:eastAsia="Arial" w:hAnsi="Arial"/>
          <w:sz w:val="20"/>
          <w:szCs w:val="20"/>
          <w:color w:val="auto"/>
        </w:rPr>
      </w:pPr>
    </w:p>
    <w:p>
      <w:pPr>
        <w:ind w:left="860" w:hanging="852"/>
        <w:spacing w:after="0"/>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words “include”, “includes” and “including” shall be deemed to be followed by the phrase “without limitation”,</w:t>
      </w:r>
    </w:p>
    <w:p>
      <w:pPr>
        <w:spacing w:after="0" w:line="202" w:lineRule="exact"/>
        <w:rPr>
          <w:rFonts w:ascii="Arial" w:cs="Arial" w:eastAsia="Arial" w:hAnsi="Arial"/>
          <w:sz w:val="20"/>
          <w:szCs w:val="20"/>
          <w:color w:val="auto"/>
        </w:rPr>
      </w:pPr>
    </w:p>
    <w:p>
      <w:pPr>
        <w:ind w:left="860" w:hanging="852"/>
        <w:spacing w:after="0"/>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202" w:lineRule="exact"/>
        <w:rPr>
          <w:rFonts w:ascii="Arial" w:cs="Arial" w:eastAsia="Arial" w:hAnsi="Arial"/>
          <w:sz w:val="20"/>
          <w:szCs w:val="20"/>
          <w:color w:val="auto"/>
        </w:rPr>
      </w:pPr>
    </w:p>
    <w:p>
      <w:pPr>
        <w:jc w:val="both"/>
        <w:ind w:left="860" w:hanging="852"/>
        <w:spacing w:after="0" w:line="232"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w:t>
      </w:r>
    </w:p>
    <w:p>
      <w:pPr>
        <w:spacing w:after="0" w:line="197" w:lineRule="exact"/>
        <w:rPr>
          <w:rFonts w:ascii="Arial" w:cs="Arial" w:eastAsia="Arial" w:hAnsi="Arial"/>
          <w:sz w:val="20"/>
          <w:szCs w:val="20"/>
          <w:color w:val="auto"/>
        </w:rPr>
      </w:pPr>
    </w:p>
    <w:p>
      <w:pPr>
        <w:ind w:left="860" w:hanging="852"/>
        <w:spacing w:after="0" w:line="236"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reference herein to any Party or Third Party or person shall be construed to include the Party’s or Third Party’s or person’s permitted successors and assigns,</w:t>
      </w:r>
    </w:p>
    <w:p>
      <w:pPr>
        <w:spacing w:after="0" w:line="195" w:lineRule="exact"/>
        <w:rPr>
          <w:rFonts w:ascii="Arial" w:cs="Arial" w:eastAsia="Arial" w:hAnsi="Arial"/>
          <w:sz w:val="20"/>
          <w:szCs w:val="20"/>
          <w:color w:val="auto"/>
        </w:rPr>
      </w:pPr>
    </w:p>
    <w:p>
      <w:pPr>
        <w:ind w:left="860" w:hanging="852"/>
        <w:spacing w:after="0" w:line="236"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words “herein”, “hereof” and “hereunder”, and words of similar import, shall be construed to refer to this Agreement in its entirety and not to any particular provision hereof,</w:t>
      </w:r>
    </w:p>
    <w:p>
      <w:pPr>
        <w:spacing w:after="0" w:line="195" w:lineRule="exact"/>
        <w:rPr>
          <w:rFonts w:ascii="Arial" w:cs="Arial" w:eastAsia="Arial" w:hAnsi="Arial"/>
          <w:sz w:val="20"/>
          <w:szCs w:val="20"/>
          <w:color w:val="auto"/>
        </w:rPr>
      </w:pPr>
    </w:p>
    <w:p>
      <w:pPr>
        <w:ind w:left="860" w:hanging="852"/>
        <w:spacing w:after="0" w:line="236"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all references herein to Articles, Sections or Appendices shall be construed to refer to Articles, Sections or Appendices of this Agreement, and references to this Agreement include all Appendices hereto,</w:t>
      </w:r>
    </w:p>
    <w:p>
      <w:pPr>
        <w:spacing w:after="0" w:line="195" w:lineRule="exact"/>
        <w:rPr>
          <w:rFonts w:ascii="Arial" w:cs="Arial" w:eastAsia="Arial" w:hAnsi="Arial"/>
          <w:sz w:val="20"/>
          <w:szCs w:val="20"/>
          <w:color w:val="auto"/>
        </w:rPr>
      </w:pPr>
    </w:p>
    <w:p>
      <w:pPr>
        <w:ind w:left="860" w:right="20" w:hanging="852"/>
        <w:spacing w:after="0" w:line="236"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references to any specific law, rule or regulation, or article, section or other division thereof, shall be deemed to include the then-current amendments thereto or any replacement or successor law, rule or regulation thereof, and</w:t>
      </w:r>
    </w:p>
    <w:p>
      <w:pPr>
        <w:spacing w:after="0" w:line="195" w:lineRule="exact"/>
        <w:rPr>
          <w:rFonts w:ascii="Arial" w:cs="Arial" w:eastAsia="Arial" w:hAnsi="Arial"/>
          <w:sz w:val="20"/>
          <w:szCs w:val="20"/>
          <w:color w:val="auto"/>
        </w:rPr>
      </w:pPr>
    </w:p>
    <w:p>
      <w:pPr>
        <w:ind w:left="860" w:hanging="852"/>
        <w:spacing w:after="0"/>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term “or” shall be interpreted in the inclusive sense commonly associated with the term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9" w:name="page110"/>
    <w:bookmarkEnd w:id="109"/>
    <w:p>
      <w:pPr>
        <w:spacing w:after="0"/>
        <w:tabs>
          <w:tab w:leader="none" w:pos="74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Entire Understanding</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Agreement shall constitute the entire understanding between the parties with respect to the subject matter hereof and may only be modified by written agreement of both parties.</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9"/>
          <w:szCs w:val="19"/>
          <w:b w:val="1"/>
          <w:bCs w:val="1"/>
          <w:color w:val="auto"/>
        </w:rPr>
        <w:t>Amendments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No amendments of the terms and conditions of this Agreement shall be binding upon either Party hereto unless in writing and signed by both Parties.</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13.10</w:t>
      </w:r>
      <w:r>
        <w:rPr>
          <w:sz w:val="20"/>
          <w:szCs w:val="20"/>
          <w:color w:val="auto"/>
        </w:rPr>
        <w:tab/>
      </w:r>
      <w:r>
        <w:rPr>
          <w:rFonts w:ascii="Arial" w:cs="Arial" w:eastAsia="Arial" w:hAnsi="Arial"/>
          <w:sz w:val="19"/>
          <w:szCs w:val="19"/>
          <w:b w:val="1"/>
          <w:bCs w:val="1"/>
          <w:color w:val="auto"/>
        </w:rPr>
        <w:t>Notice</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All notices that are required or permitted hereunder shall be in writing and sufficient if delivered personally, sent by nationally recognized overnight courier or sent by registered or certified mail, postage prepaid, return receipt requested, addressed as follows:</w:t>
      </w:r>
    </w:p>
    <w:p>
      <w:pPr>
        <w:sectPr>
          <w:pgSz w:w="11900" w:h="16838" w:orient="portrait"/>
          <w:cols w:equalWidth="0" w:num="1">
            <w:col w:w="11240"/>
          </w:cols>
          <w:pgMar w:left="320" w:top="571" w:right="339" w:bottom="1440" w:gutter="0" w:footer="0" w:header="0"/>
        </w:sectPr>
      </w:pP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if to Synlogic, 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Synlogic, Inc.</w:t>
      </w:r>
    </w:p>
    <w:p>
      <w:pPr>
        <w:spacing w:after="0" w:line="237" w:lineRule="auto"/>
        <w:rPr>
          <w:sz w:val="20"/>
          <w:szCs w:val="20"/>
          <w:color w:val="auto"/>
        </w:rPr>
      </w:pPr>
      <w:r>
        <w:rPr>
          <w:rFonts w:ascii="Arial" w:cs="Arial" w:eastAsia="Arial" w:hAnsi="Arial"/>
          <w:sz w:val="19"/>
          <w:szCs w:val="19"/>
          <w:color w:val="auto"/>
        </w:rPr>
        <w:t>Attn: Chief Executive Officer</w:t>
      </w:r>
    </w:p>
    <w:p>
      <w:pPr>
        <w:spacing w:after="0" w:line="225" w:lineRule="auto"/>
        <w:rPr>
          <w:sz w:val="20"/>
          <w:szCs w:val="20"/>
          <w:color w:val="auto"/>
        </w:rPr>
      </w:pPr>
      <w:r>
        <w:rPr>
          <w:rFonts w:ascii="Arial" w:cs="Arial" w:eastAsia="Arial" w:hAnsi="Arial"/>
          <w:sz w:val="20"/>
          <w:szCs w:val="20"/>
          <w:color w:val="auto"/>
        </w:rPr>
        <w:t>301 Binney St., Suite 402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Cambridge, MA 02142</w:t>
      </w:r>
    </w:p>
    <w:p>
      <w:pPr>
        <w:spacing w:after="0" w:line="200" w:lineRule="exact"/>
        <w:rPr>
          <w:sz w:val="20"/>
          <w:szCs w:val="20"/>
          <w:color w:val="auto"/>
        </w:rPr>
      </w:pPr>
    </w:p>
    <w:p>
      <w:pPr>
        <w:sectPr>
          <w:pgSz w:w="11900" w:h="16838" w:orient="portrait"/>
          <w:cols w:equalWidth="0" w:num="2">
            <w:col w:w="3820" w:space="720"/>
            <w:col w:w="6700"/>
          </w:cols>
          <w:pgMar w:left="320" w:top="571" w:right="339" w:bottom="1440" w:gutter="0" w:footer="0" w:header="0"/>
          <w:type w:val="continuous"/>
        </w:sectPr>
      </w:pPr>
    </w:p>
    <w:p>
      <w:pPr>
        <w:spacing w:after="0" w:line="299"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Attn: Legal Department</w:t>
      </w:r>
    </w:p>
    <w:p>
      <w:pPr>
        <w:spacing w:after="0" w:line="200" w:lineRule="exact"/>
        <w:rPr>
          <w:sz w:val="20"/>
          <w:szCs w:val="20"/>
          <w:color w:val="auto"/>
        </w:rPr>
      </w:pPr>
    </w:p>
    <w:p>
      <w:pPr>
        <w:sectPr>
          <w:pgSz w:w="11900" w:h="16838" w:orient="portrait"/>
          <w:cols w:equalWidth="0" w:num="2">
            <w:col w:w="3820" w:space="720"/>
            <w:col w:w="6700"/>
          </w:cols>
          <w:pgMar w:left="320" w:top="571"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if to Roche,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F. Hoffmann-La Roche Ltd</w:t>
      </w:r>
    </w:p>
    <w:p>
      <w:pPr>
        <w:spacing w:after="0" w:line="225" w:lineRule="auto"/>
        <w:rPr>
          <w:sz w:val="20"/>
          <w:szCs w:val="20"/>
          <w:color w:val="auto"/>
        </w:rPr>
      </w:pPr>
      <w:r>
        <w:rPr>
          <w:rFonts w:ascii="Arial" w:cs="Arial" w:eastAsia="Arial" w:hAnsi="Arial"/>
          <w:sz w:val="20"/>
          <w:szCs w:val="20"/>
          <w:color w:val="auto"/>
        </w:rPr>
        <w:t>Grenzacherstrasse 124</w:t>
      </w:r>
    </w:p>
    <w:p>
      <w:pPr>
        <w:spacing w:after="0" w:line="228" w:lineRule="auto"/>
        <w:rPr>
          <w:sz w:val="20"/>
          <w:szCs w:val="20"/>
          <w:color w:val="auto"/>
        </w:rPr>
      </w:pPr>
      <w:r>
        <w:rPr>
          <w:rFonts w:ascii="Arial" w:cs="Arial" w:eastAsia="Arial" w:hAnsi="Arial"/>
          <w:sz w:val="20"/>
          <w:szCs w:val="20"/>
          <w:color w:val="auto"/>
        </w:rPr>
        <w:t>4070 Basel</w:t>
      </w:r>
    </w:p>
    <w:p>
      <w:pPr>
        <w:spacing w:after="0" w:line="237" w:lineRule="auto"/>
        <w:rPr>
          <w:sz w:val="20"/>
          <w:szCs w:val="20"/>
          <w:color w:val="auto"/>
        </w:rPr>
      </w:pPr>
      <w:r>
        <w:rPr>
          <w:rFonts w:ascii="Arial" w:cs="Arial" w:eastAsia="Arial" w:hAnsi="Arial"/>
          <w:sz w:val="20"/>
          <w:szCs w:val="20"/>
          <w:color w:val="auto"/>
        </w:rPr>
        <w:t>Switzerland</w:t>
      </w:r>
    </w:p>
    <w:p>
      <w:pPr>
        <w:spacing w:after="0"/>
        <w:rPr>
          <w:sz w:val="20"/>
          <w:szCs w:val="20"/>
          <w:color w:val="auto"/>
        </w:rPr>
      </w:pPr>
      <w:r>
        <w:rPr>
          <w:rFonts w:ascii="Arial" w:cs="Arial" w:eastAsia="Arial" w:hAnsi="Arial"/>
          <w:sz w:val="20"/>
          <w:szCs w:val="20"/>
          <w:color w:val="auto"/>
        </w:rPr>
        <w:t>Attn: Legal Department</w:t>
      </w:r>
    </w:p>
    <w:p>
      <w:pPr>
        <w:spacing w:after="0" w:line="200" w:lineRule="exact"/>
        <w:rPr>
          <w:sz w:val="20"/>
          <w:szCs w:val="20"/>
          <w:color w:val="auto"/>
        </w:rPr>
      </w:pPr>
    </w:p>
    <w:p>
      <w:pPr>
        <w:sectPr>
          <w:pgSz w:w="11900" w:h="16838" w:orient="portrait"/>
          <w:cols w:equalWidth="0" w:num="2">
            <w:col w:w="3820" w:space="720"/>
            <w:col w:w="6700"/>
          </w:cols>
          <w:pgMar w:left="320" w:top="571" w:right="339" w:bottom="1440" w:gutter="0" w:footer="0" w:header="0"/>
          <w:type w:val="continuous"/>
        </w:sectPr>
      </w:pPr>
    </w:p>
    <w:p>
      <w:pPr>
        <w:spacing w:after="0" w:line="16"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Hoffmann-La Roche Inc.</w:t>
      </w:r>
    </w:p>
    <w:p>
      <w:pPr>
        <w:spacing w:after="0" w:line="225" w:lineRule="auto"/>
        <w:rPr>
          <w:sz w:val="20"/>
          <w:szCs w:val="20"/>
          <w:color w:val="auto"/>
        </w:rPr>
      </w:pPr>
      <w:r>
        <w:rPr>
          <w:rFonts w:ascii="Arial" w:cs="Arial" w:eastAsia="Arial" w:hAnsi="Arial"/>
          <w:sz w:val="20"/>
          <w:szCs w:val="20"/>
          <w:color w:val="auto"/>
        </w:rPr>
        <w:t>150 Clove Road</w:t>
      </w:r>
    </w:p>
    <w:p>
      <w:pPr>
        <w:spacing w:after="0" w:line="225" w:lineRule="auto"/>
        <w:rPr>
          <w:sz w:val="20"/>
          <w:szCs w:val="20"/>
          <w:color w:val="auto"/>
        </w:rPr>
      </w:pPr>
      <w:r>
        <w:rPr>
          <w:rFonts w:ascii="Arial" w:cs="Arial" w:eastAsia="Arial" w:hAnsi="Arial"/>
          <w:sz w:val="20"/>
          <w:szCs w:val="20"/>
          <w:color w:val="auto"/>
        </w:rPr>
        <w:t>Suite 8</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Little Falls, New Jersey 07424</w:t>
      </w:r>
    </w:p>
    <w:p>
      <w:pPr>
        <w:spacing w:after="0" w:line="236" w:lineRule="auto"/>
        <w:rPr>
          <w:sz w:val="20"/>
          <w:szCs w:val="20"/>
          <w:color w:val="auto"/>
        </w:rPr>
      </w:pPr>
      <w:r>
        <w:rPr>
          <w:rFonts w:ascii="Arial" w:cs="Arial" w:eastAsia="Arial" w:hAnsi="Arial"/>
          <w:sz w:val="20"/>
          <w:szCs w:val="20"/>
          <w:color w:val="auto"/>
        </w:rPr>
        <w:t>U.S.A.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ectPr>
          <w:pgSz w:w="11900" w:h="16838" w:orient="portrait"/>
          <w:cols w:equalWidth="0" w:num="2">
            <w:col w:w="3820" w:space="720"/>
            <w:col w:w="6700"/>
          </w:cols>
          <w:pgMar w:left="320" w:top="571" w:right="339" w:bottom="1440" w:gutter="0" w:footer="0" w:header="0"/>
          <w:type w:val="continuous"/>
        </w:sectPr>
      </w:pP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13.11</w:t>
      </w:r>
      <w:r>
        <w:rPr>
          <w:sz w:val="20"/>
          <w:szCs w:val="20"/>
          <w:color w:val="auto"/>
        </w:rPr>
        <w:tab/>
      </w:r>
      <w:r>
        <w:rPr>
          <w:rFonts w:ascii="Arial" w:cs="Arial" w:eastAsia="Arial" w:hAnsi="Arial"/>
          <w:sz w:val="19"/>
          <w:szCs w:val="19"/>
          <w:b w:val="1"/>
          <w:bCs w:val="1"/>
          <w:color w:val="auto"/>
        </w:rPr>
        <w:t>Governing Law; Arbitration</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Agreement shall be governed by and construed in accordance with the laws of New York, New York, without reference to its conflict of laws principles.</w:t>
      </w:r>
    </w:p>
    <w:p>
      <w:pPr>
        <w:spacing w:after="0" w:line="20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All disputes arising out of or in connection with this Agreement shall be finally settled under the Rules of Arbitration of the International Chamber of Commerce (“</w:t>
      </w:r>
      <w:r>
        <w:rPr>
          <w:rFonts w:ascii="Arial" w:cs="Arial" w:eastAsia="Arial" w:hAnsi="Arial"/>
          <w:sz w:val="20"/>
          <w:szCs w:val="20"/>
          <w:b w:val="1"/>
          <w:bCs w:val="1"/>
          <w:color w:val="auto"/>
        </w:rPr>
        <w:t>ICC</w:t>
      </w:r>
      <w:r>
        <w:rPr>
          <w:rFonts w:ascii="Arial" w:cs="Arial" w:eastAsia="Arial" w:hAnsi="Arial"/>
          <w:sz w:val="20"/>
          <w:szCs w:val="20"/>
          <w:color w:val="auto"/>
        </w:rPr>
        <w:t>”) by three arbitrators appointed in accordance with the said rules. The Emergency Arbitrator Provisions shall not apply.</w:t>
      </w:r>
    </w:p>
    <w:p>
      <w:pPr>
        <w:spacing w:after="0" w:line="21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Each Party shall nominate one arbitrator each of whom has at least [***] years of relevant experience in the pharmaceutical or biotechnology industry , each of whom will be impartial and independent as required by the applicable Rules of Arbitration of the ICC. Should the claimant fail to appoint an arbitrator in the request for arbitration within [***] days of being requested to do so, or if the respondent should fail to appoint an arbitrator in its answer to the request for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color w:val="auto"/>
        </w:rPr>
        <w:t>within [***] days of being requested to do so, the other Party shall request the ICC Court to make such appointment.</w:t>
      </w:r>
    </w:p>
    <w:p>
      <w:pPr>
        <w:spacing w:after="0" w:line="21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arbitrators nominated by the Parties shall, within [***] days from the appointment of the arbitrator nominated in the answer to the request for arbitration, and after consultation with the Parties, agree and appoint a third arbitrator, who will act as a chairman of the Arbitral Tribunal. Should such procedure not result in an appointment within the [***] day time limit, either Party shall be free to request the ICC Court to appoint the third arbitrator.</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If any Party-appointed arbitrator or the third arbitrator resigns or ceases to be able to act, a replacement shall be appointed in accordance with the arrangements provided for in this clause.</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Paris, France shall be the seat of the arbitration. The language of the arbitration shall be English. Documents submitted in the arbitration (the originals of which are not in English) shall be submitted together with an English translation.</w:t>
      </w:r>
    </w:p>
    <w:p>
      <w:pPr>
        <w:spacing w:after="0" w:line="199"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13.12</w:t>
      </w:r>
      <w:r>
        <w:rPr>
          <w:sz w:val="20"/>
          <w:szCs w:val="20"/>
          <w:color w:val="auto"/>
        </w:rPr>
        <w:tab/>
      </w:r>
      <w:r>
        <w:rPr>
          <w:rFonts w:ascii="Arial" w:cs="Arial" w:eastAsia="Arial" w:hAnsi="Arial"/>
          <w:sz w:val="19"/>
          <w:szCs w:val="19"/>
          <w:b w:val="1"/>
          <w:bCs w:val="1"/>
          <w:color w:val="auto"/>
        </w:rPr>
        <w:t>Counterparts</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This Agreement may be executed in two or more counterparts, including by facsimile, electronic Signature, or PDF signature pages, each of which will be deemed an original, but all of which together will constitute one and the same instrument.</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auto"/>
        </w:rPr>
        <w:t>13.13</w:t>
      </w:r>
      <w:r>
        <w:rPr>
          <w:sz w:val="20"/>
          <w:szCs w:val="20"/>
          <w:color w:val="auto"/>
        </w:rPr>
        <w:tab/>
      </w:r>
      <w:r>
        <w:rPr>
          <w:rFonts w:ascii="Arial" w:cs="Arial" w:eastAsia="Arial" w:hAnsi="Arial"/>
          <w:sz w:val="19"/>
          <w:szCs w:val="19"/>
          <w:b w:val="1"/>
          <w:bCs w:val="1"/>
          <w:color w:val="auto"/>
        </w:rPr>
        <w:t>Further Assurances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Parties agree to reasonably cooperate with each other in connection with any actions required to be taken as part of their respective obligations under this Agreement, and will (a) furnish to each other such further information; (b) execute and deliver to each other such other documents; and (c) do such other acts and things (including working collaboratively to correct any clerical, typographical, or other similar errors in this Agreement), all as the other Party may reasonably request for the purpose of carrying out the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IN WITNESS WHEREOF, the parties have caused this Agreement to be executed as of the Effective Date.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800" w:type="dxa"/>
            <w:vAlign w:val="bottom"/>
            <w:gridSpan w:val="2"/>
          </w:tcPr>
          <w:p>
            <w:pPr>
              <w:ind w:left="220"/>
              <w:spacing w:after="0"/>
              <w:rPr>
                <w:sz w:val="20"/>
                <w:szCs w:val="20"/>
                <w:color w:val="auto"/>
              </w:rPr>
            </w:pPr>
            <w:r>
              <w:rPr>
                <w:rFonts w:ascii="Arial" w:cs="Arial" w:eastAsia="Arial" w:hAnsi="Arial"/>
                <w:sz w:val="20"/>
                <w:szCs w:val="20"/>
                <w:color w:val="auto"/>
              </w:rPr>
              <w:t>/s/ VIKAS KABRA</w:t>
            </w:r>
          </w:p>
        </w:tc>
        <w:tc>
          <w:tcPr>
            <w:tcW w:w="1040" w:type="dxa"/>
            <w:vAlign w:val="bottom"/>
          </w:tcPr>
          <w:p>
            <w:pPr>
              <w:ind w:left="80"/>
              <w:spacing w:after="0"/>
              <w:rPr>
                <w:sz w:val="20"/>
                <w:szCs w:val="20"/>
                <w:color w:val="auto"/>
              </w:rPr>
            </w:pPr>
            <w:r>
              <w:rPr>
                <w:rFonts w:ascii="Arial" w:cs="Arial" w:eastAsia="Arial" w:hAnsi="Arial"/>
                <w:sz w:val="20"/>
                <w:szCs w:val="20"/>
                <w:color w:val="auto"/>
              </w:rPr>
              <w:t>By:</w:t>
            </w:r>
          </w:p>
        </w:tc>
        <w:tc>
          <w:tcPr>
            <w:tcW w:w="4600" w:type="dxa"/>
            <w:vAlign w:val="bottom"/>
          </w:tcPr>
          <w:p>
            <w:pPr>
              <w:ind w:left="20"/>
              <w:spacing w:after="0"/>
              <w:rPr>
                <w:sz w:val="20"/>
                <w:szCs w:val="20"/>
                <w:color w:val="auto"/>
              </w:rPr>
            </w:pPr>
            <w:r>
              <w:rPr>
                <w:rFonts w:ascii="Arial" w:cs="Arial" w:eastAsia="Arial" w:hAnsi="Arial"/>
                <w:sz w:val="20"/>
                <w:szCs w:val="20"/>
                <w:color w:val="auto"/>
              </w:rPr>
              <w:t>/s/ HANNAH BOEHM</w:t>
            </w:r>
          </w:p>
        </w:tc>
      </w:tr>
      <w:tr>
        <w:trPr>
          <w:trHeight w:val="219"/>
        </w:trPr>
        <w:tc>
          <w:tcPr>
            <w:tcW w:w="800" w:type="dxa"/>
            <w:vAlign w:val="bottom"/>
          </w:tcPr>
          <w:p>
            <w:pPr>
              <w:spacing w:after="0" w:line="219" w:lineRule="exact"/>
              <w:rPr>
                <w:sz w:val="20"/>
                <w:szCs w:val="20"/>
                <w:color w:val="auto"/>
              </w:rPr>
            </w:pPr>
            <w:r>
              <w:rPr>
                <w:rFonts w:ascii="Arial" w:cs="Arial" w:eastAsia="Arial" w:hAnsi="Arial"/>
                <w:sz w:val="20"/>
                <w:szCs w:val="20"/>
                <w:color w:val="auto"/>
              </w:rPr>
              <w:t>Name:</w:t>
            </w:r>
          </w:p>
        </w:tc>
        <w:tc>
          <w:tcPr>
            <w:tcW w:w="220" w:type="dxa"/>
            <w:vAlign w:val="bottom"/>
          </w:tcPr>
          <w:p>
            <w:pPr>
              <w:spacing w:after="0"/>
              <w:rPr>
                <w:sz w:val="19"/>
                <w:szCs w:val="19"/>
                <w:color w:val="auto"/>
              </w:rPr>
            </w:pPr>
          </w:p>
        </w:tc>
        <w:tc>
          <w:tcPr>
            <w:tcW w:w="4580" w:type="dxa"/>
            <w:vAlign w:val="bottom"/>
            <w:tcBorders>
              <w:top w:val="single" w:sz="8" w:color="auto"/>
            </w:tcBorders>
          </w:tcPr>
          <w:p>
            <w:pPr>
              <w:spacing w:after="0" w:line="219" w:lineRule="exact"/>
              <w:rPr>
                <w:sz w:val="20"/>
                <w:szCs w:val="20"/>
                <w:color w:val="auto"/>
              </w:rPr>
            </w:pPr>
            <w:r>
              <w:rPr>
                <w:rFonts w:ascii="Arial" w:cs="Arial" w:eastAsia="Arial" w:hAnsi="Arial"/>
                <w:sz w:val="20"/>
                <w:szCs w:val="20"/>
                <w:color w:val="auto"/>
              </w:rPr>
              <w:t>Vikas Kabra</w:t>
            </w:r>
          </w:p>
        </w:tc>
        <w:tc>
          <w:tcPr>
            <w:tcW w:w="1040" w:type="dxa"/>
            <w:vAlign w:val="bottom"/>
          </w:tcPr>
          <w:p>
            <w:pPr>
              <w:ind w:left="80"/>
              <w:spacing w:after="0" w:line="219" w:lineRule="exact"/>
              <w:rPr>
                <w:sz w:val="20"/>
                <w:szCs w:val="20"/>
                <w:color w:val="auto"/>
              </w:rPr>
            </w:pPr>
            <w:r>
              <w:rPr>
                <w:rFonts w:ascii="Arial" w:cs="Arial" w:eastAsia="Arial" w:hAnsi="Arial"/>
                <w:sz w:val="20"/>
                <w:szCs w:val="20"/>
                <w:color w:val="auto"/>
              </w:rPr>
              <w:t>Name:</w:t>
            </w:r>
          </w:p>
        </w:tc>
        <w:tc>
          <w:tcPr>
            <w:tcW w:w="4600" w:type="dxa"/>
            <w:vAlign w:val="bottom"/>
            <w:tcBorders>
              <w:top w:val="single" w:sz="8" w:color="auto"/>
            </w:tcBorders>
          </w:tcPr>
          <w:p>
            <w:pPr>
              <w:ind w:left="20"/>
              <w:spacing w:after="0" w:line="219" w:lineRule="exact"/>
              <w:rPr>
                <w:sz w:val="20"/>
                <w:szCs w:val="20"/>
                <w:color w:val="auto"/>
              </w:rPr>
            </w:pPr>
            <w:r>
              <w:rPr>
                <w:rFonts w:ascii="Arial" w:cs="Arial" w:eastAsia="Arial" w:hAnsi="Arial"/>
                <w:sz w:val="20"/>
                <w:szCs w:val="20"/>
                <w:color w:val="auto"/>
              </w:rPr>
              <w:t>Hannah Boehm</w:t>
            </w:r>
          </w:p>
        </w:tc>
      </w:tr>
      <w:tr>
        <w:trPr>
          <w:trHeight w:val="237"/>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800" w:type="dxa"/>
            <w:vAlign w:val="bottom"/>
            <w:gridSpan w:val="2"/>
          </w:tcPr>
          <w:p>
            <w:pPr>
              <w:ind w:left="220"/>
              <w:spacing w:after="0"/>
              <w:rPr>
                <w:sz w:val="20"/>
                <w:szCs w:val="20"/>
                <w:color w:val="auto"/>
              </w:rPr>
            </w:pPr>
            <w:r>
              <w:rPr>
                <w:rFonts w:ascii="Arial" w:cs="Arial" w:eastAsia="Arial" w:hAnsi="Arial"/>
                <w:sz w:val="20"/>
                <w:szCs w:val="20"/>
                <w:color w:val="auto"/>
              </w:rPr>
              <w:t>Global Head Transaction Excellence</w:t>
            </w:r>
          </w:p>
        </w:tc>
        <w:tc>
          <w:tcPr>
            <w:tcW w:w="1040" w:type="dxa"/>
            <w:vAlign w:val="bottom"/>
          </w:tcPr>
          <w:p>
            <w:pPr>
              <w:ind w:left="80"/>
              <w:spacing w:after="0"/>
              <w:rPr>
                <w:sz w:val="20"/>
                <w:szCs w:val="20"/>
                <w:color w:val="auto"/>
              </w:rPr>
            </w:pPr>
            <w:r>
              <w:rPr>
                <w:rFonts w:ascii="Arial" w:cs="Arial" w:eastAsia="Arial" w:hAnsi="Arial"/>
                <w:sz w:val="20"/>
                <w:szCs w:val="20"/>
                <w:color w:val="auto"/>
              </w:rPr>
              <w:t>Title:</w:t>
            </w:r>
          </w:p>
        </w:tc>
        <w:tc>
          <w:tcPr>
            <w:tcW w:w="4600" w:type="dxa"/>
            <w:vAlign w:val="bottom"/>
          </w:tcPr>
          <w:p>
            <w:pPr>
              <w:ind w:left="20"/>
              <w:spacing w:after="0"/>
              <w:rPr>
                <w:sz w:val="20"/>
                <w:szCs w:val="20"/>
                <w:color w:val="auto"/>
              </w:rPr>
            </w:pPr>
            <w:r>
              <w:rPr>
                <w:rFonts w:ascii="Arial" w:cs="Arial" w:eastAsia="Arial" w:hAnsi="Arial"/>
                <w:sz w:val="20"/>
                <w:szCs w:val="20"/>
                <w:color w:val="auto"/>
              </w:rPr>
              <w:t>Legal Counsel</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16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3549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Hoffmann-La Roche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PARISE</w:t>
            </w:r>
          </w:p>
        </w:tc>
      </w:tr>
      <w:tr>
        <w:trPr>
          <w:trHeight w:val="219"/>
        </w:trPr>
        <w:tc>
          <w:tcPr>
            <w:tcW w:w="1020" w:type="dxa"/>
            <w:vAlign w:val="bottom"/>
          </w:tcPr>
          <w:p>
            <w:pPr>
              <w:spacing w:after="0" w:line="219" w:lineRule="exact"/>
              <w:rPr>
                <w:sz w:val="20"/>
                <w:szCs w:val="20"/>
                <w:color w:val="auto"/>
              </w:rPr>
            </w:pPr>
            <w:r>
              <w:rPr>
                <w:rFonts w:ascii="Arial" w:cs="Arial" w:eastAsia="Arial" w:hAnsi="Arial"/>
                <w:sz w:val="20"/>
                <w:szCs w:val="20"/>
                <w:color w:val="auto"/>
              </w:rPr>
              <w:t>Name:</w:t>
            </w:r>
          </w:p>
        </w:tc>
        <w:tc>
          <w:tcPr>
            <w:tcW w:w="4580" w:type="dxa"/>
            <w:vAlign w:val="bottom"/>
          </w:tcPr>
          <w:p>
            <w:pPr>
              <w:spacing w:after="0" w:line="219" w:lineRule="exact"/>
              <w:rPr>
                <w:sz w:val="20"/>
                <w:szCs w:val="20"/>
                <w:color w:val="auto"/>
              </w:rPr>
            </w:pPr>
            <w:r>
              <w:rPr>
                <w:rFonts w:ascii="Arial" w:cs="Arial" w:eastAsia="Arial" w:hAnsi="Arial"/>
                <w:sz w:val="20"/>
                <w:szCs w:val="20"/>
                <w:color w:val="auto"/>
              </w:rPr>
              <w:t>John Parise</w:t>
            </w:r>
          </w:p>
        </w:tc>
      </w:tr>
      <w:tr>
        <w:trPr>
          <w:trHeight w:val="237"/>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spacing w:after="0"/>
              <w:rPr>
                <w:sz w:val="20"/>
                <w:szCs w:val="20"/>
                <w:color w:val="auto"/>
              </w:rPr>
            </w:pPr>
            <w:r>
              <w:rPr>
                <w:rFonts w:ascii="Arial" w:cs="Arial" w:eastAsia="Arial" w:hAnsi="Arial"/>
                <w:sz w:val="20"/>
                <w:szCs w:val="20"/>
                <w:color w:val="auto"/>
              </w:rPr>
              <w:t>Authorized Signatory</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16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3549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Synlogic Operating Company,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AOIFE BRENNAN</w:t>
            </w:r>
          </w:p>
        </w:tc>
      </w:tr>
      <w:tr>
        <w:trPr>
          <w:trHeight w:val="219"/>
        </w:trPr>
        <w:tc>
          <w:tcPr>
            <w:tcW w:w="1020" w:type="dxa"/>
            <w:vAlign w:val="bottom"/>
          </w:tcPr>
          <w:p>
            <w:pPr>
              <w:spacing w:after="0" w:line="219" w:lineRule="exact"/>
              <w:rPr>
                <w:sz w:val="20"/>
                <w:szCs w:val="20"/>
                <w:color w:val="auto"/>
              </w:rPr>
            </w:pPr>
            <w:r>
              <w:rPr>
                <w:rFonts w:ascii="Arial" w:cs="Arial" w:eastAsia="Arial" w:hAnsi="Arial"/>
                <w:sz w:val="20"/>
                <w:szCs w:val="20"/>
                <w:color w:val="auto"/>
              </w:rPr>
              <w:t>Name:</w:t>
            </w:r>
          </w:p>
        </w:tc>
        <w:tc>
          <w:tcPr>
            <w:tcW w:w="4580" w:type="dxa"/>
            <w:vAlign w:val="bottom"/>
          </w:tcPr>
          <w:p>
            <w:pPr>
              <w:spacing w:after="0" w:line="219" w:lineRule="exact"/>
              <w:rPr>
                <w:sz w:val="20"/>
                <w:szCs w:val="20"/>
                <w:color w:val="auto"/>
              </w:rPr>
            </w:pPr>
            <w:r>
              <w:rPr>
                <w:rFonts w:ascii="Arial" w:cs="Arial" w:eastAsia="Arial" w:hAnsi="Arial"/>
                <w:sz w:val="20"/>
                <w:szCs w:val="20"/>
                <w:color w:val="auto"/>
              </w:rPr>
              <w:t>Aoife Brennan</w:t>
            </w:r>
          </w:p>
        </w:tc>
      </w:tr>
      <w:tr>
        <w:trPr>
          <w:trHeight w:val="237"/>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spacing w:after="0"/>
              <w:rPr>
                <w:sz w:val="20"/>
                <w:szCs w:val="20"/>
                <w:color w:val="auto"/>
              </w:rPr>
            </w:pPr>
            <w:r>
              <w:rPr>
                <w:rFonts w:ascii="Arial" w:cs="Arial" w:eastAsia="Arial" w:hAnsi="Arial"/>
                <w:sz w:val="20"/>
                <w:szCs w:val="20"/>
                <w:color w:val="auto"/>
              </w:rPr>
              <w:t>CEO</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16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3549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i w:val="1"/>
          <w:iCs w:val="1"/>
          <w:color w:val="auto"/>
        </w:rPr>
        <w:t>Confidential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Study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546735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i w:val="1"/>
          <w:iCs w:val="1"/>
          <w:color w:val="auto"/>
        </w:rPr>
        <w:t>Confidential</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Appendix 2 to the Pilot Collaboration and Option Agreement (“PCO Agreement”)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Synlogic, Inc. (“Synlogic”)</w:t>
      </w:r>
    </w:p>
    <w:p>
      <w:pPr>
        <w:jc w:val="center"/>
        <w:ind w:right="19"/>
        <w:spacing w:after="0" w:line="225" w:lineRule="auto"/>
        <w:rPr>
          <w:sz w:val="20"/>
          <w:szCs w:val="20"/>
          <w:color w:val="auto"/>
        </w:rPr>
      </w:pPr>
      <w:r>
        <w:rPr>
          <w:rFonts w:ascii="Arial" w:cs="Arial" w:eastAsia="Arial" w:hAnsi="Arial"/>
          <w:sz w:val="20"/>
          <w:szCs w:val="20"/>
          <w:b w:val="1"/>
          <w:bCs w:val="1"/>
          <w:color w:val="auto"/>
        </w:rPr>
        <w:t>–</w:t>
      </w:r>
    </w:p>
    <w:p>
      <w:pPr>
        <w:jc w:val="center"/>
        <w:ind w:right="19"/>
        <w:spacing w:after="0" w:line="225" w:lineRule="auto"/>
        <w:rPr>
          <w:sz w:val="20"/>
          <w:szCs w:val="20"/>
          <w:color w:val="auto"/>
        </w:rPr>
      </w:pPr>
      <w:r>
        <w:rPr>
          <w:rFonts w:ascii="Arial" w:cs="Arial" w:eastAsia="Arial" w:hAnsi="Arial"/>
          <w:sz w:val="20"/>
          <w:szCs w:val="20"/>
          <w:b w:val="1"/>
          <w:bCs w:val="1"/>
          <w:color w:val="auto"/>
        </w:rPr>
        <w:t>Hoffmann-La Roche Inc. and F. Hoffmann-La Roche Ltd (collectively “Roche”)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Term Sheet for a Collaboration and License Agreement (“CLA”)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19"/>
          </w:cols>
          <w:pgMar w:left="1440" w:top="110"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2021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12, 2021</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2021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12, 2021</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decimal"/>
      <w:start w:val="2"/>
    </w:lvl>
  </w:abstractNum>
  <w:abstractNum w:abstractNumId="4">
    <w:nsid w:val="3DC240FB"/>
    <w:multiLevelType w:val="hybridMultilevel"/>
    <w:lvl w:ilvl="0">
      <w:lvlJc w:val="left"/>
      <w:lvlText w:val="(%1)"/>
      <w:numFmt w:val="decimal"/>
      <w:start w:val="3"/>
    </w:lvl>
  </w:abstractNum>
  <w:abstractNum w:abstractNumId="5">
    <w:nsid w:val="1BA026FA"/>
    <w:multiLevelType w:val="hybridMultilevel"/>
    <w:lvl w:ilvl="0">
      <w:lvlJc w:val="left"/>
      <w:lvlText w:val="(%1)"/>
      <w:numFmt w:val="decimal"/>
      <w:start w:val="4"/>
    </w:lvl>
  </w:abstractNum>
  <w:abstractNum w:abstractNumId="6">
    <w:nsid w:val="79A1DEAA"/>
    <w:multiLevelType w:val="hybridMultilevel"/>
    <w:lvl w:ilvl="0">
      <w:lvlJc w:val="left"/>
      <w:lvlText w:val="(%1)"/>
      <w:numFmt w:val="decimal"/>
      <w:start w:val="5"/>
    </w:lvl>
  </w:abstractNum>
  <w:abstractNum w:abstractNumId="7">
    <w:nsid w:val="75C6C33A"/>
    <w:multiLevelType w:val="hybridMultilevel"/>
    <w:lvl w:ilvl="0">
      <w:lvlJc w:val="left"/>
      <w:lvlText w:val="(%1)"/>
      <w:numFmt w:val="decimal"/>
      <w:start w:val="6"/>
    </w:lvl>
  </w:abstractNum>
  <w:abstractNum w:abstractNumId="8">
    <w:nsid w:val="12E685FB"/>
    <w:multiLevelType w:val="hybridMultilevel"/>
    <w:lvl w:ilvl="0">
      <w:lvlJc w:val="left"/>
      <w:lvlText w:val="(%1)"/>
      <w:numFmt w:val="decimal"/>
      <w:start w:val="7"/>
    </w:lvl>
  </w:abstractNum>
  <w:abstractNum w:abstractNumId="9">
    <w:nsid w:val="70C6A529"/>
    <w:multiLevelType w:val="hybridMultilevel"/>
    <w:lvl w:ilvl="0">
      <w:lvlJc w:val="left"/>
      <w:lvlText w:val="(%1)"/>
      <w:numFmt w:val="decimal"/>
      <w:start w:val="8"/>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decimal"/>
      <w:start w:val="9"/>
    </w:lvl>
  </w:abstractNum>
  <w:abstractNum w:abstractNumId="12">
    <w:nsid w:val="4F4EF005"/>
    <w:multiLevelType w:val="hybridMultilevel"/>
    <w:lvl w:ilvl="0">
      <w:lvlJc w:val="left"/>
      <w:lvlText w:val="(%1)"/>
      <w:numFmt w:val="decimal"/>
      <w:start w:val="10"/>
    </w:lvl>
  </w:abstractNum>
  <w:abstractNum w:abstractNumId="13">
    <w:nsid w:val="23F9C13C"/>
    <w:multiLevelType w:val="hybridMultilevel"/>
    <w:lvl w:ilvl="0">
      <w:lvlJc w:val="left"/>
      <w:lvlText w:val="(%1)"/>
      <w:numFmt w:val="decimal"/>
      <w:start w:val="11"/>
    </w:lvl>
  </w:abstractNum>
  <w:abstractNum w:abstractNumId="14">
    <w:nsid w:val="649BB77C"/>
    <w:multiLevelType w:val="hybridMultilevel"/>
    <w:lvl w:ilvl="0">
      <w:lvlJc w:val="left"/>
      <w:lvlText w:val="(%1)"/>
      <w:numFmt w:val="decimal"/>
      <w:start w:val="12"/>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2"/>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2"/>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2"/>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1)"/>
      <w:numFmt w:val="lowerLetter"/>
      <w:start w:val="1"/>
    </w:lvl>
    <w:lvl w:ilvl="1">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lowerLetter"/>
      <w:start w:val="1"/>
    </w:lvl>
    <w:lvl w:ilvl="1">
      <w:lvlJc w:val="left"/>
      <w:lvlText w:val="•"/>
      <w:numFmt w:val="bullet"/>
      <w:start w:val="1"/>
    </w:lvl>
  </w:abstractNum>
  <w:abstractNum w:abstractNumId="61">
    <w:nsid w:val="1A32234B"/>
    <w:multiLevelType w:val="hybridMultilevel"/>
    <w:lvl w:ilvl="0">
      <w:lvlJc w:val="left"/>
      <w:lvlText w:val="%1)"/>
      <w:numFmt w:val="lowerLetter"/>
      <w:start w:val="5"/>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1"/>
      <w:numFmt w:val="bullet"/>
      <w:start w:val="1"/>
    </w:lvl>
  </w:abstractNum>
  <w:abstractNum w:abstractNumId="66">
    <w:nsid w:val="6A5EE64"/>
    <w:multiLevelType w:val="hybridMultilevel"/>
    <w:lvl w:ilvl="0">
      <w:lvlJc w:val="left"/>
      <w:lvlText w:val="(%1)"/>
      <w:numFmt w:val="lowerLetter"/>
      <w:start w:val="2"/>
    </w:lvl>
  </w:abstractNum>
  <w:abstractNum w:abstractNumId="67">
    <w:nsid w:val="14330624"/>
    <w:multiLevelType w:val="hybridMultilevel"/>
    <w:lvl w:ilvl="0">
      <w:lvlJc w:val="left"/>
      <w:lvlText w:val="(%1)"/>
      <w:numFmt w:val="lowerRoman"/>
      <w:start w:val="1"/>
    </w:lvl>
  </w:abstractNum>
  <w:abstractNum w:abstractNumId="68">
    <w:nsid w:val="7FFFCA11"/>
    <w:multiLevelType w:val="hybridMultilevel"/>
    <w:lvl w:ilvl="0">
      <w:lvlJc w:val="left"/>
      <w:lvlText w:val="2"/>
      <w:numFmt w:val="bullet"/>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3"/>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lvl w:ilvl="1">
      <w:lvlJc w:val="left"/>
      <w:lvlText w:val="(%2)"/>
      <w:numFmt w:val="lowerRoman"/>
      <w:start w:val="1"/>
    </w:lvl>
  </w:abstractNum>
  <w:abstractNum w:abstractNumId="74">
    <w:nsid w:val="6F6DD9AC"/>
    <w:multiLevelType w:val="hybridMultilevel"/>
    <w:lvl w:ilvl="0">
      <w:lvlJc w:val="left"/>
      <w:lvlText w:val="4"/>
      <w:numFmt w:val="bullet"/>
      <w:start w:val="1"/>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5"/>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6"/>
      <w:numFmt w:val="bullet"/>
      <w:start w:val="1"/>
    </w:lvl>
  </w:abstractNum>
  <w:abstractNum w:abstractNumId="79">
    <w:nsid w:val="1716703B"/>
    <w:multiLevelType w:val="hybridMultilevel"/>
    <w:lvl w:ilvl="0">
      <w:lvlJc w:val="left"/>
      <w:lvlText w:val="(%1)"/>
      <w:numFmt w:val="lowerLetter"/>
      <w:start w:val="5"/>
    </w:lvl>
  </w:abstractNum>
  <w:abstractNum w:abstractNumId="80">
    <w:nsid w:val="14E17E33"/>
    <w:multiLevelType w:val="hybridMultilevel"/>
    <w:lvl w:ilvl="0">
      <w:lvlJc w:val="left"/>
      <w:lvlText w:val="7"/>
      <w:numFmt w:val="bullet"/>
      <w:start w:val="1"/>
    </w:lvl>
  </w:abstractNum>
  <w:abstractNum w:abstractNumId="81">
    <w:nsid w:val="3222E7CD"/>
    <w:multiLevelType w:val="hybridMultilevel"/>
    <w:lvl w:ilvl="0">
      <w:lvlJc w:val="left"/>
      <w:lvlText w:val="8"/>
      <w:numFmt w:val="bullet"/>
      <w:start w:val="1"/>
    </w:lvl>
  </w:abstractNum>
  <w:abstractNum w:abstractNumId="82">
    <w:nsid w:val="74DE0EE3"/>
    <w:multiLevelType w:val="hybridMultilevel"/>
    <w:lvl w:ilvl="0">
      <w:lvlJc w:val="left"/>
      <w:lvlText w:val="9"/>
      <w:numFmt w:val="bullet"/>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2"/>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9">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0">
    <w:nsid w:val="43F1842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93">
    <w:nsid w:val="7F01579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2021-08-12T09:33:00Z</dcterms:created>
  <dcterms:modified xsi:type="dcterms:W3CDTF">2021-08-12T09:33:00Z</dcterms:modified>
</cp:coreProperties>
</file>