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Times New Roman" w:hAnsi="Times New Roman"/>
          <w:color w:val="000000"/>
          <w:sz w:val="2"/>
        </w:rPr>
      </w:pPr>
      <w:bookmarkStart w:id="0" w:name="sybx-20241231.htm"/>
      <w:bookmarkStart w:id="1" w:name="kssybx20241231"/>
      <w:bookmarkEnd w:id="0"/>
      <w:bookmarkEnd w:id="1"/>
      <w:r>
        <w:rPr>
          <w:rFonts w:ascii="Times New Roman" w:hAnsi="Times New Roman"/>
          <w:color w:val="000000"/>
          <w:sz w:val="2"/>
        </w:rPr>
        <w:t>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
        </w:rPr>
      </w:pPr>
      <w:r>
        <w:rPr>
          <w:rFonts w:ascii="Times New Roman" w:hAnsi="Times New Roman"/>
          <w:color w:val="000000"/>
          <w:sz w:val="2"/>
        </w:rPr>
        <w:t>f</w:t>
      </w:r>
    </w:p>
    <w:p>
      <w:pPr>
        <w:pStyle w:val="TextBody"/>
        <w:pBdr>
          <w:top w:val="doub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0"/>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90" w:after="283"/>
        <w:jc w:val="center"/>
        <w:rPr>
          <w:rFonts w:ascii="Times New Roman" w:hAnsi="Times New Roman"/>
          <w:sz w:val="20"/>
        </w:rPr>
      </w:pPr>
      <w:r>
        <w:rPr>
          <w:rFonts w:ascii="Times New Roman" w:hAnsi="Times New Roman"/>
          <w:b/>
          <w:color w:val="000000"/>
          <w:sz w:val="36"/>
        </w:rPr>
        <w:t>FORM 10-K</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fiscal year ended December 31, 2024</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001-37566</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SYNLOGIC, INC.</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26-1824804</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PO Box</w:t>
            </w:r>
            <w:r>
              <w:rPr>
                <w:rFonts w:ascii="Times New Roman" w:hAnsi="Times New Roman"/>
                <w:color w:val="000000"/>
                <w:sz w:val="20"/>
              </w:rPr>
              <w:t xml:space="preserve"> </w:t>
            </w:r>
            <w:r>
              <w:rPr>
                <w:rFonts w:ascii="Times New Roman" w:hAnsi="Times New Roman"/>
                <w:b/>
                <w:color w:val="000000"/>
                <w:sz w:val="18"/>
              </w:rPr>
              <w:t>30</w:t>
            </w:r>
          </w:p>
          <w:p>
            <w:pPr>
              <w:pStyle w:val="TableContents"/>
              <w:bidi w:val="0"/>
              <w:spacing w:before="0" w:after="20"/>
              <w:jc w:val="center"/>
              <w:rPr>
                <w:rFonts w:ascii="Times New Roman" w:hAnsi="Times New Roman"/>
                <w:sz w:val="20"/>
              </w:rPr>
            </w:pPr>
            <w:r>
              <w:rPr>
                <w:rFonts w:ascii="Times New Roman" w:hAnsi="Times New Roman"/>
                <w:b/>
                <w:color w:val="000000"/>
                <w:sz w:val="18"/>
              </w:rPr>
              <w:t>Winchester, MA</w:t>
            </w:r>
            <w:r>
              <w:rPr>
                <w:rFonts w:ascii="Times New Roman" w:hAnsi="Times New Roman"/>
                <w:color w:val="000000"/>
                <w:sz w:val="20"/>
              </w:rPr>
              <w:t xml:space="preserve">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01890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(617) 659-2802</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bidi w:val="0"/>
        <w:spacing w:before="60" w:after="283"/>
        <w:jc w:val="center"/>
        <w:rPr/>
      </w:pPr>
      <w:r>
        <w:rPr/>
        <w:t>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spacing w:before="60" w:after="283"/>
        <w:jc w:val="center"/>
        <w:rPr/>
      </w:pPr>
      <w:r>
        <w:rPr/>
        <w:t> </w:t>
      </w:r>
    </w:p>
    <w:tbl>
      <w:tblPr>
        <w:tblW w:w="7368" w:type="dxa"/>
        <w:jc w:val="left"/>
        <w:tblInd w:w="0" w:type="dxa"/>
        <w:tblLayout w:type="fixed"/>
        <w:tblCellMar>
          <w:top w:w="28" w:type="dxa"/>
          <w:left w:w="28" w:type="dxa"/>
          <w:bottom w:w="28" w:type="dxa"/>
          <w:right w:w="28" w:type="dxa"/>
        </w:tblCellMar>
      </w:tblPr>
      <w:tblGrid>
        <w:gridCol w:w="3196"/>
        <w:gridCol w:w="1261"/>
        <w:gridCol w:w="2911"/>
      </w:tblGrid>
      <w:tr>
        <w:trPr/>
        <w:tc>
          <w:tcPr>
            <w:tcW w:w="319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2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Trading Symbol</w:t>
            </w:r>
          </w:p>
        </w:tc>
        <w:tc>
          <w:tcPr>
            <w:tcW w:w="291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of exchange on which registered</w:t>
            </w:r>
          </w:p>
        </w:tc>
      </w:tr>
      <w:tr>
        <w:trPr/>
        <w:tc>
          <w:tcPr>
            <w:tcW w:w="31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2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SYBX</w:t>
            </w:r>
          </w:p>
        </w:tc>
        <w:tc>
          <w:tcPr>
            <w:tcW w:w="29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Capital Market</w:t>
            </w:r>
          </w:p>
        </w:tc>
      </w:tr>
      <w:tr>
        <w:trPr/>
        <w:tc>
          <w:tcPr>
            <w:tcW w:w="31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Preferred Stock Purchase Rights</w:t>
            </w:r>
          </w:p>
        </w:tc>
        <w:tc>
          <w:tcPr>
            <w:tcW w:w="12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29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Securities registered pursuant to Section 12(g) of The Act:</w:t>
      </w:r>
    </w:p>
    <w:p>
      <w:pPr>
        <w:pStyle w:val="TextBody"/>
        <w:bidi w:val="0"/>
        <w:jc w:val="center"/>
        <w:rPr>
          <w:rFonts w:ascii="Times New Roman" w:hAnsi="Times New Roman"/>
          <w:b/>
          <w:color w:val="000000"/>
          <w:sz w:val="16"/>
        </w:rPr>
      </w:pPr>
      <w:r>
        <w:rPr>
          <w:rFonts w:ascii="Times New Roman" w:hAnsi="Times New Roman"/>
          <w:b/>
          <w:color w:val="000000"/>
          <w:sz w:val="16"/>
        </w:rPr>
        <w:t>None</w:t>
      </w:r>
    </w:p>
    <w:p>
      <w:pPr>
        <w:pStyle w:val="TextBody"/>
        <w:pBdr>
          <w:bottom w:val="single" w:sz="8" w:space="1" w:color="000000"/>
        </w:pBdr>
        <w:bidi w:val="0"/>
        <w:jc w:val="center"/>
        <w:rPr/>
      </w:pPr>
      <w:r>
        <w:rPr/>
        <w:t>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15(d) of the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6"/>
        </w:rPr>
        <w:t>I</w:t>
      </w:r>
      <w:r>
        <w:rPr>
          <w:rFonts w:ascii="Times New Roman" w:hAnsi="Times New Roman"/>
          <w:color w:val="000000"/>
          <w:sz w:val="15"/>
        </w:rPr>
        <w:t>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Times New Roman" w:hAnsi="Times New Roman"/>
          <w:color w:val="000000"/>
          <w:sz w:val="20"/>
        </w:rPr>
        <w:t xml:space="preserve">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 </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672" w:type="dxa"/>
        <w:jc w:val="left"/>
        <w:tblInd w:w="0" w:type="dxa"/>
        <w:tblLayout w:type="fixed"/>
        <w:tblCellMar>
          <w:top w:w="28" w:type="dxa"/>
          <w:left w:w="28" w:type="dxa"/>
          <w:bottom w:w="28" w:type="dxa"/>
          <w:right w:w="28" w:type="dxa"/>
        </w:tblCellMar>
      </w:tblPr>
      <w:tblGrid>
        <w:gridCol w:w="1756"/>
        <w:gridCol w:w="146"/>
        <w:gridCol w:w="376"/>
        <w:gridCol w:w="146"/>
        <w:gridCol w:w="1741"/>
        <w:gridCol w:w="146"/>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The aggregate market value of common stock held by non-affiliates of the registrant as of June 28, 2024, the last business day of the registrant’s most recently completed second quarter, was $4.1</w:t>
      </w:r>
      <w:r>
        <w:rPr>
          <w:rFonts w:ascii="Times New Roman" w:hAnsi="Times New Roman"/>
          <w:color w:val="000000"/>
          <w:sz w:val="20"/>
        </w:rPr>
        <w:t xml:space="preserve"> </w:t>
      </w:r>
      <w:r>
        <w:rPr>
          <w:rFonts w:ascii="Times New Roman" w:hAnsi="Times New Roman"/>
          <w:color w:val="000000"/>
          <w:sz w:val="15"/>
        </w:rPr>
        <w:t>million, computed based on the closing price of $1.50 per</w:t>
      </w:r>
      <w:r>
        <w:rPr>
          <w:rFonts w:ascii="Times New Roman" w:hAnsi="Times New Roman"/>
          <w:color w:val="000000"/>
          <w:sz w:val="20"/>
        </w:rPr>
        <w:t xml:space="preserve"> </w:t>
      </w:r>
      <w:r>
        <w:rPr>
          <w:rFonts w:ascii="Times New Roman" w:hAnsi="Times New Roman"/>
          <w:color w:val="000000"/>
          <w:sz w:val="15"/>
        </w:rPr>
        <w:t>share on June 28, 2024.</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As of February 27, 2025 there were 11,696,109</w:t>
      </w:r>
      <w:r>
        <w:rPr>
          <w:rFonts w:ascii="Times New Roman" w:hAnsi="Times New Roman"/>
          <w:color w:val="000000"/>
          <w:sz w:val="20"/>
        </w:rPr>
        <w:t xml:space="preserve"> </w:t>
      </w:r>
      <w:r>
        <w:rPr>
          <w:rFonts w:ascii="Times New Roman" w:hAnsi="Times New Roman"/>
          <w:color w:val="000000"/>
          <w:sz w:val="15"/>
        </w:rPr>
        <w:t>shares</w:t>
      </w:r>
      <w:r>
        <w:rPr>
          <w:rFonts w:ascii="Times New Roman" w:hAnsi="Times New Roman"/>
          <w:color w:val="000000"/>
          <w:sz w:val="20"/>
        </w:rPr>
        <w:t xml:space="preserve"> </w:t>
      </w:r>
      <w:r>
        <w:rPr>
          <w:rFonts w:ascii="Times New Roman" w:hAnsi="Times New Roman"/>
          <w:color w:val="000000"/>
          <w:sz w:val="15"/>
        </w:rPr>
        <w:t>of the registrant’s common stock, par value $0.001 per share, outstanding.</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DOCUMENTS INCORPORATED BY REFERENCE</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The following documents (or parts thereof) are incorporated by reference into the following parts of this Form 10-K: Certain information required in Part III of this Annual Report on Form 10-K is incorporated from the registrant’s definitive proxy statement for the 2025 annual meeting of stockholders to be filed pursuant to Regulation 14A with the U.S. Securities and Exchange Commission within 120 days of the registrant’s fiscal year ended December 31, 2024.</w:t>
      </w:r>
    </w:p>
    <w:tbl>
      <w:tblPr>
        <w:tblW w:w="6471" w:type="dxa"/>
        <w:jc w:val="left"/>
        <w:tblInd w:w="0" w:type="dxa"/>
        <w:tblLayout w:type="fixed"/>
        <w:tblCellMar>
          <w:top w:w="28" w:type="dxa"/>
          <w:left w:w="28" w:type="dxa"/>
          <w:bottom w:w="28" w:type="dxa"/>
          <w:right w:w="28" w:type="dxa"/>
        </w:tblCellMar>
      </w:tblPr>
      <w:tblGrid>
        <w:gridCol w:w="1141"/>
        <w:gridCol w:w="331"/>
        <w:gridCol w:w="1051"/>
        <w:gridCol w:w="856"/>
        <w:gridCol w:w="1186"/>
        <w:gridCol w:w="1906"/>
      </w:tblGrid>
      <w:tr>
        <w:trPr/>
        <w:tc>
          <w:tcPr>
            <w:tcW w:w="11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Auditor Firm Id:</w:t>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185</w:t>
            </w:r>
          </w:p>
        </w:tc>
        <w:tc>
          <w:tcPr>
            <w:tcW w:w="1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Auditor Name: </w:t>
            </w:r>
          </w:p>
        </w:tc>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KPMG LLP</w:t>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Auditor Location:</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Boston, Massachusetts, U.S.</w:t>
            </w:r>
          </w:p>
        </w:tc>
      </w:tr>
    </w:tbl>
    <w:p>
      <w:pPr>
        <w:pStyle w:val="TextBody"/>
        <w:pBdr>
          <w:bottom w:val="double" w:sz="4" w:space="1" w:color="000000"/>
        </w:pBdr>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3"/>
        <w:gridCol w:w="8760"/>
        <w:gridCol w:w="512"/>
      </w:tblGrid>
      <w:tr>
        <w:trPr/>
        <w:tc>
          <w:tcPr>
            <w:tcW w:w="933" w:type="dxa"/>
            <w:tcBorders/>
            <w:vAlign w:val="center"/>
          </w:tcPr>
          <w:p>
            <w:pPr>
              <w:pStyle w:val="TableContents"/>
              <w:bidi w:val="0"/>
              <w:spacing w:before="0" w:after="283"/>
              <w:jc w:val="left"/>
              <w:rPr>
                <w:sz w:val="4"/>
                <w:szCs w:val="4"/>
              </w:rPr>
            </w:pPr>
            <w:r>
              <w:rPr>
                <w:sz w:val="4"/>
                <w:szCs w:val="4"/>
              </w:rPr>
            </w:r>
          </w:p>
        </w:tc>
        <w:tc>
          <w:tcPr>
            <w:tcW w:w="876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00"/>
                  <w:sz w:val="20"/>
                </w:rPr>
                <w:t>PART I</w:t>
              </w:r>
            </w:hyperlink>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37</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resolved_staff_comments">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cybersecurity">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77</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77</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00"/>
                  <w:sz w:val="20"/>
                </w:rPr>
                <w:t>PART II</w:t>
              </w:r>
            </w:hyperlink>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78</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78</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79</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89</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consolidated_financial_statements">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89</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foreignjurisdictions">
              <w:r>
                <w:rPr>
                  <w:rStyle w:val="InternetLink"/>
                  <w:rFonts w:ascii="Times New Roman" w:hAnsi="Times New Roman"/>
                  <w:color w:val="0000FF"/>
                  <w:sz w:val="20"/>
                  <w:u w:val="single"/>
                </w:rPr>
                <w:t>Disclosure Regarding Foreign Jurisdictions that Prevent Inspections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00"/>
                  <w:sz w:val="20"/>
                </w:rPr>
                <w:t>PART III</w:t>
              </w:r>
            </w:hyperlink>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Principal Accounting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00"/>
                  <w:sz w:val="20"/>
                </w:rPr>
                <w:t>PART IV</w:t>
              </w:r>
            </w:hyperlink>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93</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6">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evaluation of strategic alternatives with a goal to enhance stockholder value, including the possibility of a merger or a sale of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research and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progress, timing, costs and results of clinical trials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and costs involved in obtaining regulatory approvals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collaborations with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timing and costs involved in developing manufacturing processes and in manufacturing products, as well as agreements with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of progress and cost of our commercialization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expenses we incur in marketing and selling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generated by sales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emergence of competing or complementary technological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any additional collaborative, licensing or other arrangements that we may establish;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acquisition of businesses, products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infrastructure and internal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need to add personnel and financial and management information systems to support our product development and potential future commercialization efforts, and to enable us to operate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our business is adversely impacted by the effects of the coronavirus outbreak (COVID-19) or by other health epidemics or pandemics;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including those listed under Part I, Item 1A. “Risk Factors.”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Any forward-looking statements in this Annual Report on Form 10-K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elsewhere in this Annual Report on Form 10-K.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2" w:name="part_i"/>
      <w:bookmarkEnd w:id="2"/>
      <w:r>
        <w:rPr>
          <w:rFonts w:ascii="Times New Roman" w:hAnsi="Times New Roman"/>
          <w:b/>
          <w:smallCaps/>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spacing w:before="240" w:after="283"/>
        <w:jc w:val="left"/>
        <w:rPr>
          <w:rFonts w:ascii="Times New Roman" w:hAnsi="Times New Roman"/>
          <w:sz w:val="20"/>
        </w:rPr>
      </w:pPr>
      <w:bookmarkStart w:id="3" w:name="item_1_business"/>
      <w:bookmarkEnd w:id="3"/>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biopharmaceutical company that advanced novel therapeutics to transform the care of serious diseases. We focused on rare metabolic disorders, with our lead program, labafenogene marselecobac (SYNB1934), studied in Synpheny-3, a global, pivotal Phase 3 study for patients with phenylketonuria (PKU), and SYNB1353, a potential treatment for homocystinuria (HCU). Both PKU and HCU are caused by inborn errors of metabolism, and present significant need for innovation due to limitations of both efficacy and safety in the currently available medical treatment options.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we made the decision to discontinue Synpheny-3, our pivotal study of our lead product candidate, labafenogene marselecobac (SYNB1934), as a potential treatment for PKU. The decision to end Synpheny-3 is based on results of an internal review in advance of an upcoming independent Data Monitoring Committee (DMC) assessment, which indicated the trial was unlikely to meet its primary endpoint. The decision was not based on concerns regarding safety or tolerability. As a result, our current corporate strategy is focused on pursuing strategic initiatives to enhance stockholder value, including but not limited to, a merger or the sale of the Company. Our strategic process is both active and ongoing and includes a range of interactions with transaction counterparties. Thus, we believe it is in our stockholders’ best interest to allow sufficient opportunity to pursue and consummate one or more such transactions and to consider additional alternatives that may materialize in the future. However, there can be no assurance that such activities will result in any agreements or transactions that will enhance shareholder value. Further, any strategic transaction that is completed ultimately may not deliver the anticipated benefits or enhance shareholder value.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Our early-stage pipeline included product candidates for enteric hyperoxaluria, gout, and cystinuria, and was fueled by a reproducible, proprietary approach that created GI-restricted, oral medicines with new enzymatic pathways designed to consume or produce specific biological targets. We design, develop and manufacture these drug candidates, which are produced by applying genetic engineering to well-characterized probiotics.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drug candidates are designed through precise engineering to target validated biological pathways in the pathophysiology of a given disease. By using a probiotic to deliver these new enzymatic pathways, the activity is restricted to the gastrointestinal (GI) tract, avoiding systemic exposure and associated risks that limit the success of other modalities. Our pipeline programs are all based on the same probiotic Escherichia coli Nissle 1917, which provides synergies across programs, as well as more than one hundred years of human dosing experience. Our drug candidates are engineered to be non-colonizing, and fully reversible via GI clearance. These potential biopharmaceuticals are all orally administered, conducive to straightforward shipping, distribution and storage. For manufacturing, our platform leverages processes with familiar foundations, including fermentation and lyophilization, facilitating process design and scale-up, combined with unique and proprietary innovations tailored to our unique products.</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Since our founding, based upon technology from the Massachusetts Institute of Technology (MIT) in 2014, we progressed a pipeline of multiple drug candidates across different stages,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Labafenogene marselecobac (SYNB1934), which was being studied in Synpheny-3, a pivotal, Phase 3 study for the treatment of patients with PKU;</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SYNB1353, a potential treatment for HCU, has achieved proof of mechanism in a Phase 1 study in healthy volunteers;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research activities on a potential drug candidate for cystinuria, a rare, genetic cause of recurrent kidney stones which is also caused by an underlying metabolic disorder;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SYNB2081, a drug candidate for gout which was in IND-enabling studies;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Preclinical research focused on novel, locally-acting, GI-restricted biotherapeutics for indications in inflammatory bowel disease (IBD).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sz w:val="20"/>
        </w:rPr>
      </w:pPr>
      <w:r>
        <w:rPr>
          <w:rFonts w:ascii="Times New Roman" w:hAnsi="Times New Roman"/>
          <w:b/>
          <w:color w:val="000000"/>
          <w:sz w:val="20"/>
        </w:rPr>
        <w:t>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announced in February 2024, our current corporate strategy is focused on pursuing strategic initiatives to enhance stockholder value, including by exploring a range of alternatives including but not limited to a merger or the sale of the Company. Our strategic process is both active and ongoing and includes a range of interactions with transaction counterparties. Thus, we believe it is in our stockholders’ best interest to allow sufficient opportunity to pursue and consummate one or more such transactions and to consider additional alternatives that may materialize in the future. However, there can be no assurance that such activities will result in any agreements or transactions that will enhance shareholder value. Further, any strategic transaction that is completed ultimately may not deliver the anticipated benefits or enhance shareholder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we made the decision to discontinue Synpheny-3, our pivotal study of our lead product candidate, labafenogene marselecobac (SYNB1934), as a potential treatment for PKU. Historically, our mission was to treat diseases underserved by other modalities by researching, developing and commercializing new medicines.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Our Pipeline: Synthetic Biotics in Clinical Development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product pipeline consisted of drug candidates targeting significant medical needs caused by an underlying metabolic disorder. These include labafenogene marselecobac, which was being evaluated in a pivotal, Phase 3 study in PKU, and drug candidates designed to treat HCU, enteric hyperoxaluria, and gout. Our preclinical work includes additional metabolic disease research, including cystinuria, target exploration, and focused research efforts in IBD.</w:t>
      </w:r>
    </w:p>
    <w:p>
      <w:pPr>
        <w:pStyle w:val="TextBody"/>
        <w:bidi w:val="0"/>
        <w:jc w:val="left"/>
        <w:rPr/>
      </w:pPr>
      <w:r>
        <w:rPr/>
        <w:t> </w:t>
      </w:r>
    </w:p>
    <w:p>
      <w:pPr>
        <w:pStyle w:val="TextBody"/>
        <w:bidi w:val="0"/>
        <w:jc w:val="center"/>
        <w:rPr/>
      </w:pPr>
      <w:r>
        <w:rPr/>
        <w:drawing>
          <wp:inline distT="0" distB="0" distL="0" distR="0">
            <wp:extent cx="6858000" cy="3105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10515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Clinical Pipeline: Focus on Rare Metabolic Diseases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Rare metabolic diseases often result from inherited defects or alterations in specific enzymes or other biological pathways that normally break down or produce important metabolites or molecules. In patients with these diseases, the absence or impairment of certain enzymes causes potentially toxic metabolites to accumulate. In patients with PKU and HCU, the build-up of these metabolites can reach toxic levels, resulting in life-threatening medical risks and/or serious developmental delays, life-altering disease burden and symptoms. While there are approved and available pharmaceutical products for both diseases, they present significant limitations in terms of both safety and efficacy, leaving patients often under-managed, attempting to control their disease through a restrictive regimen of diet, medical formula and medical foods, and/or experiencing significant symptoms or risk of dangerous complications.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Market Opportunity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to significant need for new medical treatments, we believe rare metabolic diseases PKU and HCU present advantages as target therapeutic areas for investment. Despite their limitations, the approved treatments for these diseases provide useful precedent in terms of both clinical development paths and navigating regulatory processes including approval. For example, in both PKU and HCU, existing treatments were approved by global regulators based on clinical biomarkers as the primary endpoint in their pivotal, registrational trials, sufficient for full approval. All of the metabolic diseases that we target in our current pipeline also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have the benefit of a dietary model, in which there is already a standard dietary intervention to reduce the target metabolite (e.g. avoiding protein in the case of PKU to lower Phe levels, or methionine in the case of HCU, or uric acid for gout). These existing dietary interventions provide a useful model by demonstrating that GI-based means of lowering metabolite levels to provide therapeutic benefit.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From a commercial perspective, these rare metabolic diseases have been well-characterized, and while limited in uptake due to their limitations, the currently available products have provided commercial validation. In PKU for example, the two approved products, Kuvan and Palynziq, have generated $500 million and $300 million respectively, in annual revenue as branded agents, translating to a market opportunity we estimate to be more than $3 billion. For HCU, with an estimated 5,000 patients globally, we estimate a potential market opportunity to be more than $1 billion.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Further, these two disease states present significant synergies as target indications. PKU and HCU patients are largely both treated by the same, concentrated and group of specialist clinicians at metabolic clinics, facilitating both late-stage development and commercialization, given the overlap in key opinion leaders (KOLs), medical meetings and congresses, as well as call points for sales and marketing, market access and patient support programming.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Our PKU Program</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lead product candidate, labafenogene marselecobac (SYNB1934), which was being evaluated in Synpheny-3, a privotal Phase 3 study, is designed to consume phenylalanine (Phe) through engineered enzymes produced within the probiotic, </w:t>
      </w:r>
      <w:r>
        <w:rPr>
          <w:rFonts w:ascii="Times New Roman" w:hAnsi="Times New Roman"/>
          <w:i/>
          <w:color w:val="000000"/>
          <w:sz w:val="20"/>
        </w:rPr>
        <w:t xml:space="preserve">E. coli </w:t>
      </w:r>
      <w:r>
        <w:rPr>
          <w:rFonts w:ascii="Times New Roman" w:hAnsi="Times New Roman"/>
          <w:color w:val="000000"/>
          <w:sz w:val="20"/>
        </w:rPr>
        <w:t xml:space="preserve">Nissle. Labafenogene marselecobac has received Orphan Drug Designation (ODD), Fast Track designation, and Rare Pediatric Disease Designation (RPDD) from the FDA in addition to orphan designation from the European Medicines Agency (EMA). In 2023 we announced that the International Nonproprietary Names (INN) Expert Committee of the World Health Organization (WHO-INN) has selected "labafenogene marselecobac" for the nonproprietary name of SYNB1934, reflecting a naming framework for genetically engineered bacteria, in which the first name references the gene being designed or modified (in this case, one for Phe or “fe”), and the second references the bacteria (“bac”). </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Science of PKU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PKU is an inherited metabolic disease caused by genetic mutations that impair the function of the enzyme, phenylalanine hydroxylase (PAH), which normally metabolizes phenylalanine (Phe), an amino acid found in all protein-containing foods, including all meat and dairy products, most beans, grains and potatoes, as well as some artificial sweeteners. Without functioning PAH, uncontrolled Phe levels in PKU can be neurotoxic, interfering with normal brain development during childhood, causing permanent developmental disabilities; severely elevated Phe levels at any age can result in neurocognitive symptoms such as slower cognition, difficulty concentrating or “brain fog.”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Reducing the risk of complications and neurocognitive symptoms in PKU patients requires lifelong control of Phe levels. During the 1960’s, countries began newborn screening to ensure that Phe control was implemented immediately through a highly restrictive, low-Phe diet accompanied by supplemental formula for needed amino acids to avoid permanent, severe intellectual disability. Per E.U. and U.S. guidelines, any newborn infant with a plasma Phe concentration of &gt;400–600 μM should be started on a low-Phe diet as soon as possible. The diet includes extreme restrictions of natural foods to keep daily protein at levels that are often as low as 4-6 grams per day for adults. This generally includes elimination of all sources of animal protein and dairy, legumes and nuts, and limited intake of bread, pasta, rice and some vegetables. Low-protein bread and pasta products made from starch are used to provide needed energy. The dietary regimen required also includes the addition of amino acid-based, Phe-free formula or other specific medical foods to provide adequate protein, vitamins, minerals and energy.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challenging for persons to adhere to this restricted diet and its associated requirements create significant burdens on quality of life for both patients and caregivers. Access to low protein foods can pose difficulties as they are costlier and less nutritious than their higher protein, non-modified equivalents, and the needed formula can also be costly or otherwise difficult to access. As a result, the vast majority of people living with PKU, and especially adults living independently, have Phe levels well above the recognized targets.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estimated that there are more than 150,000 people diagnosed with PKU living across the United States, Europe and Asia. They are typically diagnosed through newborn screening. Of these, the vast majority remain untreated, reflecting the limitations of current treatment options.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Limitations of Current PKU Treatment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currently two medications been approved by the FDA, EMA, and other regulatory agencies globally as medical treatments for PKU based on safety and efficacy in reduction of plasma Phe levels. These approved medications provide important and helpful examples and precedents for clinical development and regulatory processes. Each one however, has drawbacks limitations leave the majority of people with PKU living without a medical treatment for Phe reduction. These limitations are outlined below: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Sapropterin dihydrochloride (Kuvan®), a biopterin, was approved by the FDA in 2017, and is now available as a generic in the United States and other markets in tablet and sachet formulations. Sapropterin works by stimulating the PAH enzyme to process Phe in people with PKU. This requires having residual PAH enzyme, and responding to tetrahydrobiopterin (BH4). Typically only a minority of PKU patients will demonstrate BH4-responsiveness, and as a result, the use of Kuvan has been limited to an estimated 15%-20% of U.S. patients. Reflecting the size of the overall patient population, despite this low use, Kuvan generated ~$500 million per year globally for BioMarin Pharmaceutical, Inc. prior to genericization. Of those who do respond and maintain treatment with sapropterin, we believe a significant proportion would still benefit from additional Phe-lowering, and see this segment as an important opportunity for labafenogene marselecobac as an adjunctive medical treatment option.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Palynziq® Injection (pegvaliase-pqpz) was approved by the FDA in 2018 for adult patients with PKU and uncontrolled blood Phe. Due to instability and other complexities, the PAH enzyme that is impaired in PKU is not a viable candidate for enzyme replacement therapy. Palynziq is a pegylated form of recombinant phenylalanine ammonia lyase (PAL), a non-mammalian enzyme that also metabolizes Phe. Safety considerations include risk of severe allergic reactions, including a 10% risk of anaphylaxis, resulting in FDA labeling that includes a boxed warning and requirement to carry auto-injectable epinephrine at all times while they are taking the medication. Despite these challenges, Palynziq is forecast to generate $300 million in 2023, largely from the United States, despite maintaining an estimated ~10% market share.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Given the limitations of sapropterin in terms of responder rates, and the safety challenges of Palynziq, we believe the approved therapies’ limitations leave a large majority of those living with PKU in need of an orally-administered medical treatment option that provides Phe-lowering efficacy with an acceptable safety and tolerability profile.</w:t>
      </w:r>
    </w:p>
    <w:p>
      <w:pPr>
        <w:pStyle w:val="TextBody"/>
        <w:bidi w:val="0"/>
        <w:jc w:val="left"/>
        <w:rPr/>
      </w:pPr>
      <w:r>
        <w:rPr/>
        <w:t> </w:t>
      </w:r>
    </w:p>
    <w:p>
      <w:pPr>
        <w:pStyle w:val="TextBody"/>
        <w:bidi w:val="0"/>
        <w:jc w:val="center"/>
        <w:rPr/>
      </w:pPr>
      <w:r>
        <w:rPr/>
        <w:drawing>
          <wp:inline distT="0" distB="0" distL="0" distR="0">
            <wp:extent cx="6305550" cy="3638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305550" cy="3638550"/>
                    </a:xfrm>
                    <a:prstGeom prst="rect">
                      <a:avLst/>
                    </a:prstGeom>
                  </pic:spPr>
                </pic:pic>
              </a:graphicData>
            </a:graphic>
          </wp:inline>
        </w:drawing>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Labafenogene marselecobac for PKU</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Labafenogene marselecobac is designed to treat PKU and lower Phe levels through the engineering of two Phe-consuming enzymes: L-amino acid deaminase (LAAD) and phenylalanine ammonia lyase (PAL), produced by a strain of </w:t>
      </w:r>
      <w:r>
        <w:rPr>
          <w:rFonts w:ascii="Times New Roman" w:hAnsi="Times New Roman"/>
          <w:i/>
          <w:color w:val="000000"/>
          <w:sz w:val="20"/>
        </w:rPr>
        <w:t>E. coli</w:t>
      </w:r>
      <w:r>
        <w:rPr>
          <w:rFonts w:ascii="Times New Roman" w:hAnsi="Times New Roman"/>
          <w:color w:val="000000"/>
          <w:sz w:val="20"/>
        </w:rPr>
        <w:t xml:space="preserve"> Nissle, which also includes a Phe transporter, PheP, to bring Phe into the cell. The drug candidate thustargets Phe from dietary sources, and Phe that has circulated to the GI tract via enterorecirculation.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design enables a patient-friendly product presentation: it is provided to patients as powder for mixing with water or juice, taken with with meals. This product presentation is familiar to PKU patients, as sapropterin is provided as a sachet, and often their nutritional supplemental formula requires mixing with liquid.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6858000" cy="3857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3857625"/>
                    </a:xfrm>
                    <a:prstGeom prst="rect">
                      <a:avLst/>
                    </a:prstGeom>
                  </pic:spPr>
                </pic:pic>
              </a:graphicData>
            </a:graphic>
          </wp:inline>
        </w:drawing>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Labafenogene marselecobac was engineered as a next-generation version of first-generation PKU drug candidate SYNB1618, by modifying five amino acids in PAL, which increased productivity of PAL’s conversion of Phe to the metabolic byproduct trans-Cinnamic acid (TCA). A detailed description of the engineering of SYNB1618 and data from preclinical studies in an animal model of disease and healthy non-human primates was published in 2018 (Nat. Biotechnol. 36, 857–864 (2018)), and an overview of the engineering and early development of SYNB1934 was published in 2021 (Nat Commun. 12, 6215 (2021)).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Phase 1 studies of healthy volunteers, both SYNB1618 and labafenogene marselecobac were found to be safe and well-tolerated at doses up to 2x1012 live cells administered three times a day for seven days. Higher doses were associated with mild to moderate gastrointestinal symptoms, mainly nausea and vomiting. In July 2019, we announced data that demonstrated that SYNB1618 was safe and well-tolerated and achieved proof-of-mechanism of strain activity in both healthy volunteers and patients with PKU. Improved tolerability of the lyophilized SYNB1618 over the early liquid formulation enabled us to determine a maximally tolerated dose (MTD) to take forward to test in patients. In September 2021, we announced that Phase 1 results in healthy volunteers and predictive modeling indicate labafenogene marselecobac may have greater potency than SYNB1618.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October 2022, we shared positive top-line results from the Phase 2 Synpheny-1 study that demonstrated proof of concept in PKU patients for both candidates, and confirmed greater potency of the next-generation labafenogene marselecobac , the candidate that we have selected to advance to pivotal Phase 3 studies. The complete results were presented at the Society for Inherited Metabolic Disorders (SIMD) Annual Meeting in March 2023 and published in the journal Nature Metabolism in September 2023. Results presented included successfully meeting the primary endpoint (change in area under the curve of D5-Phe following a meal challenge) for SYNB1618 and labafenogene marselecobac. Results for labafenogene marselecobac included a -40% mean reduction in plasma Phe levels for labafenogene marselecobac, and -53% among those considered responders (with &gt;20% reduction from baseline). 60% of patients achieved the &gt;20% criteria for Phe reduction considered the threshold for a clinically meaningful response. The study also included experience with both candidates when provided in combination for patients who were already taking sapropterin (Kuvan) at baseline, indicating the potential for adjunctive medical treatment. Safety and tolerability findings were consistent with prior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experience and favorable, with no serious adverse events (SAE) across the PKU program, and those adverse events that did occur being predominantly GI in nature. </w:t>
      </w:r>
    </w:p>
    <w:p>
      <w:pPr>
        <w:pStyle w:val="TextBody"/>
        <w:bidi w:val="0"/>
        <w:spacing w:before="160" w:after="283"/>
        <w:jc w:val="left"/>
        <w:rPr/>
      </w:pPr>
      <w:r>
        <w:rPr/>
        <w:t> </w:t>
      </w:r>
    </w:p>
    <w:p>
      <w:pPr>
        <w:pStyle w:val="TextBody"/>
        <w:bidi w:val="0"/>
        <w:spacing w:before="160" w:after="283"/>
        <w:jc w:val="center"/>
        <w:rPr/>
      </w:pPr>
      <w:r>
        <w:rPr/>
        <w:drawing>
          <wp:inline distT="0" distB="0" distL="0" distR="0">
            <wp:extent cx="6600825" cy="3429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600825" cy="3429000"/>
                    </a:xfrm>
                    <a:prstGeom prst="rect">
                      <a:avLst/>
                    </a:prstGeom>
                  </pic:spPr>
                </pic:pic>
              </a:graphicData>
            </a:graphic>
          </wp:inline>
        </w:drawing>
      </w:r>
    </w:p>
    <w:p>
      <w:pPr>
        <w:pStyle w:val="TextBody"/>
        <w:bidi w:val="0"/>
        <w:spacing w:before="160" w:after="283"/>
        <w:jc w:val="left"/>
        <w:rPr/>
      </w:pPr>
      <w:r>
        <w:rPr/>
        <w:t> </w:t>
      </w:r>
    </w:p>
    <w:p>
      <w:pPr>
        <w:pStyle w:val="TextBody"/>
        <w:bidi w:val="0"/>
        <w:spacing w:before="160" w:after="283"/>
        <w:jc w:val="center"/>
        <w:rPr/>
      </w:pPr>
      <w:r>
        <w:rPr/>
        <w:drawing>
          <wp:inline distT="0" distB="0" distL="0" distR="0">
            <wp:extent cx="5505450" cy="3095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505450" cy="3095625"/>
                    </a:xfrm>
                    <a:prstGeom prst="rect">
                      <a:avLst/>
                    </a:prstGeom>
                  </pic:spPr>
                </pic:pic>
              </a:graphicData>
            </a:graphic>
          </wp:inline>
        </w:drawing>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June 2023 we announced the initiation of Synpheny-3. Its design was informed by input from global regulatory agencies, clinicians and patients, and the precedent of pivotal studies from already approved drugs.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study was a randomized, placebo-controlled, global, pivotal Phase 3 clinical trial designed to evaluate the efficacy and safety of SYNB1934 as a treatment for PKU. The primary endpoint was the change in phenylalanine (Phe) levels from baseline for SYNB1934 compared to placebo, in a subset of patients who are considered responders (defined as &gt;20% reduction in Phe).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trial consisted of three parts: Part 1, an open-label dose escalation period, during which patients titrate through up to three dose levels, with at least three weeks per dose; Part 2, a four-week randomized withdrawal period used for the pivotal analysis; and Part 3, an open-label extension which includes an evaluation of Phe tolerance, or dietary liberalization.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February 2024, we made the decision to discontinue Synpheny-3, our pivotal study of our lead product candidate, labafenogene marselecobac (SYNB1934), as a potential treatment for PKU. The decision to end Synpheny-3 is based on results of an internal review in advance of an upcoming independent Data Monitoring Committee (DMC) assessment, which indicated the trial was unlikely to meet its primary endpoint. The decision was not based on concerns regarding safety or tolerability.</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Our HCU Program</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November 2021 we announced the nomination of SYNB1353, a novel, orally administered, non-systemically absorbed drug candidate designed to lower plasma levels of homocysteine (Hcy) in patients with HCU by consuming methionine (Met), a precursor to Hcy. We also shared at that time that mechanistic modeling data suggests that SYNB1353 may lower plasma Hcy by up to 58% and may increase protein intake in HCU patients.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November 2022, we announced that proof of mechanism was achieved with SYNB1353 through positive results in the Phase 1 study of healthy volunteers using a dietary model of HCU, in which we showed the translation from SYNB1353’s activity in the GI tract to a lowering of plasma levels of Met. SYNB1353 has received Fast Track, Orphan Drug, and Rare Pediatric Disease Designations from the FDA as a potential treatment for HCU.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Science of HCU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HCU is a rare inherited metabolic disorder that affects the metabolism of the amino acid methionine (Met), a protein found in many foods including meat, fish, and dairy products. HCU is caused by a genetic defect which results in the absence of an enzyme known as cystathionine beta-synthase (CBS). When CBS is absent, Hcy and other toxic chemicals and their byproducts, including Met, build up in the blood and urine. In HCU, elevated total homocysteine (tHcy) levels are associated with a multisystem disorder, including impairments of the eye (ectopia lentis and/or severe myopia), skeletal system (excessive height, long limbs, scoliosis, pectus excavatum), vascular system (thromboembolism), and CNS (development delay and intellectual disability). The goal in treating HCU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 to reduce and control levels of tHcy, thereby reducing risk of acute, potentially life-threatening blood clots and chronic, multisystem complications. </w:t>
      </w:r>
    </w:p>
    <w:p>
      <w:pPr>
        <w:pStyle w:val="TextBody"/>
        <w:bidi w:val="0"/>
        <w:spacing w:before="160" w:after="283"/>
        <w:jc w:val="center"/>
        <w:rPr/>
      </w:pPr>
      <w:r>
        <w:rPr/>
        <w:drawing>
          <wp:inline distT="0" distB="0" distL="0" distR="0">
            <wp:extent cx="6858000" cy="3505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3505200"/>
                    </a:xfrm>
                    <a:prstGeom prst="rect">
                      <a:avLst/>
                    </a:prstGeom>
                  </pic:spPr>
                </pic:pic>
              </a:graphicData>
            </a:graphic>
          </wp:inline>
        </w:drawing>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There is currently no cure for HCU and treatment options are limited. Patients must follow a rigid diet low in protein to avoid dietary Met intake. Other therapeutic approaches include vitamin supplements to minimize some of the disease side effects. Approximately 5,000 individuals in the United States and Europe suffer from CBS or “Classical” HCU.</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Limitations of Current HCU Treatments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Approved pharmacological treatment options for HCU are limited due to efficacy and tolerability. People with more mild phenotypes of HCU typically respond effectively to, and are sufficiently managed by, taking Vitamin B6 (also known as pyridoxine-responsive). Non-responders require a combination of betaine (brand name Cystadane®) and a moderate to severe dietary Met restriction. The severely protein-restricted diet is complex and challenging for long-term adherence. Compliance with treatment often deteriorates, particularly in adolescence, as in other disorders requiring dietary adherence. Patients report significant challenges with the burden of the low protein diet, intake of amino acid mixtures, and the palatability of protein substitutes as well as betaine. Reaching tHcy treatment targets remains a challenge despite existing pharmacotherapies.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SYNB1353 for HCU</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 diet low in Met, a precursor to Hcy, is standard treatment for lowering tHcy levels in patients with HCU. This dietary model provided the scientific rationale for SYNB1353, which was engineered to produce an enzymatic pathway to metabolize Met, and thus lower plasma levels of tHcy. SYNB1353 metabolizes Met via the methionine decarboxylase (MetDC) enzymatic pathway, which prevents the conversion of Met into Hcy, thereby lowering tHcy in HCU patients and reducing risk of complications. SYNB1353 is taken as an orally administered, non-systemically absorbed live biotherapeutic drug candidate that, like our PKU drug candidates, is provided as a lyophilized powder in a sachet, to be orally administered with meals three times a day. We hold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worldwide development and commercialization rights to SYNB1353, which was developed as part of our research collaboration with Ginkgo. </w:t>
      </w:r>
    </w:p>
    <w:p>
      <w:pPr>
        <w:pStyle w:val="TextBody"/>
        <w:bidi w:val="0"/>
        <w:spacing w:before="160" w:after="283"/>
        <w:jc w:val="center"/>
        <w:rPr/>
      </w:pPr>
      <w:r>
        <w:rPr/>
        <w:drawing>
          <wp:inline distT="0" distB="0" distL="0" distR="0">
            <wp:extent cx="6734175" cy="3810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734175" cy="3810000"/>
                    </a:xfrm>
                    <a:prstGeom prst="rect">
                      <a:avLst/>
                    </a:prstGeom>
                  </pic:spPr>
                </pic:pic>
              </a:graphicData>
            </a:graphic>
          </wp:inline>
        </w:drawing>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November 2022, we announced that proof of mechanism was achieved with SYNB1353 through positive results in the Phase 1 study of healthy volunteers using a dietary model of HCU. Top-line results demonstrated that SYNB1353 reduced in plasma Met when measured over 24 hours as area under the curve (AUC) following a Met meal challenge. SYNB1353 was generally well tolerated, and adverse events (AEs) were all mild to moderate, transient, and predominantly GI in nature. The frequency and severity of GI-related AEs were similar in the active and control group. During 2023, we conducted fermentation process improvements that successfully further increased activity of methionine degradation for SYNB1353.</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Clinical Pipeline: Earlier-Stage Programs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Our Enteric Hyperoxaluria Program</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SYNB8802 is a novel, orally administered, non-systemically absorbed drug candidate that was being developed for the treatment of enteric hyperoxaluria, a chronic, progressive disease characterized by high levels of urinary oxalate (Uox), a well-recognized cause of recurrent kidney stones.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Hyperoxaluria is a disease which results from excessive levels of oxalate in the body. Oxalate can be found naturally in the body or in foods with high oxalate levels such as leafy greens, potatoes, almonds, coffee, and beans. Humans do not have an inherent physiological need for oxalate and it is normally excreted through the kidney. Excessive levels of oxalate, when present in the urine, bind with calcium in the kidney and lead to nephrolithiasis (kidney stone formation), nephrocalcinosis, chronic kidney complications and renal disease.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Enteric hyperoxaluria often occurs as a result of a primary insult to the bowel, such as Crohn’s disease, short bowel syndrome, or surgical procedures such as Roux-en-Y bariatric weight-loss surgery. This results in GI malabsorption, causing increased absorption of oxalate across the GI tract into the circulation. Oxalate crystals can damage kidneys, leading to chronic kidney disease and end-stage renal disease (ESRD). There are no approved treatments for enteric hyperoxaluria.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There is a direct link between elevated Uox and increased probability of kidney stone events or other renal adverse outcomes in patients with enteric hyperoxaluria. Even modest reductions in Uox can reduce the odds of developing a kidney stone. A recent epidemiological study conducted in 297 patients with enteric hyperoxaluria demonstrated that a 20% reduction in Uox resulted in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much as a 25% reduction in the annual risk of having a kidney stone in the subsequent year in patients with recurrent kidney stones (D’Costa, Nephrol Dial Transplant 2020).</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There are currently few approved treatments for primary hyperoxaluria, a rare genetic disease wherein the liver produces excessive levels of oxalate. Approved treatments for primary hyperoxaluria target the liver, and thus are not beneficial to patients with enteric hyperoxaluria, given its etiology is in GI malabsorption, and not hepatic over-production.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estimate that there are 200,000 to 300,000 patients with recurrent kidney stones due to enteric hyperoxaluria in the United States. Existing treatment options are generally non-specific and include high fluid intake to increase urine output to more than two to three liters per day, a diet low in salt and oxalate, oral citrate and/or calcium and/or magnesium supplementation. We believe a clear need exists for therapies that lower dangerously high levels of Uox to reduce the risk of recurrent kidney stones in this patient population. </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In May 2020, we announced the nomination of a clinical candidate for enteric hyperoxaluria, SYNB8802, which was designed using precision genetic engineering of </w:t>
      </w:r>
      <w:r>
        <w:rPr>
          <w:rFonts w:ascii="Times New Roman" w:hAnsi="Times New Roman"/>
          <w:i/>
          <w:color w:val="000000"/>
          <w:sz w:val="20"/>
        </w:rPr>
        <w:t>E. coli</w:t>
      </w:r>
      <w:r>
        <w:rPr>
          <w:rFonts w:ascii="Times New Roman" w:hAnsi="Times New Roman"/>
          <w:color w:val="000000"/>
          <w:sz w:val="20"/>
        </w:rPr>
        <w:t xml:space="preserve"> Nissle to lower Uox levels by consuming oxalate throughout the GI tract through the addition of three different enzymes. In vivo studies in both mice and non-human primates demonstrated that SYNB8802 decreased Uox levels in an acute model of hyperoxaluria induced by dietary intervention. A detailed description of the engineering of SYNB8802 and data from these preclinical studies in an animal model of disease and healthy non-human primates was published in Molecular Systems Biology (Lubkowicz et al 2022). In 2021, we reported positive proof-of-mechanism for SYNB8802 from a Phase 1b study that demonstrated lowering of urinary and fecal oxalate levels in healthy volunteers with diet-induced hyperoxaluria, and in December 2022, we shared data confirming that SYNB8802 demonstrated proof of concept through clinically significant -38% lowering of Uox in a Phase 1b study in patients with a history of gastric bypass surgery.</w:t>
      </w:r>
    </w:p>
    <w:p>
      <w:pPr>
        <w:pStyle w:val="TextBody"/>
        <w:bidi w:val="0"/>
        <w:spacing w:before="160" w:after="283"/>
        <w:jc w:val="left"/>
        <w:rPr>
          <w:rFonts w:ascii="Times New Roman" w:hAnsi="Times New Roman"/>
          <w:sz w:val="20"/>
        </w:rPr>
      </w:pPr>
      <w:r>
        <w:rPr>
          <w:rFonts w:ascii="Times New Roman" w:hAnsi="Times New Roman"/>
          <w:b/>
          <w:color w:val="000000"/>
          <w:sz w:val="20"/>
        </w:rPr>
        <w:t>Our Gout Program</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SYNB2081 is designed to consume uric acid in the GI tract with the goal of lowering systemic uric acid levels as a potential treatment for gout, a complex form of inflammatory arthritis. Current treatment options present limitations in both safety and efficacy. SYNB2081 presents a novel, orally administered, non-systemically absorbed drug candidate created through our research collaboration with Ginkgo.</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Gout occurs when excess uric acid in the body forms crystals in the joints. Patients can experience symptoms such as intense joint pain, inflammation and redness, and limited range of motion in the affected joints due to excessive levels of uric acid. In addition, gout is a recognized risk factor in chronic kidney disease. Due to present limitations in current treatment options, we believe that there is a clear need for a new approach.</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August 2022 we announced SYNB2081 as our drug candidate for the potential treatment of gout and the second product to advance to clinical development through our collaboration with Ginkgo.</w:t>
      </w:r>
    </w:p>
    <w:p>
      <w:pPr>
        <w:pStyle w:val="TextBody"/>
        <w:bidi w:val="0"/>
        <w:spacing w:before="160" w:after="283"/>
        <w:jc w:val="left"/>
        <w:rPr>
          <w:rFonts w:ascii="Times New Roman" w:hAnsi="Times New Roman"/>
          <w:sz w:val="20"/>
        </w:rPr>
      </w:pPr>
      <w:r>
        <w:rPr>
          <w:rFonts w:ascii="Times New Roman" w:hAnsi="Times New Roman"/>
          <w:b/>
          <w:color w:val="000000"/>
          <w:sz w:val="20"/>
        </w:rPr>
        <w:t>Designing and Developing Synthetic Biotics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Synthetic Biotics we design have unique advantages as potentially safe, effective, orally administered biotherapeutics. Engineered microbes can be programmed to carry out functions that cannot be performed by conventional drug treatments, such as small molecules or antibodies. Unlike other targeted approaches such as gene or RNA-targeted therapies, Synthetic Biotics are reversible, as they are engineered to be non-colonizing and are rapidly cleared via excretion. They have a reduced risk of adverse events due to the lack of systemic absorption. </w:t>
      </w:r>
    </w:p>
    <w:p>
      <w:pPr>
        <w:pStyle w:val="TextBody"/>
        <w:bidi w:val="0"/>
        <w:spacing w:before="160" w:after="283"/>
        <w:jc w:val="left"/>
        <w:rPr>
          <w:rFonts w:ascii="Times New Roman" w:hAnsi="Times New Roman"/>
          <w:sz w:val="20"/>
        </w:rPr>
      </w:pPr>
      <w:r>
        <w:rPr>
          <w:rFonts w:ascii="Times New Roman" w:hAnsi="Times New Roman"/>
          <w:b/>
          <w:i/>
          <w:color w:val="000000"/>
          <w:sz w:val="20"/>
        </w:rPr>
        <w:t>Using Synthetic Biology to Generate Synthetic Biotics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Bacteria have evolved over millions of years to adapt, survive, and actively metabolize to consume or produce metabolites in the human body. They are also amenable to genetic manipulation. To confer a therapeutic effect, we use basic biological properties of bacteria and the tools of synthetic biology to develop Synthetic Biotics from non-pathogenic microbes, focusing initially on a single strain of the bacteria </w:t>
      </w:r>
      <w:r>
        <w:rPr>
          <w:rFonts w:ascii="Times New Roman" w:hAnsi="Times New Roman"/>
          <w:i/>
          <w:color w:val="000000"/>
          <w:sz w:val="20"/>
        </w:rPr>
        <w:t xml:space="preserve">E. coli </w:t>
      </w:r>
      <w:r>
        <w:rPr>
          <w:rFonts w:ascii="Times New Roman" w:hAnsi="Times New Roman"/>
          <w:color w:val="000000"/>
          <w:sz w:val="20"/>
        </w:rPr>
        <w:t>Nissle.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scientists genetically engineer probiotic, non-pathogenic bacteria to create biological circuits to direct cellular processes in a manner analogous to designing electrical circuits. We aim to precisely and appropriately control the amount, location and activity of our Synthetic Biotics to address specific diseases and target biology of interest.</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The critical parts of an engineered Synthetic Biotic medicine include (1) the chassis, or non-pathogenic bacterium (in our case </w:t>
      </w:r>
      <w:r>
        <w:rPr>
          <w:rFonts w:ascii="Times New Roman" w:hAnsi="Times New Roman"/>
          <w:i/>
          <w:color w:val="000000"/>
          <w:sz w:val="20"/>
        </w:rPr>
        <w:t>E. coli</w:t>
      </w:r>
      <w:r>
        <w:rPr>
          <w:rFonts w:ascii="Times New Roman" w:hAnsi="Times New Roman"/>
          <w:color w:val="000000"/>
          <w:sz w:val="20"/>
        </w:rPr>
        <w:t xml:space="preserve"> Nissle), (2) the effector module(s), which is a gene or pathway encoding the core biological activity that provides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therapeutic function, and (3) tunable switches that are designed to respond to specific disease states or environment signals to precisely control the activity, potency, and performance of the effector modules.</w:t>
      </w:r>
    </w:p>
    <w:p>
      <w:pPr>
        <w:pStyle w:val="TextBody"/>
        <w:bidi w:val="0"/>
        <w:spacing w:before="160" w:after="283"/>
        <w:jc w:val="center"/>
        <w:rPr/>
      </w:pPr>
      <w:r>
        <w:rPr/>
        <w:drawing>
          <wp:inline distT="0" distB="0" distL="0" distR="0">
            <wp:extent cx="4314825" cy="24479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314825" cy="2447925"/>
                    </a:xfrm>
                    <a:prstGeom prst="rect">
                      <a:avLst/>
                    </a:prstGeom>
                  </pic:spPr>
                </pic:pic>
              </a:graphicData>
            </a:graphic>
          </wp:inline>
        </w:drawing>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pPr>
      <w:r>
        <w:rPr>
          <w:rFonts w:ascii="Times New Roman" w:hAnsi="Times New Roman"/>
          <w:b/>
          <w:color w:val="000000"/>
          <w:sz w:val="20"/>
        </w:rPr>
        <w:t>The Chassis:</w:t>
      </w:r>
      <w:r>
        <w:rPr>
          <w:color w:val="000000"/>
        </w:rPr>
        <w:t xml:space="preserve"> </w:t>
      </w:r>
      <w:r>
        <w:rPr>
          <w:rFonts w:ascii="Times New Roman" w:hAnsi="Times New Roman"/>
          <w:color w:val="000000"/>
          <w:sz w:val="20"/>
        </w:rPr>
        <w:t xml:space="preserve">Our Synthetic Biotic platform starts with a well-characterized probiotic to serve as the chassis upon which we build our living medicines. Our research and development programs use </w:t>
      </w:r>
      <w:r>
        <w:rPr>
          <w:rFonts w:ascii="Times New Roman" w:hAnsi="Times New Roman"/>
          <w:i/>
          <w:color w:val="000000"/>
          <w:sz w:val="20"/>
        </w:rPr>
        <w:t>E. coli</w:t>
      </w:r>
      <w:r>
        <w:rPr>
          <w:color w:val="000000"/>
        </w:rPr>
        <w:t xml:space="preserve"> </w:t>
      </w:r>
      <w:r>
        <w:rPr>
          <w:rFonts w:ascii="Times New Roman" w:hAnsi="Times New Roman"/>
          <w:color w:val="000000"/>
          <w:sz w:val="20"/>
        </w:rPr>
        <w:t xml:space="preserve">Nissle, which is one of many non-pathogenic probiotics isolated from the human microbiota. </w:t>
      </w:r>
      <w:r>
        <w:rPr>
          <w:rFonts w:ascii="Times New Roman" w:hAnsi="Times New Roman"/>
          <w:i/>
          <w:color w:val="000000"/>
          <w:sz w:val="20"/>
        </w:rPr>
        <w:t>E. coli</w:t>
      </w:r>
      <w:r>
        <w:rPr>
          <w:color w:val="000000"/>
        </w:rPr>
        <w:t xml:space="preserve"> </w:t>
      </w:r>
      <w:r>
        <w:rPr>
          <w:rFonts w:ascii="Times New Roman" w:hAnsi="Times New Roman"/>
          <w:color w:val="000000"/>
          <w:sz w:val="20"/>
        </w:rPr>
        <w:t xml:space="preserve">Nissle is non-colonizing and has been used as a probiotic bacterial supplement for many years to promote gut health. Clinical studies have demonstrated that E. coli Nissle is rapidly cleared from most individuals with no significant safety issues (Clin. Transl. Sci. (2017) 00, 1—8). We also observed complete clearance from subjects in our Phase 1 clinical trial of SYNB1618 in healthy volunteers (Puurunen et al 2021 Nature Metabolism 3; 1125-1132). We believe </w:t>
      </w:r>
      <w:r>
        <w:rPr>
          <w:rFonts w:ascii="Times New Roman" w:hAnsi="Times New Roman"/>
          <w:i/>
          <w:color w:val="000000"/>
          <w:sz w:val="20"/>
        </w:rPr>
        <w:t>E. coli</w:t>
      </w:r>
      <w:r>
        <w:rPr>
          <w:color w:val="000000"/>
        </w:rPr>
        <w:t xml:space="preserve"> </w:t>
      </w:r>
      <w:r>
        <w:rPr>
          <w:rFonts w:ascii="Times New Roman" w:hAnsi="Times New Roman"/>
          <w:color w:val="000000"/>
          <w:sz w:val="20"/>
        </w:rPr>
        <w:t xml:space="preserve">Nissle's widespread use as a probiotic is evidence of its utility as a safe background chassis to apply synthetic biology to confer a therapeutic benefit. There are several additional features of </w:t>
      </w:r>
      <w:r>
        <w:rPr>
          <w:rFonts w:ascii="Times New Roman" w:hAnsi="Times New Roman"/>
          <w:i/>
          <w:color w:val="000000"/>
          <w:sz w:val="20"/>
        </w:rPr>
        <w:t>E. coli</w:t>
      </w:r>
      <w:r>
        <w:rPr>
          <w:color w:val="000000"/>
        </w:rPr>
        <w:t xml:space="preserve"> </w:t>
      </w:r>
      <w:r>
        <w:rPr>
          <w:rFonts w:ascii="Times New Roman" w:hAnsi="Times New Roman"/>
          <w:color w:val="000000"/>
          <w:sz w:val="20"/>
        </w:rPr>
        <w:t>Nissle organism that makes it an attractive chassis for our platform: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 coli</w:t>
      </w:r>
      <w:r>
        <w:rPr>
          <w:color w:val="000000"/>
        </w:rPr>
        <w:t xml:space="preserve"> </w:t>
      </w:r>
      <w:r>
        <w:rPr>
          <w:rFonts w:ascii="Times New Roman" w:hAnsi="Times New Roman"/>
          <w:color w:val="000000"/>
          <w:sz w:val="20"/>
        </w:rPr>
        <w:t xml:space="preserve">Nissle’s genetic and metabolic machinery are well understood and provide a robust cellular context into which genetic information can be introduced with high efficiency and little or no damage to the fitness of the bacterium.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The advanced nature of the synthetic biology toolkit available for </w:t>
      </w:r>
      <w:r>
        <w:rPr>
          <w:rFonts w:ascii="Times New Roman" w:hAnsi="Times New Roman"/>
          <w:i/>
          <w:color w:val="000000"/>
          <w:sz w:val="20"/>
        </w:rPr>
        <w:t xml:space="preserve">E. coli </w:t>
      </w:r>
      <w:r>
        <w:rPr>
          <w:rFonts w:ascii="Times New Roman" w:hAnsi="Times New Roman"/>
          <w:color w:val="000000"/>
          <w:sz w:val="20"/>
        </w:rPr>
        <w:t>Nissle enables rapid iterative design, assembly, and testing of prototype product candidates and remains unique among other bacterial and cellular engineering approaches.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Starting from known principles of manufacturing helps de-risk Synlogic’s proprietary large-scale manufacturing platform.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As a Gram-negative bacterium, with a protective outer wall, </w:t>
      </w:r>
      <w:r>
        <w:rPr>
          <w:rFonts w:ascii="Times New Roman" w:hAnsi="Times New Roman"/>
          <w:i/>
          <w:color w:val="000000"/>
          <w:sz w:val="20"/>
        </w:rPr>
        <w:t>E. coli</w:t>
      </w:r>
      <w:r>
        <w:rPr>
          <w:color w:val="000000"/>
        </w:rPr>
        <w:t xml:space="preserve"> </w:t>
      </w:r>
      <w:r>
        <w:rPr>
          <w:rFonts w:ascii="Times New Roman" w:hAnsi="Times New Roman"/>
          <w:color w:val="000000"/>
          <w:sz w:val="20"/>
        </w:rPr>
        <w:t>Nissle survives well in the human GI tract.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pPr>
      <w:r>
        <w:rPr>
          <w:rFonts w:ascii="Times New Roman" w:hAnsi="Times New Roman"/>
          <w:b/>
          <w:color w:val="000000"/>
          <w:sz w:val="20"/>
        </w:rPr>
        <w:t>The Effector Module or Circuit:</w:t>
      </w:r>
      <w:r>
        <w:rPr>
          <w:color w:val="000000"/>
        </w:rPr>
        <w:t xml:space="preserve"> </w:t>
      </w:r>
      <w:r>
        <w:rPr>
          <w:rFonts w:ascii="Times New Roman" w:hAnsi="Times New Roman"/>
          <w:color w:val="000000"/>
          <w:sz w:val="20"/>
        </w:rPr>
        <w:t xml:space="preserve">Synthetic Biotics have the advantage that they can be designed with multiple pathway components. We have engineered integration systems to direct stable insertion of multiple genetic circuits and pathways into optimal chromosomal locations, or “landing pads,” of </w:t>
      </w:r>
      <w:r>
        <w:rPr>
          <w:rFonts w:ascii="Times New Roman" w:hAnsi="Times New Roman"/>
          <w:i/>
          <w:color w:val="000000"/>
          <w:sz w:val="20"/>
        </w:rPr>
        <w:t>E. coli</w:t>
      </w:r>
      <w:r>
        <w:rPr>
          <w:color w:val="000000"/>
        </w:rPr>
        <w:t xml:space="preserve"> </w:t>
      </w:r>
      <w:r>
        <w:rPr>
          <w:rFonts w:ascii="Times New Roman" w:hAnsi="Times New Roman"/>
          <w:color w:val="000000"/>
          <w:sz w:val="20"/>
        </w:rPr>
        <w:t xml:space="preserve">Nissle. This enables efficient and stable expression of multiple genes encoding enzymes and other proteins. Our approach allows us to engineer two types of mechanistic activities into our Synthetic Biotics: 1) we can engineer Synthetic Biotics capable of metabolic transformations that can substitute or compensate for missing or defective pathways in a patient, and 2) we can engineer Synthetic Biotics to produce therapeutically beneficial molecules.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enzymatic pathways needed to produce or convert molecules are protected from the harsh GI environment by their location within the cell cytoplasm of </w:t>
      </w:r>
      <w:r>
        <w:rPr>
          <w:rFonts w:ascii="Times New Roman" w:hAnsi="Times New Roman"/>
          <w:i/>
          <w:color w:val="000000"/>
          <w:sz w:val="20"/>
        </w:rPr>
        <w:t>E. coli</w:t>
      </w:r>
      <w:r>
        <w:rPr>
          <w:rFonts w:ascii="Times New Roman" w:hAnsi="Times New Roman"/>
          <w:color w:val="000000"/>
          <w:sz w:val="20"/>
        </w:rPr>
        <w:t xml:space="preserve"> Nissle, allowing them the potential to function throughout the GI tract. We have leveraged proprietary tools, know-how and intellectual property to build multiple Synthetic Biotics that produce therapeutically relevant effects in pre-clinical experiments. Progression of these product candidates in diseases with high unmet need is based on prioritizing those with feasible drug development paths in terms of availability of informative animal models and existence of biomarkers to guide efficient clinical development.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pPr>
      <w:r>
        <w:rPr>
          <w:rFonts w:ascii="Times New Roman" w:hAnsi="Times New Roman"/>
          <w:b/>
          <w:color w:val="000000"/>
          <w:sz w:val="20"/>
        </w:rPr>
        <w:t>Tunable Switches:</w:t>
      </w:r>
      <w:r>
        <w:rPr>
          <w:color w:val="000000"/>
        </w:rPr>
        <w:t xml:space="preserve"> </w:t>
      </w:r>
      <w:r>
        <w:rPr>
          <w:rFonts w:ascii="Times New Roman" w:hAnsi="Times New Roman"/>
          <w:color w:val="000000"/>
          <w:sz w:val="20"/>
        </w:rPr>
        <w:t xml:space="preserve">We also design and engineer proprietary switches to control the activity of the genetic pathways we introduce into our Synthetic Biotics, with the goal of controlling the engineered circuit or its therapeutic output. To optimize the fitness and activity of a Synthetic Biotic, it is critical that the effector is activated at the appropriate time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place to mediate its function. Switches are based on engineering DNA elements called “inducible promoters” that are designed to respond to disease states, specific environmental signals, or exogenously added inducing molecules.</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Advantages of Synthetic Biotic Biotherapeutics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Synthetic Biotics will provide safe and effective therapies given the following attributes: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pPr>
      <w:r>
        <w:rPr>
          <w:rFonts w:ascii="Times New Roman" w:hAnsi="Times New Roman"/>
          <w:b/>
          <w:color w:val="000000"/>
          <w:sz w:val="20"/>
        </w:rPr>
        <w:t>Synthetic Biotics Have Potential to Address Unmet Needs Not Possible with Other Modalities</w:t>
      </w:r>
      <w:r>
        <w:rPr>
          <w:color w:val="00000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Degrading Toxic Metabolites:</w:t>
      </w:r>
      <w:r>
        <w:rPr>
          <w:rFonts w:ascii="Times New Roman" w:hAnsi="Times New Roman"/>
          <w:color w:val="000000"/>
          <w:sz w:val="20"/>
        </w:rPr>
        <w:t xml:space="preserve"> Unlike other therapeutic approaches, Synthetic Biotics can be programmed with a unique mechanistic activity. For internal metabolic programs, we are engineering Synthetic Biotics with entire pathways designed to degrade or convert toxic metabolites. We believe that using a metabolizing pathway is advantageous compared to gene, RNA or enzyme replacement therapies because the latter are limited to targeting a single gene or protein defect and may require several unique drug products to address genetically heterogeneous patient populations. Compensating with an entire pathway delivered in bacteria Synthetic Biotics may provide a safe, therapeutic solution to broader disease populations as a single engineered therapeutic. Our clinical stage programs, SYNB1934, SYNB8802 and SYNB1353, are examples of Synthetic Biotics designed and engineered to eliminate metabolites from the GI tract and prevent their absorption.</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Production of Therapeutic Molecules:</w:t>
      </w:r>
      <w:r>
        <w:rPr>
          <w:rFonts w:ascii="Times New Roman" w:hAnsi="Times New Roman"/>
          <w:color w:val="000000"/>
          <w:sz w:val="20"/>
        </w:rPr>
        <w:t xml:space="preserve"> Synthetic Biotics can also be programmed to produce beneficial molecules, such as bacterial metabolites that may improve disease or proteins that can be secreted from the bacteria into the local environment. Examples of this approach include production of short chain fatty acids (Reeves et al. DDW 2022), aryl hydrocarbon (AHR) agonists (Shu et al. DDW2022) and secretion of human IL-22 protein (Reeves et al. DDW 2022).</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Combinations of Mechanisms:</w:t>
      </w:r>
      <w:r>
        <w:rPr>
          <w:rFonts w:ascii="Times New Roman" w:hAnsi="Times New Roman"/>
          <w:color w:val="000000"/>
          <w:sz w:val="20"/>
        </w:rPr>
        <w:t xml:space="preserve"> By incorporating multiple effectors or enzymes into a single strain, Synthetic Biotics have the potential to address multifactorial disease biology more effectively. For example, Synthetic Biotics can be engineered with multiple enzymes which convert toxic metabolites more effectively than a single effector could otherwise provide. Alternatively, pathways that degrade a metabolite of interest can be engineered into a Synthetic Biotic that also produces one or more therapeutic molecules.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Synthetic Biotics Have Potential to Reduce Safety Risks by Providing Local Therapeutic Delivery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when delivered locally, Synthetic Biotics have the potential to avoid the risks often associated with systemic therapies, especially when combinations of systemic therapies are required. Our Synthetic Biotic drug candidates are orally administered, and act locally while transiting through the gut. Consequently, they decrease toxic metabolite levels in the blood to provide a systemic therapeutic benefit to the patient. Given the potential for chronic oral dosing, Synthetic Biotics may have benefits in terms of dose prediction and reversibility of activity.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The Synthetic Biotic Approach is a Favorable Engine for Pharmacology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Features of our Synthetic Biotic product engine enable drug discovery and development with the potential of advancing clinical candidates more rapidly and efficiently than traditional approaches. Reasons for this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 coli</w:t>
      </w:r>
      <w:r>
        <w:rPr>
          <w:color w:val="000000"/>
        </w:rPr>
        <w:t xml:space="preserve"> </w:t>
      </w:r>
      <w:r>
        <w:rPr>
          <w:rFonts w:ascii="Times New Roman" w:hAnsi="Times New Roman"/>
          <w:color w:val="000000"/>
          <w:sz w:val="20"/>
        </w:rPr>
        <w:t xml:space="preserve">Nissle chassis is used across programs. Because our lead programs are based on </w:t>
      </w:r>
      <w:r>
        <w:rPr>
          <w:rFonts w:ascii="Times New Roman" w:hAnsi="Times New Roman"/>
          <w:i/>
          <w:color w:val="000000"/>
          <w:sz w:val="20"/>
        </w:rPr>
        <w:t>E. coli</w:t>
      </w:r>
      <w:r>
        <w:rPr>
          <w:color w:val="000000"/>
        </w:rPr>
        <w:t xml:space="preserve"> </w:t>
      </w:r>
      <w:r>
        <w:rPr>
          <w:rFonts w:ascii="Times New Roman" w:hAnsi="Times New Roman"/>
          <w:color w:val="000000"/>
          <w:sz w:val="20"/>
        </w:rPr>
        <w:t xml:space="preserve">Nissle, experience can be leveraged broadly across the portfolio to further optimize the efficiency and reproducibility of discovery, development and manufacturing efforts. The non-colonizing nature of </w:t>
      </w:r>
      <w:r>
        <w:rPr>
          <w:rFonts w:ascii="Times New Roman" w:hAnsi="Times New Roman"/>
          <w:i/>
          <w:color w:val="000000"/>
          <w:sz w:val="20"/>
        </w:rPr>
        <w:t>E. coli</w:t>
      </w:r>
      <w:r>
        <w:rPr>
          <w:color w:val="000000"/>
        </w:rPr>
        <w:t xml:space="preserve"> </w:t>
      </w:r>
      <w:r>
        <w:rPr>
          <w:rFonts w:ascii="Times New Roman" w:hAnsi="Times New Roman"/>
          <w:color w:val="000000"/>
          <w:sz w:val="20"/>
        </w:rPr>
        <w:t xml:space="preserve">Nissle can be combined with engineering approaches to enhance safety in terms of impact on the patient and the environment. </w:t>
      </w:r>
      <w:r>
        <w:rPr>
          <w:rFonts w:ascii="Times New Roman" w:hAnsi="Times New Roman"/>
          <w:i/>
          <w:color w:val="000000"/>
          <w:sz w:val="20"/>
        </w:rPr>
        <w:t>E. coli</w:t>
      </w:r>
      <w:r>
        <w:rPr>
          <w:color w:val="000000"/>
        </w:rPr>
        <w:t xml:space="preserve"> </w:t>
      </w:r>
      <w:r>
        <w:rPr>
          <w:rFonts w:ascii="Times New Roman" w:hAnsi="Times New Roman"/>
          <w:color w:val="000000"/>
          <w:sz w:val="20"/>
        </w:rPr>
        <w:t>Nissle can be engineered to require a specific exogenous nutrient supplement for growth, which limits the ability to replicate in the human body and environment. By controlling replication, we can control the number of cells being administered to a patient, which limits patient-to-patient variability. Also, dependence on an essential nutritional supplement not available in the environment reduces biocontainment risk. In addition, our chassis can be engineered to remove genes responsible for the production of the potential genotoxin colibactin, as an added safety features (Kalantari et al. Plos One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Predictive pharmacology and biomarkers. Synthetic Biotic programs are designed to achieve a target activity and support an iterative design-build-test cycle to improve performance for achieving this target. For example, Synthetic Biotic programs can be optimized by including multiple copies or regulated control of certain genes, by adding transporters for particular substrates or by optimizing enzymes for basic bacterial metabolism. These tools enable rational and iterative engineering cycles in the discovery phase.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Biomarkers as indicators of mechanistic and clinical activity may also be engineered into Synthetic Biotics to drive optimization and decision-making. By assessing the activities of our Synthetic Biotic programs using in vitro and in vivo preclinical models, we can model activity in humans. As we progress through clinical studies,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predictive pharmacology models are further refined to inform dosing and development decisions for our additional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Stability and manufacturing. Starting from known principles of manufacturing helps de-risk Synlogic’s proprietary large-scale manufacturing platform. Our lead Synthetic Biotic programs have advanced the platform by defining manufacturing processes that can be used for the entire portfolio. Our use of synthetic biology switches permits the precise control of engineered metabolic pathway activation. We use switches to suppress effector activity during manufacturing, enabling development of reproducible processes for biomass generation while maintaining robust and cost-efficient scale up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campaigns have demonstrated production reproducibility and robustness at multiple scales. The stability profile of our material has translated through the development and scale up efforts, supporting the shelf life of our strains. The implemented late stage and scale up capabilities have enabled us to produce 10,000 to 15,000 drug product doses at multiple strengths.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Collaboration Agreements</w:t>
      </w:r>
    </w:p>
    <w:p>
      <w:pPr>
        <w:pStyle w:val="TextBody"/>
        <w:bidi w:val="0"/>
        <w:spacing w:before="360" w:after="283"/>
        <w:jc w:val="left"/>
        <w:rPr>
          <w:rFonts w:ascii="Times New Roman" w:hAnsi="Times New Roman"/>
          <w:sz w:val="20"/>
        </w:rPr>
      </w:pPr>
      <w:r>
        <w:rPr>
          <w:rFonts w:ascii="Times New Roman" w:hAnsi="Times New Roman"/>
          <w:b/>
          <w:i/>
          <w:color w:val="000000"/>
          <w:sz w:val="20"/>
        </w:rPr>
        <w:t>Ginkgo Bioworks, Inc.</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June 2019, we entered into an agreement with Ginkgo. The agreement provided an $80 million equity investment at a premium in Synlogic by Ginkgo and entry into a long-term strategic platform collaboration to expand and accelerate the development of Synlogic’s pipeline of Synthetic Biotics. As part of the agreement, Ginkgo purchased 422,718 shares of our common stock and accompanying Pre-Funded Warrants (the Pre-Funded Warrants) to purchase up to 169,874 shares of our common stock, at a combined price of $135.00 per share and Pre-Funded Warrant. Gross proceeds were approximately $80 million. Under the agreement, we made a prepayment to Ginkgo of $30 million for its foundry services that are being provided to us over an initial term of five years.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February 2024, our board of directors approved the discontinuation of the Synpheny-3 trial, a significant reduction in the Company’s workforce and began evaluating strategic options for the Company. As a result of this decision, we will no longer be purchasing services from Ginkgo. During the year ended December 31, 2024, the remaining $5.2 million of prepaid expenses related to this collaboration, were recorded as restructuring and other charges on the consolidated statements of operations and comprehensive loss. Historically, the costs were recorded in current and non-current prepaid research and development, on the consolidated balance sheet. We have exclusive rights to any Synthetic Biotics that were developed as part of the collaboration and to intellectual property covering such products.</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Intellectual Property and Technology Licenses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strive to protect and enhance the proprietary technology, inventions, and improvements that are commercially important to our business, including seeking, maintaining, and defending patent rights, whether developed internally or licensed from our collaborators or other third parties. Our policy is to seek to protect our proprietary position by, among other methods, filing patent applications in the United States and in certain jurisdictions outside of the United States related to our proprietary technology, inventions, improvements, and product candidates that are important to the development and implementation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rely on trade secrets and know-how relating to our proprietary technology and product candidates, continuing innovation, and in-licensing opportunities to develop, strengthen, and maintain our proprietary position in the field of synthetic biology. We additionally rely on data exclusivity, market exclusivity, and patent term extensions when available, and plan to rely on additional regulatory protection afforded through orphan drug designations when applicable.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by third parties; to defend and enforce our proprietary rights, including our patents; and to operate without infringing on the valid and enforceable patents and other proprietary rights of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we are well positioned in terms of intellectual property because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built and expanded, and intend to continue expansion in, a broad worldwide portfolio of intellectual property, including patents and patent applications, in areas relevant to the development, manufacturing and formulation of human therapeutic products using live biotherapeutics based on synthetic biology;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Intend to take additional steps, where appropriate, to further protect our intellectual property rights, including, for example, through the use of copyright and trademark protection, as well as regulatory protection available via orphan drug designations, data exclusivity, market exclusivity and patent term extensions.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believe our intellectual property portfolio provides broad coverage of our Synthetic Biotic platform and applicable disease-related technologies. As of February 27, 2025, we had over 112 Synlogic-owned patents and patent applications in U.S. and foreign jurisdictions, of which over 61 have been issued or allowed.</w:t>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Synlogic Intellectual Property</w:t>
      </w:r>
    </w:p>
    <w:p>
      <w:pPr>
        <w:pStyle w:val="TextBody"/>
        <w:bidi w:val="0"/>
        <w:jc w:val="left"/>
        <w:rPr>
          <w:rFonts w:ascii="Times New Roman" w:hAnsi="Times New Roman"/>
          <w:b/>
          <w:i/>
          <w:color w:val="000000"/>
          <w:sz w:val="20"/>
        </w:rPr>
      </w:pPr>
      <w:r>
        <w:rPr>
          <w:rFonts w:ascii="Times New Roman" w:hAnsi="Times New Roman"/>
          <w:b/>
          <w:i/>
          <w:color w:val="000000"/>
          <w:sz w:val="20"/>
        </w:rPr>
        <w:t>Disease-related applications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disease-related applications in our intellectual property portfolio relate to certain pathological conditions including, but not limited to , hyperphenylalaninemia, hyperoxaluria, homocystinuria, hyperuricemia, hyperammonemia, certain other inherited metabolic diseases and conditions, metabolic disorders, diseases and conditions associated with an inflammatory state, diseases associated with gut inflammation, compromised gut mucosal barrier (leaky gut), and various autoimmune disorders and provide coverage for engineered bacteria having genetic circuitry designed to specifically address those conditions and the associated disease states. The intellectual property portfolio provides coverage for engineered bacterial strain compositions, related formulations, methods of making the bacterial strains, methods of measuring strain activity, and methods for treating diseases. Currently, intellectual property relating to this technology includes pending applications in U.S. and foreign jurisdictions, as well as several issued U.S. patents directed to composition of matter and pharmaceutical composition claims covering our clinical candidates. The patent term for our current patents and patent applications have expiration dates ranging from December 2035 to December 2043, depending on the indication and excluding any patent term adjustments or extensions.</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Platform Technology Applications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disease-specific technology, Synlogic has also developed a number of technologies broadly applicable across the Synlogic platform. We rely on a combination of patent application and trade secrets to protect our platform intellectual property. Exemplary platform technologies include our unique upstream and downstream GMP manufacturing processes, bacterial chassis-related and genetic circuitry-related technological developments, including, for example, improvements in inducible gene regulation, control of bacterial cell growth, and systems for importing metabolites, as well as systems for prevention of production of potentially genotoxic metabolites. These platform technologies, and our intellectual property coverage thereof, are broadly applicable to our therapeutic Synthetic Biotics.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General Considerations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non-provisional filing date. In addition, in certain instances, a patent term can be extended to account for delays in prosecution at the U.S. Patent and Trademark Office (USPTO) and/or to recapture a portion of the term effectively lost as a result of the FDA regulatory review period. For regulatory delays,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non-provisional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patent positions of companies like us are generally uncertain and involve complex legal and factual questions. No consistent policy regarding the scope of claims allowable in patents in the field of synthetic biology has emerged in the United States. The patent situation outside of the United States is even more uncertain.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the future will be commercially useful in protecting our products and the methods used to manufacture those products. For additional risks, please see the section entitled “Risk Factors—Risks Related to Intellectual Property.”</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Trademarks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registered trademark portfolio currently contains over 40 registered or allowed trademarks.</w:t>
      </w:r>
    </w:p>
    <w:p>
      <w:pPr>
        <w:pStyle w:val="TextBody"/>
        <w:bidi w:val="0"/>
        <w:jc w:val="left"/>
        <w:rPr/>
      </w:pPr>
      <w:r>
        <w:rPr/>
        <w:t> </w:t>
      </w:r>
    </w:p>
    <w:p>
      <w:pPr>
        <w:pStyle w:val="TextBody"/>
        <w:bidi w:val="0"/>
        <w:spacing w:before="1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Other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Generally, we seek to protect our technology and product candidates, in part, by entering into confidentiality agreements with those who have access to our confidential information, including employees, contractors, consultants, collaborators, and advisors. In some circumstances, we may rely on trade secrets to protect our technology. We seek to preserve the integrity and confidentiality of our proprietary technology, trade secrets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company employees, contractors, consultants, collaborators, and advisors use intellectual property owned by others in their work for us, disputes may arise as to the rights in related or resulting know-how and inventions. For this and more comprehensive risks related to our proprietary technology, inventions, improvements and products, please see the section entitled “Risk Factors—Risks Related to Intellectual Property.”</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Regulatory Matters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Government Regulation and Product Approval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Government authorities in the United States, at the federal, state and local level, and other countries extensively regulate, among other things, the research, development, testing, manufacture, quality control, approval, labeling, packaging, storage, record keeping, promotion, advertising, distribution, marketing and export and import of products such as those we are developing. A new drug must be approved by the FDA through the New Drug Application (NDA) process and a new biologic must be approved by the FDA through the Biologics License Application (BLA), process before such products may be legally marketed in the United States.</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U.S. Drug Development Process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United States, the FDA regulates drugs and biologics under the Federal Food, Drug, and Cosmetic Act (FDCA) and in the case of biologics, also under the Public Health Service Act (PHSA) and implementing regulations. Our product candidates will be regulated by the FDA as biologics. The process of obtaining regulatory approvals and the subsequent compliance with applicable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FDA’s refusal to approve pending applications, withdrawal of an approval, license revocation,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biologic may be marketed in the United States generally involves the following: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Completion of required preclinical (or nonclinical) laboratory tests, animal studies and formulation studies performed in accordance with Good Laboratory Practice (GLP) and other applicable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Submission to the FDA of an investigational new drug application (IND) which must become effective before shipment of investigational product for human clinical trials may begin;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Approval by an independent institutional review board (IRB) or ethics committee at each clinical trial site before each clinical trial may be initiated;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of adequate and well-controlled human clinical trials performed in accordance with applicable IND regulations, Good Clinical Practice (GCP), and other clinical-trial related regulations to evaluate the safety and efficacy of the investigational product for each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 Manufacturing Practice (GMP) to prepare a drug substance and drug product analyzed using validated analytical methods;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and approval of a companion diagnostic device, if the FDA or the sponsor believes that its use is essential for the safe and effective use of a corresponding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Submission to the FDA of a BLA for marketing approval, including payment of application user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 FDA inspection of the manufacturing facility or facilities at which the biologic is produced to assess compliance with current Good Manufacturing Practice (cGMP) regulations to assure that the facilities, methods and controls are adequate to preserve the product’s identity, strength, quality and purity;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FDA audit of the clinical trial sites to assure compliance with GCP and the integrity of the clinical data submitted in support of the BLA;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review and approval of the BLA, including satisfactory completion of an FDA advisory committee review of the product candidate, where appropriate or if applicable, prior to any commercial marketing or sale of the product in the United States.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Once a pharmaceutical candidate is identified for development, it enters the preclinical testing stage. Preclinical tests include laboratory evaluations of product chemistry and formulation, animal toxicity and pharmacology studies to assess the potential for adverse events and in some cases to establish a rationale for therapeutic use. The Consolidated Appropriations Act for 2023, signed into law on December 29, 2022, (P.L. 117-328) amended the FDCA and the Public Health Service Act to specify that nonclinical testing for drugs and biologics may, but is not required to, include in vivo animal testing. According to the amended language, a sponsor may fulfill nonclinical testing requirements by completing various in vitro assays (e.g., cell-based assays, organ chips, or microphysiological systems), in silico studies (i.e., computer modeling), other human or nonhuman biology-based tests (e.g., bioprinting), or in vivo animal tests. The conduct of preclinical studies is subject to federal regulations and requirements, including GLP regulations for safety/toxicology studies.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An IND sponsor must submit the results of the preclinical tests, together with manufacturing information and analytical data, to the FDA as part of the IND. In June 2016, the FDA issued an updated guidance for the industry entitled “Early Clinical Trials with Live Biotherapeutic Products: Chemistry, Manufacturing and Control Information,” which included recommendations from the FDA regarding the chemistry, manufacturing and control information that should be included in an IND for early clinical trials with live biotherapeutic products. This guidance reflects the FDA’s thinking on the topic at the time the guidance was issued and although it is not binding on the FDA or a sponsor, it provided us with additional information about what should be included in INDs for our Synthetic Biotic product candidates. The sponsor will also include in the IND a protocol detailing, among other things, the objectives of the clinical trial, the parameters to be used in monitoring safety, and the effectiveness criteria to be evaluated, if a first phase study lends itself to an efficacy evaluation. Some long-term preclinical testing, such as animal tests of reproductive adverse events and carcinogenicity, may continue after an IND for an investigational product candidate is submitted to the FDA and human clinical trials have been initiated.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All clinical trials must be conducted under the supervision of one or more qualified investigators, and in accordance with GCP requirements. They must be conducted under protocols detailing the objectives of the trial, dosing procedures, subject selection and exclusion criteria and the safety and effectiveness criteria to be evaluated. Each protocol must be submitted to the FDA as part of the IND, and timely safety reports must be submitted to the FDA and the investigators for serious and unexpected adverse events. An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rules and regulations. Study subjects must sign the IRB-approved informed consent form in order to participate in the clinical trial.</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addition, an IRB representing each institution that is participating in the clinical trial must review and approve the plan for any clinical trial before it commences at that institution, and the IRB must conduct a continuing review and reapprove the trial at least annually. The IRB must review and approve, among other things, the trial protocol and informed consent information to be provided to clinical trial subjects. An IRB must operate in compliance with FDA regulations.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Human clinical trials are typically conducted in three sequential phases that may overlap or be combined: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1: The product candidate is initially introduced into healthy human subjects and tested for safety, dosage tolerance, absorption, metabolism, distribution and excretion. In the case of some products for severe or life-threatening diseases, such as cancer, especially when the product candidate may be too inherently toxic to ethically administer to healthy volunteers, the initial human testing is usually conducted in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2: This phase involves clinical trials in a limited patient population to identify possible adverse effects and safety risks, to preliminarily evaluate the efficacy of the product candidate for specific targeted diseases and to determine dosage tolerance and optimal dosage.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3: Larger clinical trials are undertaken to further evaluate dosage, clinical efficacy and safety in an expanded patient population, often at geographically dispersed clinical study sites. These clinical trials are intended to establish the overall risk: benefit ratio of the product candidate and provide, if appropriate, an adequate basis for product labeling. These trials may include comparisons with placebo and/or other comparator treatments. The duration of treatment is often extended to mimic the actual use of a product during marketing.</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Post-approval trials, sometimes referred to as Phase 4,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the Consolidated Appropriations Act for 2023, Congress amended the FDCA to require sponsors of a Phase 3 clinical trial, or other “pivotal study” of a new drug to support marketing authorization, to submit a diversity action plan for such clinical trial. The action plan must include the sponsor’s diversity goals for enrollment, as well as a rationale for the goals and a description of how the sponsor will meet them. A sponsor must submit a diversity action plan to FDA by the time the sponsor submits the trial protocol to the agency for review. The FDA may grant a waiver for some or all of the requirements for a diversity action plan. It is unknown at this time how the diversity action plan may affect Phase 3 trial planning and timing or what specific information FDA will expect in such plans, but if FDA objects to a sponsor’s diversity action plan and requires the sponsor to amend the plan or take other actions, it may delay trial initiation.</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clinical protocol, cGMP or IRB requirements or if the product candidate has been associated with unexpected serious harm to patients. Additionally,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Phase 1, Phase 2, and Phase 3 clinical testing may not be completed successfully within any specified period, if at all.</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During the development of a new biologic, sponsors have the opportunity to meet with the FDA at certain points. These points may be prior to submission of an IND, at the end of Phase 2, and before a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end of Phase 2 meeting to discuss their Phase 2 clinical results with the FDA and to present their plans for the pivotal Phase 3 clinical trial that they believe will support approval of the investigational biologic. If this type of discussion occurs, a sponsor may be able to request a Special Protocol Assessment (SPA), the purpose of which is to reach agreement with the FDA on the design of the Phase 3 clinical trial protocol design and analysis that will form the primary basis of an efficacy claim.</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Concurrent with clinical trials, companies usually complete the additional animal studies that may be required for approval and must also develop additional information about the chemistry and physical characteristics of the biologic and finalize a process for manufacturing the product in commercial quantities in accordance with cGMP requirements. The manufacturing process must be capable of consistently producing acceptable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While the IND is active and before approval, progress reports must be submitted at least annually to the FDA, and written IND safety reports must be submitted to the FDA and investigators for serious and unexpected suspected adverse reactions,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 The annual report is customarily submitted in the form of a Development Safety Update Report (DSUR) which is accepted as being equivalent to an IND Annual Report and also meets requirements of the EU (European Union) and International Conference on Harmonization (ICH).</w:t>
      </w:r>
    </w:p>
    <w:p>
      <w:pPr>
        <w:pStyle w:val="TextBody"/>
        <w:bidi w:val="0"/>
        <w:jc w:val="left"/>
        <w:rPr>
          <w:rFonts w:ascii="Times New Roman" w:hAnsi="Times New Roman"/>
          <w:color w:val="000000"/>
          <w:sz w:val="20"/>
        </w:rPr>
      </w:pPr>
      <w:r>
        <w:rPr>
          <w:rFonts w:ascii="Times New Roman" w:hAnsi="Times New Roman"/>
          <w:color w:val="000000"/>
          <w:sz w:val="20"/>
        </w:rPr>
        <w:t xml:space="preserve">There are also requirements governing the reporting of ongoing clinical trials and completed trial results to public registries. Sponsors of most clinical trials of FDA-regulated products are required to register and disclose specified clinical trial information, which is publicly available at ClinicalTrials.gov. Information related to the product, patient population, phase of investigation, trial sites and investigators and other aspects of the clinical trial is then made public as part of the registration. Sponsors are also obligated to submit the results of their clinical trials after completion, but disclosure of the results can be delayed in some cases for up to two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years after the date of completion of the trial. Competitors may use this publicly available information to gain knowledge regarding the progress of development programs. Failure to timely register a covered clinical study or to submit study results as provided for in the law can give rise to civil monetary penalties and also prevent the non-compliant party from receiving future grant funds from the federal government. The NIH’s Final Rule on ClinicalTrials.gov registration and reporting requirements became effective in 2017, and both NIH and FDA recently began enforcing those requirements against non-compliant clinical trial sponsors.</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U.S. Review and Approval Processes</w:t>
      </w:r>
    </w:p>
    <w:p>
      <w:pPr>
        <w:pStyle w:val="TextBody"/>
        <w:bidi w:val="0"/>
        <w:jc w:val="left"/>
        <w:rPr>
          <w:rFonts w:ascii="Times New Roman" w:hAnsi="Times New Roman"/>
          <w:color w:val="000000"/>
          <w:sz w:val="20"/>
        </w:rPr>
      </w:pPr>
      <w:r>
        <w:rPr>
          <w:rFonts w:ascii="Times New Roman" w:hAnsi="Times New Roman"/>
          <w:color w:val="000000"/>
          <w:sz w:val="20"/>
        </w:rPr>
        <w:t>Assuming successful completion of the required clinical testing, the results of the nonclinical studies and clinical trials, along with detailed information relating to the product’s chemistry, manufacturing, and controls, stability, quality control and product release procedures, proposed labeling, and other relevant information are submitted to the FDA as part of a BLA, requesting approval to market the product for one or more indications. The submission of a BLA is subject to the payment of a significant user fee (for example, for FY2024 this application fee exceeds $4 million); although a waiver of such fee may be obtained under certain limited circumstances, including where the biologic has been designated as an orphan drug. The sponsor of an approved BLA is also subject to an annual program fee, currently more than $415,000 per program. These fees are typically increased annually, but exemptions and waivers may be available under certain circumstances (such as a waiver for the first human drug application submitted by a qualifying small business and exemptions for orphan products).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FDA reviews all BLAs submitted to ensure that they are sufficiently complete for substantive review before it accepts them for filing. The FDA may request additional information rather than accept a BLA for filing. In this event, the BLA must be resubmitted with the additional information. The resubmitted application also is subject to review before the FDA accepts it for filing. Once the submission is accepted for filing, the FDA begins an in-depth substantive review. Under the goals and policies agreed to by the FDA under the Prescription Drug User Fee Act, or PDUFA, for original BLAs, the FDA has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and a sponsor’s process to respond to such inquiries. Specifically, the review process may be extended by the FDA for three additional months to consider new information or in the case of a clarification provided by the applicant to address an outstanding deficiency identified by the FDA following the original submission.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approving a BLA, the FDA will typically conduct a pre-approval inspection of the manufacturing facilities for the new product to determine whether the manufacturing processes and facilities comply with cGMPs. The FDA will not approve the product unless it determines that the manufacturing processes and facilities are in compliance with cGMP requirements and adequate to assure consistent production of the product within required specifications. These pre-approval inspections may cover all facilities associated with the BLA submission, including component manufacturing, finished product manufacturing, and control testing laboratories. The FDA also may inspect the sponsor and one or more clinical trial sites to assure compliance with GCP requirements and the integrity of the clinical data submitted to the FDA.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for example, determine the data generated by the clinical site should be excluded from the primary efficacy analyses provided in the BLA.</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refer any BLA including applications for novel biologic candidates which present difficult questions of safety or efficacy, to an advisory committee for review, evaluation and recommendation as to whether the application should be approved and under what conditions. Typically, an advisory committee is a panel of independent experts, including clinicians and other scientific experts, that reviews, evaluates and provides a recommendation as to whether the application should be approved and, if so, under what conditions. The FDA is not bound by the recommendation of an advisory committee, but it considers such recommendations when making final decisions on approval.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process is lengthy and often difficult, and the FDA may refuse to approve a BLA if the applicable regulatory criteria are not satisfied or may require additional clinical or other data and information. Even if such data and information are submitted, the FDA may ultimately decide that the BLA does not satisfy the criteria for approval. Data obtained from clinical trials are not always conclusive and the FDA may interpret data differently than we interpret the same data. After the FDA evaluates a BLA, it will issue an approval letter or a Complete Response Letter (CRL). An approval letter authorizes commercial marketing of the drug with prescribing information for specific indications. A CRL indicates that the review cycle of the application is complete and the application will not be approved in its present form. A CRL usually describes the specific deficiencies in the BLA identified by the FDA and may require additional clinical data, such as an additional pivotal Phase 3 trial or other significant and time-consuming requirements related to clinical trials, nonclinical studies or manufacturing. If a CRL is issued, the sponsor must resubmit the BLA, addressing all of the deficiencies identified in the letter, or withdraw the application. Even if such data and information are submitted,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decide that the BLA does not satisfy the criteria for approval. The FDA reviews a BLA to determine, among other things, whether the product is safe, pure, potent and effective and the facility in which it is manufactured, processed, packed or held meets standards designed to assure the product’s continued identity, strength, quality, potency and purity.</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product receives regulatory approval, the approval is limited to the conditions of use (e.g., patient population, indication) described in the BLA, which could restrict the commercial value of the product. Further, depending on the specific risk(s) to be addressed, the FDA may require that contraindications, warnings or precautions be included in the product labeling, require a sponsor to conduct Phase 4 testing which involves clinical trials designed to further assess a drug’s safety and effectiveness after BLA approval and may require testing and surveillance programs to monitor the safety of approved products which have been commercialized. The FDA may also place other conditions on approval including the requirement for a REMS (Risk Evaluation and Mitigation Strategies), to assure the safe use of the drug. If the FDA concludes a REMS is needed, the sponsor of the BLA must submit a proposed REMS. The FDA will not approve the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Marketing approval may be withdrawn for non-compliance with regulatory requirements or if problems occur following initial marketing.</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Pediatric Research Equity Act (PREA), as amended, an initial BLA or certain supplements to a BLA for a novel product must contain data to assess the safety and effectiveness of the product candidate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pediatric data until after approval of the product for use in adults or full or partial waivers from the pediatric data requirement. Unless otherwise required by regulation, PREA does not typically apply to any therapeutic product for an indication for which orphan designation has been granted. The Food and Drug Administration Safety and Innovation Act (FDASIA), enacted in 2012, made permanent the PREA requirement that a sponsor who is planning to submit a marketing application for a product that includes a new active ingredient, new indication, new dosage form, new dosing regimen or new route of administration must submit an initial Pediatric Study Plan (PSP), within sixty days of an end-of-Phase 2 meeting or, if there is no such meeting, as early as practicable before the initiation of the Phase 3 or Phase 2/3 clinical trial. The initial PSP must include an outline of the pediatric study or studies that the sponsor plans to conduct, including trial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 upon initial PSP at any time if changes to the pediatric plan need to be considered based on data collected from pre-clinical studies, early phase clinical trials or other clinical development programs.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Patent Term Restoration and Marketing Exclusivity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Depending upon the timing, duration and specifics of FDA approval of our drugs, some of our U.S. patents may be eligible for limited patent term extension under the Drug Price Competition and Patent Term Restoration Act of 1984 (referred to as the Hatch Waxman Amendments). The Hatch 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 half the time between the effective date of an IND, and the submission date of a BLA, plus the time between the submission date of a BLA and the approval of that application. Only one patent applicable to an approved drug is eligible for the extension, and the extension must be applied for, prior to expiration of the patent. The USPTO, in consultation with the FDA, reviews and approves the application for any patent term extension or restoration. In the future, we intend to apply for restorations of patent term for some of its currently-owned or licensed patents to add patent life beyond their current expiration date, depending on the expected length of clinical trials and other factors involved in the filing of the relevant BLA.</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Pediatric exclusivity is a type of non-patent marketing exclusivity available in the United States, and, if granted, it provides for the attachment of an additional six months of marketing protection to the term of any existing regulatory exclusivity or listed patents. This six-month exclusivity may be granted if an NDA/BLA sponsor submits clinical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for the same drug/biologic. The issuance of a written request does not require the sponsor to undertake the described clinical trials. To date, we have not received or requested any FDA written requests.</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Biologics Price Competition and Innovation Act of 2009</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Patient Protection and Affordable Care Act, as amended by the Health Care and Education Affordability Reconciliation Act of 2010 (collectively, ACA), which included the Biologics Price Competition and Innovation Act (BPCIA), amended the PHSA to create an abbreviated approval pathway for biological products that are biosimilar to or interchangeable with an FDA-licensed reference biological product. A biosimilar product is defined as one that is highly similar to a reference product notwithstanding minor differences in clinically-inactive components and for which there are no clinically meaningful differences between the biological product and the reference product in terms of the safety, purity and potency of the product. An interchangeable product is a biosimilar product that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Upon licensure by the FDA, an interchangeable biosimilar may be substituted for the reference product without the intervention of the health care provider who prescribed the reference product.</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Under the BPCIA, a manufacturer may submit an abbreviated application for licensure of a biologic that is biosimilar to or interchangeable with an FDA-licensed reference biological product. This abbreviated approval pathway is intended to permit a biosimilar to come to market more quickly and less expensively than if a “full” BLA were submitted, by relying to some extent on the FDA’s previous review and approval of the reference biologic to which the proposed product is similar.</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Under the abbreviated approval pathway, the biosimilar applicant must demonstrate that the product is biosimilar based on data from (1) analytical studies showing that the biosimilar product is highly similar to the reference product; (2) animal studies (including toxicity); and (3) one or more clinical trials to demonstrate safety, purity and potency in one or more appropriate conditions of use for which the reference product is approved. In addition, the applicant must show that the biosimilar and reference products have the same mechanism of action for the conditions of use on the label, route of administration, dosage and strength, and the production facility must meet standards designed to assure product safety, purity and potency.</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 reference biological product is granted 12 years of data exclusivity from the time of first licensure of the product, and the first approved interchangeable biologic product will be granted an exclusivity period of up to one year after it is first commercially marketed. If pediatric studies are performed and accepted by the FDA as responsive to a Written Request, the 12-year exclusivity period will be extended for an additional six months.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addition,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supplement for the reference product for a subsequent application filed by the same sponsor or manufacturer of the reference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BPCIA is complex and is still being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 date, the FDA has approved a number of biosimilars, and numerous biosimilars have been approved in Europe. The FDA has also issued several guidance documents outlining its approach to reviewing and approving biosimilars and interchangeable biosimilars.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Orphan Drug Designation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Orphan Drug Act, the FDA may grant orphan drug designation to a drug intended to treat a rare disease or condition, which is generally defined as a disease or condition that affects fewer than 200,000 individuals in the United States, or more than 200,000 individuals in the United States and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 BLA. After the FDA grants orphan drug designation, the identity of the therapeutic agent and its potential orphan use will be disclosed publicly by the FDA; the posting will also indicate whether a drug is no longer designated as an orphan drug. More than one product candidate may receive an orphan drug designation for the same indication. The benefits of orphan drug designation include research and development tax credits and exemption from FDA prescription drug user fees. Orphan drug designation, however, does not convey any advantage in or shorten the duration of the regulatory review and approval process.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Generally, if a product that receives orphan designation receives the first FDA approval for the orphan indication, the product is entitled to orphan drug exclusivity, which means that for seven years, the FDA is prohibited from approving any other applications to market the same drug or biological product for the same indication, except in limited circumstances described further below. Orphan exclusivity does not block the approval of a different drug or biologic for the same rare disease or condition, nor does it block the approval of the same drug or biologic for different conditions. As a result, even if one of our product candidates receive orphan exclusivity, the FDA can still approve different drugs or biologics for use in treating the same indication or disease, which could create a more competitive market for us. Additionally, if a drug or biologic designated as an orphan product receives marketing approval for an indication broader than what was designated, it may not be entitled to orphan drug exclusivity.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Orphan exclusivity will not bar approval of another product with the same drug or biologic for the same condition under certain circumstances, including if a subsequent product with the same drug or biologic for the same condition is shown to be clinically superior to the approved product on the basis of greater efficacy or safety or a major contribution to patient care, or if the company with orphan drug exclusivity cannot assure the availability of sufficient quantities of the drug or biologic to meet the needs of persons with the disease or condition for which the drug or biologic was designated. Thus, orphan drug exclusivity could also block the approval of one of our products for seven years if a competitor obtains approval of the same drug, as defined by the FDA, and we are not able to show the clinical superiority of our drug or if our product candidate is determined to be contained within the competitor’s product for the same indication or disease.</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Recent court cases have challenged FDA’s approach to determining the scope of orphan drug exclusivity; however, at this time the agency continues to apply its long-standing interpretation of the governing regulations and has stated that it does not plan to change any orphan drug implementing regulations.</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May 2023, the FDA granted labafenogene marselecobac Orphan Drug Designation. Additionally, in October 2017, the FDA granted SYNB1618 Orphan Drug designation for the treatment of PKU and in November 2022, the FDA granted SYNB1353 Orphan Drug designation for the treatment of HCU.</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Fast Track, Breakthrough Therapy, Rare Pediatric Disease and Priority Review Designations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FDA is authorized to designate certain products for expedited development or review if they are intended to address an unmet medical need in the treatment of a serious or life-threatening disease or condition. These programs include Fast Track designation, breakthrough therapy designation and priority review designation.</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 be eligible for a Fast Track designation, the FDA must determine, from the request of a sponsor, based on preclinical studies,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 Track designation provides opportunities for more frequent interactions with the FDA review team to expedite development and review of the product. The FDA may also review sections of the NDA or BLA for a Fast Track product on a rolling basis before the complete application is submitted, if the sponsor and the FDA agree on a schedule for the submission of the application sections, and the sponsor pays any required user fees upon submission of the first section of the NDA or BLA. In addition, Fast Track designation may be withdrawn by the sponsor or rescinded by the FDA if the designation is no longer supported by data emerging in the clinical trial process.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addition, with the enactment of FDASIA in 2012, Congress created a new regulatory program for product candidates designated by FDA as “breakthrough therapies” upon a request made by the IND sponsors.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of their respective marketing applications. The FDA must take certain actions with respect to breakthrough therapies, such as holding timely meetings with and providing advice to the product sponsor, intended to expedite the development and review of an application for approval of a breakthrough therapy.</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Finally, the FDA may designate a product for priority review if it is a drug or biologic that treats a serious condition and, if approved, would provide a significant improvement in safety or effectiveness. The FDA determines at the time that the marketing application is submitted, on a case- by-case basis, whether the proposed drug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for an original BLA or for an NDA for a new molecular entity from the date of filing.</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Finally, the FDA may designate a product for priority review if it is a drug or biologic that treats a serious condition and, if approved, would provide a significant improvement in safety or effectiveness. The FDA determines at the time that the marketing application is submitted, on a case- by-case basis, whether the proposed drug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for an original BLA or for an NDA for a new molecular entity from the date of filing.</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FDA grants Rare Pediatric Disease Designation (RPDD) for serious and life-threatening diseases that primarily affect individuals from birth to 18 years old and fewer than 200,000 persons in the U.S. Under this program, a sponsor who receives an approval for a drug or biologic for a “rare pediatric disease” designation may qualify for a pediatric priority review voucher (pPRV) that can be redeemed to receive a priority review of a subsequent marketing application for a different product. The Rare Pediatric Disease Priority Review Voucher program was reauthorized in the Creating Hope Reauthorization Act in December 2020, allowing a product that is designated as a product for a rare pediatric disease prior to October 1, 2024 to be eligible to receive a Priority Review Voucher upon approval of a qualifying NDA or BLA prior to October 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Even if a product qualifies for one or more of these programs, the FDA may later decide that the product no longer meets the conditions for qualification or decide that the time period for FDA review or approval will not be shortened. Furthermore, Fast Track designation, breakthrough therapy designation and priority review do not change the standards for approval and may not ultimately expedite the development or approval process.</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July 2023, the FDA granted Fast Track designation for the use of labafenogene marselecobac for the treatment of PKU. In addition, in April 2018, the FDA granted Fast Track designation for the use of SYNB1618 for the treatment of PKU. In August 2022, the FDA granted Fast Track designation for the use of SYNB1353 for the treatment of HCU. In January of 2023, Synlogic announced the FDA’s granting of RPDD for SYNB1353 for HCU and for SYNB1934 for PKU.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Accelerated Approval Pathway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products studied for their safety and effectiveness in treating serious or life-threatening illnesses and that provide meaningful therapeutic benefit over existing treatments may receive accelerated approval from the FDA and may be approved on the basis of adequate and well-controlled clinical trials establishing that the drug product has an effect on a surrogate endpoint that is reasonably likely to predict clinical benefit. The FDA may also grant accelerated approval for such a drug or biologic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As a condition of approval, the FDA may require that a sponsor of a drug receiving accelerated approval perform post-marketing clinical trials to verify and describe the predicted effect on IMM or other clinical endpoint, and the product may be subject to expedited withdrawal procedures. Drugs and biologics granted accelerated approval must meet the same statutory standards for safety and effectiveness as those granted traditional approval.</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when the therapeutic effect measured by the endpoint is not itself a clinical benefit and basis for traditional approval, if there is a basis for concluding that the therapeutic effect is reasonably likely to predict the ultimate long-term clinical benefit of a drug.</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For example,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accelerated approval pathway is usually contingent on a sponsor’s agreement to conduct, in a diligent manner, additional post-approval confirmatory studies to verify and describe the drug’s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the predicted clinical benefit of the product during post-marketing studies, would allow the FDA to withdraw approval of the drug. All promotional materials for product candidates being considered and approved under the accelerated approval program are subject to prior review by the FDA.</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part of the Consolidated Appropriations Act for 2023, Congress provided FDA additional statutory authority to mitigate potential risks to patients from continued marketing of ineffective drugs previously granted accelerated approval. Under the Act’s amendments to the FDCA, FDA may require the sponsor of a product granted accelerated approval to have a confirmatory trial underway prior to approval. The sponsor must also submit progress reports on a confirmatory trial every six months until the trial is complete, and such reports are published on FDA’s website. The amendments also give FDA the option of using expedited procedures to withdraw product approval if the sponsor’s confirmatory trial fails to verify the claimed clinical benefits of the product.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Post-Approval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Following approval of a new product, the manufacturer and the approved product are subject to pervasive and continuing regulation by the FDA, including, among other things, monitoring and recordkeeping activities, reporting of adverse experiences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the product, product sampling and distribution restrictions, complying with promotion and advertising requirements, which include restrictions on promoting biologics for unapproved uses or patient populations (i.e.,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If there are any modifications to the product, including changes in indications, labeling or manufacturing processes or facilities, the applicant may be required to submit and obtain FDA approval of a new BLA or a BLA supplement, which may require the applicant to develop additional data or conduct additional pre-clinical studies and clinical trials. The FDA may also place other conditions on approvals including the requirement for a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FDA regulations require that products be manufactured in specific approved facilities and in accordance with cGMPs. The cGMP regulations include requirements relating to organization of personnel, buildings and facilities, equipment, control of components and finished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satisfy the FDA or comparable foreign regulatory authorities before any product is approved and our commercial products can be manufactured.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or biologics are required to register their establishments with the FDA and certain state agencies and are subject to periodic prescheduled or unannounced inspections by the FDA and certain state agencies for compliance with cGMP and other laws. Accordingly, manufacturers must continue to expend time, money and effort in the area of production and quality control to maintain cGMP compliance. Future inspections by the FDA and other regulatory agencies may identify compliance issues at the facilities of our CMOs that may disrupt production or distribution or require substantial resources to correct. In addition, the discovery of conditions that violate these rules, including failure to conform to cGMPs, could result in enforcement actions, and the discovery of problems with a product after approval may result in restrictions on a product, manufacturer or holder of an approved BLA, including voluntary recall and regulatory sanctions as described below.</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Once an approval is granted, the FDA may withdraw the approval if compliance with regulatory standards is not maintained or if problems occur or are discovered after the product reaches the market. Later discovery of previously unknown problems with a product may result in mandatory revisions to the approved labeling to add new safety information; imposition of post-market or clinical trials to assess new safety risks; or imposition of distribution or other restrictions under a REMS program. Other potential consequences include, among other things: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Restrictions on the marketing or manufacturing of the product, complete withdrawal of the product from the market or product recalls;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Fines, warning letters or other enforcement-related letters or clinical holds on post-approval clinical trials;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Refusal of the FDA to approve pending NDAs/BLAs or supplements to approved NDAs/BLAs, or suspension or revocation of product approvals;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products;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Injunctions or the imposition of civil or criminal penalties;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Consent decrees, corporate integrity agreements, debarment, or exclusion from federal health care programs; or mandated modification of promotional materials and labeling and the issuance of corrective information.</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Most recently, the Drug Supply Chain Security Act, or DSCSA, was enacted with the aim of building an electronic system to identify and trace certain prescription drugs distributed in the United States, including most biological products. The DSCSA mandates phased-in and resource-intensive obligations for pharmaceutical manufacturers, wholesale distributors, and dispensers over a ten-year period, which culminated in November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Most recently, the FDA announced a one-year stabilization period to November 2024, giving entities subject to the DSCSA additional time to finalize interoperable tracking systems and to ensure supply chain continuity.</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From time to time, new legislation is drafted, introduced and passed in Congress that could significantly change the statutory provisions governing the approval, manufacturing and marketing of products regulated by the FDA. It is impossible to predict whether further legislative changes will be enacted, or FDA regulations, guidance or interpretations will be changed or what the impact of such changes, if any, may be.</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Foreign Regulation</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addition to regulations in the United States, we will be subject to a variety of foreign regulations governing the performance of clinical trials outside the United States and commercial sales and distribution of our products outside of the United States. Whether or not we obtain FDA approval for a product candidate, we must obtain approval by the comparable regulatory authorities of foreign countries or economic areas, such as the European Union, before we may commence clinical trials or market products in those countries or areas. The approval process and requirements governing the conduct of clinical trials, product licensing, pricing and reimbursement vary greatly between countries and jurisdictions and can involve additional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pStyle w:val="TextBody"/>
        <w:bidi w:val="0"/>
        <w:jc w:val="left"/>
        <w:rPr/>
      </w:pPr>
      <w:r>
        <w:rPr/>
        <w:t> </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European Union drug development, review and approval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European Union, our product candidates also may be subject to extensive regulatory requirements. As in the United States, medicinal products can be marketed only if a marketing authorization from the competent regulatory agencies has been obtained. Similar to the United States, the various phases of pre-clinical and clinical research in the European Union are subject to significant regulatory controls.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new Clinical Trials Regulation, (EU) No 536/2014, which took effect on January 31, 2022, aims to simplify and streamline the approval of clinical trials in the European Union. The main characteristics of the regulation include: a streamlined application procedure via a single entry point, the “EU clinical trial portal and database”;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appointed reporting member state, whose assessment report is submitted for review by the sponsor and all other competent authorities of all European Union member states in which an application for authorization of a clinical trial has been submitted (Concerned Member States). Part II is assessed separately by each Concerned Member State. Strict deadlines have been established for the assessment of clinical trial applications. The role of the relevant ethics committees in the assessment procedure will continue to be governed by the national law of the Concerned Member State. However, overall related timelines will be defined by the Clinical Trials Regulation.</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in the United States, similar requirements for posting clinical trial information are described in the European Union (EudraCT) website: https://eudract.ema.europa.eu.</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 obtain a marketing authorization of a drug in the European Union, we may submit marketing authorization applications, or MAA, either under the so-called centralized or national authorization procedures.</w:t>
      </w:r>
    </w:p>
    <w:p>
      <w:pPr>
        <w:pStyle w:val="TextBody"/>
        <w:bidi w:val="0"/>
        <w:jc w:val="left"/>
        <w:rPr/>
      </w:pPr>
      <w:r>
        <w:rPr/>
        <w:t> </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Centralized procedure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centralized procedure provides for the grant of a single marketing authorization following a favorable opinion by the European Medicines Agency (the EMA) that is valid in all EU member states, as well as Iceland, Liechtenstein and Norway. The centralized procedure is compulsory for medicines produced by specified biotechnological processes, products designated as orphan medicinal products, advanced-therapy medicines (such as gene-therapy, somatic cell-therapy or tissue-engineered medicines) and products with a new active substance indicated for the treatment of specified diseases, such as HIV/AIDS, cancer, diabetes, neurodegenerative disorders or autoimmune diseases and other immune dysfunctions and viral diseases. The centralized procedure is optional for products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Committee for Medicinal Products for Human Use, or the CHMP. Accelerated assessment may be granted by the CHMP in exceptional cases, when a medicinal product is expected to be of a major public health interest, particularly from the point of view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of therapeutic innovation. The timeframe for the evaluation of an MAA under the accelerated assessment procedure is of 150 days, excluding stop-clocks.</w:t>
      </w:r>
    </w:p>
    <w:p>
      <w:pPr>
        <w:pStyle w:val="TextBody"/>
        <w:bidi w:val="0"/>
        <w:jc w:val="left"/>
        <w:rPr/>
      </w:pPr>
      <w:r>
        <w:rPr/>
        <w:t> </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National authorization procedures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are also two other possible routes to authorize medicinal products in several EU countries, which are available for investigational medicinal products that fall outside the scope of the centralized procedure:</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Decentralized procedure. Using the decentralized procedure, an applicant may apply for simultaneous authorization in more than one EU country of medicinal products that have not yet been authorized in any EU country and that do not fall within the mandatory scope of the centralized procedure.</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Mutual recognition procedure. In the mutual recognition procedure, a medicine is first authorized in one EU member state, in accordance with the national procedures of that country. Following this, further marketing authorizations can be sought from other EU countries in a procedure whereby the countries concerned agree to recognize the validity of the original, national marketing authorization.</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Under the above-described procedures, before granting the marketing authorization, the EMA or the competent authorities of the member states of the EEA make an assessment of the risk-benefit balance of the product on the basis of scientific criteria concerning its quality, safety and efficacy.</w:t>
      </w:r>
    </w:p>
    <w:p>
      <w:pPr>
        <w:pStyle w:val="TextBody"/>
        <w:bidi w:val="0"/>
        <w:jc w:val="left"/>
        <w:rPr/>
      </w:pPr>
      <w:r>
        <w:rPr/>
        <w:t> </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Conditional approval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specific circumstances, EU legislation (Article 14(7) Regulation (EC) No 726/2004 and Regulation (EC) No 507/2006 on Conditional Marketing Authorizations for Medicinal Products for Human Use) enables applicants to obtain a conditional marketing authorization prior to obtaining the comprehensive clinical data required for an application for a full marketing authorization. Such conditional approvals may be granted for product candidates (including medicines designated as orphan medicinal products) if (1) the risk-benefit balance of the product candidate is positive, (2) it is likely that the applicant will be in a position to provide the required comprehensive clinical trial data, (3) the product fulfills unmet medical needs and (4)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or specific obligations. The timelines for the centralized procedure described above also apply with respect to the review by the CHMP of applications for a conditional marketing authorization.</w:t>
      </w:r>
    </w:p>
    <w:p>
      <w:pPr>
        <w:pStyle w:val="TextBody"/>
        <w:bidi w:val="0"/>
        <w:jc w:val="left"/>
        <w:rPr/>
      </w:pPr>
      <w:r>
        <w:rPr/>
        <w:t> </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Pediatric studies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Prior to obtaining a marketing authorization in the European Union, applicants have to demonstrate compliance with all measures included in an EMA-approved Pediatric Investigation Plan, or PIP, covering all subsets of the pediatric population, unless the EMA has granted a product-specific waiver, a class waiver, or a deferral for one or more of the measures included in the PIP. The respective requirements for all marketing authorization procedures are set forth in Regulation (EC) No 1901/2006, which is referred to as the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in children until there is enough information to demonstrate its effectiveness and safety in adults. The PDCO may also grant waivers when development of a medicine in children is not needed or is not appropriate, such as for diseases that only affect the elderly population.</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Before a marketing authorization application can be filed, or an existing marketing authorization can be amended, the EMA determines that companies actually comply with the agreed studies and measures listed in each relevant PIP.</w:t>
      </w:r>
    </w:p>
    <w:p>
      <w:pPr>
        <w:pStyle w:val="TextBody"/>
        <w:bidi w:val="0"/>
        <w:jc w:val="left"/>
        <w:rPr/>
      </w:pPr>
      <w:r>
        <w:rPr/>
        <w:t> </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European Union regulatory exclusivity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European Union, new products authorized for marketing (i.e.,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when applying for a generic or biosimilar marketing authorization in the European Union during a period of eight years from the date on which the reference product was first authorized in the European Union. The market exclusivity period prevents a successful generic or biosimilar applicant from commercializing its product in the EU until ten years have elapsed from the initial authorization of the reference product in the EU.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pStyle w:val="TextBody"/>
        <w:bidi w:val="0"/>
        <w:jc w:val="left"/>
        <w:rPr/>
      </w:pPr>
      <w:r>
        <w:rPr/>
        <w:t> </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European Union orphan designation and exclusivity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designation must be submitted before the application for marketing authorization. The applicant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ten-year market exclusivity in the European Union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The second applicant can establish that its product, although similar, is safer, more effective or otherwise clinically superior;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The applicant consents to a second orphan medicinal product application; or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applicant cannot supply enough orphan medicinal product.</w:t>
      </w:r>
    </w:p>
    <w:p>
      <w:pPr>
        <w:pStyle w:val="TextBody"/>
        <w:bidi w:val="0"/>
        <w:jc w:val="left"/>
        <w:rPr/>
      </w:pPr>
      <w:r>
        <w:rPr/>
        <w:t>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PRIME designation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EMA grants access to the Priority Medicines, or PRIME, program to investigational medicines for which it determines there to be preliminary clinical data available showing the potential to address an unmet medical need and bring a major therapeutic advantage to patients.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Agency contact and rapporteur from the Committee for Human Medicinal Products, or CHMP, or Committee for Advanced Therapies, or CAT,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 marketing authorization is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Any authorization which is not followed by the actual placing of the drug on the E.U. market (in case of centralized procedure) or on the market of the authorizing member state within three years after authorization ceases to be valid (the so-called sunset clause).</w:t>
      </w:r>
    </w:p>
    <w:p>
      <w:pPr>
        <w:pStyle w:val="TextBody"/>
        <w:bidi w:val="0"/>
        <w:jc w:val="left"/>
        <w:rPr/>
      </w:pPr>
      <w:r>
        <w:rPr/>
        <w:t> </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United Kingdom Regulation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From January 1, 2021, European Union law no longer directly applies in the United Kingdom. The United Kingdom has adopted existing European Union medicines regulation as standalone United Kingdom legislation with some amendments to reflect procedural and other requirements with respect to marketing authorizations and other regulatory provisions.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Medicines and Healthcare products Regulatory Agency, or MHRA is responsible for regulating the United Kingdom medicinal products market (Great Britain and Northern Ireland). In order to market medicines in the United Kingdom, manufacturers must hold a United Kingdom authorization. On January 1, 2021, all European Union marketing authorizations were converted to United Kingdom marketing authorizations subject to a manufacturer opt-out. The United Kingdom has introduced a separate UK-specific processes for regulatory submissions and medicinal product marketing authorization, and the MHRA guidance states that the United Kingdom will have the power to take into account marketing authorizations made under the European Union decentralized and mutual recognition procedures. On January 1, 2024, the MHRA launched the International Recognition Procedure, or IRP, which provides for an expedited authorization procedure for products that have received positive marketing authorization decisions from trusted partner agencies, such as the EMA or the FDA. There are two available routes for assessment and recognition under the IRP: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Recognition Route A – 60 days from validation of submission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 must be based on a Reference Regulatory, or RR, marketing authorization within the previous two years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significant differences from the quality dossier approved by the RR requires assessment under Recognition Route 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Evidence of GMP compliance for manufacturing sites should be provided with submission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the Recognition Route B criteria are met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Recognition Route B - 110 days from validation of submission with one planned clock stop (up to 60 days) at day 70 to allow applicant to respond to issues identified during review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Application must be based on a RR marketing authorization within the previous ten years.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Criteria requiring Recognition Route B include,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RR granted a conditional or exceptional circumstances marketing authorization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manufacturing sites included in the application were not assessed by the RR or a manufacturing site is not GMP certified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substantial changes to the manufacturing process compared to the process approved by the RR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product types (e.g., advanced therapy medicinal products, orphan medicines, over-the-counter medicines)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Risk Management Plan was not assessed by the RR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RR required one or more post-authorization safety studies for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companion diagnostic is necessary for correct use of the product</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United Kingdom medicines legislation is subject to future regulatory change under the Medicines and Medical Devices Act 2021. This act sets out a new framework for the adoption of medicines regulation.</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Different rules will apply in Northern Ireland following implementation of the Northern Ireland Protocol. In Northern Ireland, European Union central marketing applications will continue to apply.</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Trade and Cooperation Agreement, which sets forth a framework for partnership between the European Union and the United Kingdom, became effective as of January 1, 2021. The Trade and Cooperation Agreement contains an Annex in relation to medicinal products with the objective of facilitating availability of medicines, promotion of public health and consumer protection in respect of medicinal products between the United Kingdom and the European Union. The Annex provides for mutual recognition of Good Manufacturing Practice (GMP) inspections and certificates, meaning that manufacturing facilities do not need to undergo duplicate inspections for the two markets. The Annex establishes a Working Group on Medicinal Products to deal with matters under the Trade and Cooperation Agreement, facilitate co-operation and for the carrying out of technical discussions. It is expected that further bilateral discussions will continue with respect to regulatory areas not the subject of the Trade and Cooperation Agreement, including pharmacovigilance. The Trade and Cooperation Agreement also does not include reciprocal arrangements for the recognition of batch testing certification. However, the United Kingdom has listed approved countries, including the EEA which will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enable United Kingdom importers and wholesales to recognize certain certification and regulatory standards. The European Commission has not adopted such recognition procedures.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It is expected that the establishment of a separate United Kingdom authorization system, albeit with transitional recognition procedures in the United Kingdom, will lead to additional regulatory costs. In addition, additional regulatory costs will be incurred with respect to the lack of mutual recognition of batch testing and related regulatory measures.</w:t>
      </w:r>
    </w:p>
    <w:p>
      <w:pPr>
        <w:pStyle w:val="TextBody"/>
        <w:bidi w:val="0"/>
        <w:jc w:val="left"/>
        <w:rPr/>
      </w:pPr>
      <w:r>
        <w:rPr/>
        <w:t> </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Rest of the world regulation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other countries outside of the European Union and the United States, such as countries in Eastern Europe, Latin America or Asia, the requirements governing the conduct of clinical trials, product licensing, pricing and reimbursement vary from jurisdiction to jurisdiction. Additionally, the clinical trials must be conducted in accordance with GCP requirements and the applicable regulatory requirements and the ethical principles that have their origin in the Declaration of Helsinki.</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If we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Coverage, Pricing and Reimbursement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Sales of pharmaceutical products depend in significant part on the availability of third-party coverage and reimbursement. Third-party payors include government healthcare programs such as Medicare, managed care providers, private health insurers and other organizations. We anticipate third-party payors will provide reimbursement for our products. However, these third-party payors are increasingly challenging the price and examining the cost effectiveness of medical products and services. In addition, significant uncertainty exists as to the reimbursement status of newly approved healthcare products. The process for determining whether a payor will provide coverage for a product may be separate from the process for setting the price or reimbursement rate that the payor will pay for the product once coverage is approved. Third-party payors often rely on Medicare coverage policy and payment limitations in setting their own reimbursement rates but also have their own methods to individually establish coverage and reimbursement policies. As a result, obtaining coverage and adequate reimbursement can be a time-consuming and costly process. Third-party payors may limit coverage to specific products on an approved list, or formulary, which might not include all of the approved products for a particular indication. We may need to conduct expensive pharmacoeconomic studies in order to demonstrate the medical necessity and cost effectiveness of our products. Moreover, a payor’s decision to provide coverage for a drug product does not imply that an adequate reimbursement rate will be approved. Third-party reimbursement may not be sufficient to maintain price levels high enough to realize an appropriate return on investment in product development. Our product candidates may not be considered cost effective. It is time-consuming and expensive for us to seek reimbursement from third-party payors. Reimbursement may not be available or sufficient to allow us to sell our products on a competitive and profitable basis.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Medicare is a federal healthcare program administered by the federal government that covers individuals aged 65 and over as well as individuals with certain disabilities. Drugs may be covered under one or more sections of Medicare depending on the nature of the drug and the conditions associated with and site of administration. For example, under Part D, Medicare beneficiaries may enroll in prescription drug plans offered by private entities which provide coverage for outpatient prescription drugs. Part D plans include both stand-alone prescription drug benefit plans and prescription drug coverage as a supplement to Medicare Advantage plans. Unlike Medicare Parts A and B, Part D coverage is not standardized. Part D prescription drug plan sponsors are not required to pay for all covered Part D drugs, and each drug plan can develop its own drug formulary that identifies which drugs it will cover and at what tier or level.</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Medicare Part B covers most injectable drugs given in an in-patient setting and some drugs administered by a licensed medical provider in hospital outpatient departments and doctors’ offices. Medicare Part B is administered by Medicare Administrative Contractors, which generally have the responsibility of making coverage decisions. Subject to certain payment adjustments and limits, Medicare generally pays for a Part B-covered drug based on a percentage of manufacturer-reported average sales price, which is regularly updated. We believe that our product candidates that are intended to be administered intratumorally will be subject to the Medicare Part B rules.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expect that there will continue to be a number of federal and state proposals to implement governmental pricing controls and limit the growth of healthcare costs, including the cost of prescription drugs. For example, the ACA enacted in March 2010, was expected to have a significant impact on the health care industry. The ACA has been under scrutiny by the U.S. Congress almost since its passage, and certain sections of the ACA have not been fully implemented or effectively repealed. As a result, its longevity continues to be uncertain. In addition, ongoing initiatives in the U.S. have increased and will continue to increase pressure on drug pricing. The announcement or adoption of any such initiative could have an adverse effect on potential revenues from any product candidate that we may successfully develop.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addition, in some foreign countries, the proposed pricing for a drug must be approved before it may be lawfully marketed. The requirements governing drug pricing vary widely from country to country. Moreover, a payor’s decision to provide coverage for a drug product does not imply that an adequate reimbursement rate will be approved. Third-party reimbursement may not be sufficient to maintain price levels high enough to realize an appropriate return on investment in product development.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our profitability placing the medicinal product on the market. Other member states allow companies to fix their own prices for drug products but monitor and control prescription volumes and issue guidance to physicians to limit prescriptions. There can be no assurance that any country that has price controls or reimbursement limitations for pharmaceutical products will allow favorable reimbursement and pricing arrangements for any of our products. Historically, products launched in the European Union and other countries do not follow price structures of the United States and generally prices tend to be significantly lower.</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downward pressure on health care costs in general, particularly prescription drugs, has become intense. As a result, increasingly high barriers are being erected to the entry of new products.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(arbitrage between low-priced and high-priced member states) can further reduce prices. Any country that has price controls or reimbursement limitations for drug products may not allow favorable reimbursement and pricing arrangements.</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Other U.S. Health Care Laws and Regulations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our product candidates are approved in the United States, we will have to comply with various U.S. federal and state laws, rules and regulations pertaining to health care fraud and abuse, including anti-kickback laws and physician self-referral laws, rules and regulations. Violations of the fraud and abuse laws are punishable by criminal and civil sanctions, including, in some instances, exclusion from participation in federal and state health care programs, including Medicare and Medicaid. These laws include: </w:t>
      </w:r>
    </w:p>
    <w:p>
      <w:pPr>
        <w:pStyle w:val="TextBody"/>
        <w:bidi w:val="0"/>
        <w:jc w:val="lef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A person or entity does not need to have actual knowledge of the AKS or specific intent to violate it to have committed a violation. In addition, the government may assert that a claim including items or services resulting from a violation of the AKS constitutes a false or fraudulent claim for purposes of the FCA or federal civil money penalties statute;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The federal civil and criminal false claims laws and civil monetary penalty laws, including the federal False Claims Act, which prohibit, among other things, individuals or entities from knowingly presenting, or causing to be presented, false or fraudulent claims for payment to, or approval by Medicare, Medicaid, or other federal health 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payers if they are deemed to “cause” the submission of false or fraudulent claims. The FCA also permits a private individual acting as a “whistleblower” to bring actions on behalf of the federal government alleging violations of the FCA and to share in any monetary recovery;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or HIPAA, imposes criminal and civil liability for executing a scheme to defraud any health care benefit program or making false statements relating to health care matters;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or HITECH Act, and its implementing regulations, also imposes obligations, including mandatory contractual terms, with respect to safeguarding the privacy, security and transmission of individually identifiable health information;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federal transparency requirements under the Physician Payments Sunshine Act require manufacturers of FDA-approved drugs, devices, biologics and medical supplies covered by Medicare, Medicaid or the Children’s Health Insurance Program to report, on an annual basis, to the Centers for Medicare and Medicaid Services (CMS) information related to payments and other transfers of value to physicians, certain advanced non-physician health care practitioners, and teaching hospitals or to entities or individuals at the request of, or designated on behalf of, such physicians, non-physician health care practitioners, and teaching hospitals as well as certain ownership and investment interests held by physicians and their immediate family members;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November 2020, HHS finalized significant changes to the regulations implementing the Anti-Kickback Statute, as well as the Physician Self-Referral Law (Stark Law) and the civil monetary penalty rules regarding beneficiary inducements, with the goal of offering the healthcare industry more flexibility and reducing the regulatory burden associated with those fraud and abuse laws, particularly with respect to value-based arrangements among industry participants.</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Finally, the majority of states also have statutes or regulations similar to the aforementioned federal laws, some of which are broader in scope and apply to items and services reimbursed under Medicaid and other state programs, or, in several states, apply regardless of the payor. Some state laws require pharmaceutical companies to comply with the pharmaceutical industry’s voluntary compliance guidelines, or the relevant compliance guidance promulgated by the federal government, in addition to requiring drug manufacturers to report information related to payments to physicians and other health care providers or marketing expenditures to the extent that those laws impose requirements that are more stringent than the Physician Payments Sunshine Act. State and foreign laws also govern the privacy and security of health information in some circumstances, many of which differ from each other in significant ways and often are not preempted by HIPAA, thus complicating compliance efforts.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Because of the breadth of these laws and the narrowness of their exceptions and safe harbors, it is possible that business activities can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Ensuring that business arrangements with third parties comply with applicable healthcare laws and regulations is costly and time consuming. If business operations are found to be in violation of any of the laws described above or any other applicable governmental regulations a pharmaceutical manufacturer may be subject to penalties, including civil, criminal and administrative penalties, damages, fines, disgorgement, individual imprisonment, exclusion from governmental funded healthcare programs, such as Medicare and Medicaid, contractual damages, reputational harm, diminished profits and future earnings, additional reporting obligations and oversight if subject to a corporate integrity agreement or other agreement to resolve allegations of non-compliance with these laws, and curtailment or restructuring of operations, any of which could adversely affect a pharmaceutical manufacturer’s ability to operate its business and the results of its operations.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Health Care Reform in the US and Potential Changes to Health Care Laws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FDA’s and other regulatory authorities’ policies may change, and additional government regulations may be enacted that could prevent, limit or delay regulatory approval of our product candidates. For example, Congress must reauthorize the FDA’s user fee programs every five years and often makes changes to those programs in addition to policy or procedural changes that may be negotiated between the FDA and industry stakeholders as part of this periodic reauthorization process. Congress most recently reauthorized the user fee programs in September 2022 but without any substantive policy changes.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previously mentioned, the primary trend in the U.S. health care industry and elsewhere is cost containment. Government authorities and other third-party payors have attempted to control costs by limiting coverage and the amount of reimbursement for particular medical products and services, implementing reductions in Medicare and other health care funding and applying new payment methodologies. For example, in March 2010,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and established a Center for Medicare Innovation at CMS to test innovative payment and service delivery models to lower Medicare and Medicaid spending.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Legislative and regulatory changes under the ACA are possible, but it is unknown what form any such changes or any law would take and how or whether it may affect the biopharmaceutical industry as a whole or Elicio’s business in the future. Elicio expects that changes or additions to the ACA, the Medicare and Medicaid programs, and changes stemming from other health care reform measures, especially with regard to health care access, financing or other legislation in individual states, could have a material adverse effect on the health care industry in the United States.</w:t>
      </w:r>
    </w:p>
    <w:p>
      <w:pPr>
        <w:pStyle w:val="TextBody"/>
        <w:bidi w:val="0"/>
        <w:jc w:val="left"/>
        <w:rPr>
          <w:rFonts w:ascii="Times New Roman" w:hAnsi="Times New Roman"/>
          <w:color w:val="000000"/>
          <w:sz w:val="20"/>
        </w:rPr>
      </w:pPr>
      <w:r>
        <w:rPr>
          <w:rFonts w:ascii="Times New Roman" w:hAnsi="Times New Roman"/>
          <w:color w:val="000000"/>
          <w:sz w:val="20"/>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Notably the Further Consolidated Appropriations Act for 2020 into law (P.L. 116-94), which became law on December 20, 2019 includes a piece of bipartisan legislation called the Creating and Restoring Equal Access to Equivalent Samples Act of 2019 (the CREATES Act). The CREATES Act aims to address the concern articulated by both the FDA and others in the industry that some brand manufacturers have improperly restricted the distribution of their products, including by invoking the existence of a REMS for certain products, to deny generic and biosimilar product developers access to samples of brand products. Because generic and biosimilar product developers need samples to conduct certain comparative testing required by the FDA, some have attributed the inability to timely obtain samples as a cause of delay in the entry of generic and biosimilar products. To remedy this concern, the CREATES Act establishes a private cause of action that permits a generic or biosimilar product developer to sue the brand manufacturer to compel it to furnish the necessary samples on “commercially reasonable, market-based terms.” Whether and how generic and biosimilar product developments will use this new pathway, as well as the likely outcome of any legal challenges to provisions of the CREATES Act, remain highly uncertain and its potential effects on our future commercial products are unknown.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More recently, in August 2022, former President Biden signed into the law the Inflation Reduction Act of 2022, or the IRA. Among other things, the IRA has multiple provisions that may impact the prices of drug products that are both sold into the Medicare program and throughout the United States. Starting in 2023, a manufacturer of a drug or biological product covered by Medicare Parts B or D must pay a rebate to the federal government if the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in payment year 2026,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 CMS has begun to implement these new authorities and entered into the first set of agreements with pharmaceutical manufacturers to conduct price negotiations in October 2023. However, the IRA’s impact on the pharmaceutical industry in the United States remains uncertain, in part because multiple large pharmaceutical companies and other stakeholders (e.g., the U.S. Chamber of Commerce) have initiated federal lawsuits against CMS arguing the program is unconstitutional for a variety of reasons, among other complaints. Those lawsuits are currently ongoing.</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addition to the IRA’s drug price negotiation provisions, former President Biden’s Executive Order 14087, issued in October 2022, called for the CMS innovation center to prepare and submit a report to the White House on potential payment and delivery modes that would complement to IRA, lower drug costs, and promote access to innovative drugs. In February 2023, CMS published its report which described three potential models focusing on affordability, accessibility and feasibility of implementation for further testing by the CMS Innovation Center. As of February 2024, the CMS Innovation Center continues to test the proposed models and has started to roll out plans for access model testing of certain product types (e.g., cell and gene therapies) by states and manufacturers.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in recent years, several states have formed prescription drug affordability boards (PDABs). Much like the IRA’s drug price negotiation program, these PDABs have attempted to implement upper payment limits (UPLs) on drugs sold in their respective states in both public and commercial health plans. For example, in August 2023, Colorado’s PDAB announced a list of five prescription drugs that would undergo an affordability review. The effects of these efforts remain uncertain pending the outcomes of several federal lawsuits challenging state authority to regulate prescription drug payment limits. In December 2020, the U.S. Supreme Court held unanimously that federal law does not preempt the states’ ability to regulate pharmacy benefit managers (PBMs) and other members of the health care and pharmaceutical supply chain, an important decision that appears to be leading to further and more aggressive efforts by states in this area. The Federal Trade Commission in mid-2022 also launched sweeping investigations into the practices of the PBM industry that could lead to additional federal and state legislative or regulatory proposals targeting such entities’ operations, pharmacy networks, or financial arrangements. Significant efforts to change the PBM industry as it currently exists in the United States may affect the entire pharmaceutical supply chain and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business of other stakeholders, including biopharmaceutical developers like us. In addition, regional healthcare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We expect that these and other health care reform measures that may be adopted in the future, may result in more rigorous coverage criteria and in additional downward pressure on the price that we receive for any approved drug, which could have an adverse effect on customers for our product candidates. Any reduction in reimbursement from Medicare or other government programs may result in a similar reduction in payments from private payors.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There have been, and likely will continue to be, legislative and regulatory proposals at the foreign, federal and state levels directed at broadening the availability of health care and containing or lowering the cost of health care. The implementation of cost containment measures or other health 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Regulatory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These operations may involve the use of hazardous and flammable materials, including chemicals and biological materials. Our operations may also produce hazardous waste products. We contract with third parties for the disposal of these materials and wastes. Our products are defined as Genetically Modified Organisms (GMO) or Genetically Modified Micro-organisms (GMM) and, dependent on their classification and containment, may be subject to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does not have any federal legislation that is specific to genetically modified organisms. GMOs are regulated pursuant to health, safety, and environmental legislation governing conventional products. The U.S. approach to regulating GMOs is premised on the assumption that regulation should focus on the nature of the products, rather than the process in which they were produced.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development and marketing of GMM within the European Union, and elsewhere, falls under different regulations and practices in each country, which may involve approval by environmental or other regulatory bodies, as well as health authorities, and may establish the requirement for a risk assessment for the testing or authorization of the product.</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Manufacturing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made significant investments in our manufacturing organization, including process development and cGMP production infrastructure to establish manufacturing processes designed to support production of clinical trial material. The manufacturing processes are designed to enable us to reproducibly manufacture high quality living medicines at clinical scale and, later, at commercial scale to enable approval of our product candidates.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Clinical trial material for our Phase 1 study of SYNB1618 for PKU was manufactured by a contract manufacturing organization (CMO). These first clinical trials used a frozen liquid and solid formulation as the drug presentation. Since then, we made additional investment in our formulation development that optimizes our production of solid dose formulations for our clinical programs. The powder for oral suspension formulation capability allows us to produce a more user-friendly presentation for clinical development and future commercial use.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To enable the production of high levels of cells, or biomass, we can engineer our Synthetic Biotics with switches. These switches are comprised of transcription factor and promoter pairs that allow for controlled expression of the therapeutic effectors produced by our Synthetic Biotics. To ensure the metabolic capacity of the cells is allotted to the production of a high level of biomass during manufacturing, the effector circuits in the Synthetic Biotic programs are not expressed during this growth phase. At the end of the manufacturing process, the circuits are then induced, or activated. This two-step approach was designed to enable a high level of biomass production as well as to deliver the required activity necessary at the time of administration.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corporate restructuring, we executed the option for early termination of the master services agreement with Azzur Group LLC (“Azzur”) via written notice to Azzur and as a result the lease was terminated effective April 8, 2024. In exchange for the early termination of the lease, we made a total termination payment of $0.3 million which is included in restructuring and other charges on the consolidated statements of operations and other comprehensive loss. </w:t>
      </w:r>
    </w:p>
    <w:p>
      <w:pPr>
        <w:pStyle w:val="TextBody"/>
        <w:bidi w:val="0"/>
        <w:spacing w:before="1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biotechnology industry is extremely competitive in the race to develop new products. We face competition for our development programs from companies that use synthetic biology or cell therapy development platforms and from companies focused on more conventional therapeutic modalities such as small molecules and antibodies. The competition is likely to come from multiple sources, including larger pharmaceutical companies, biotechnology companies and academia. Many of these competitors may have access to greater capital and resources than us. These competitors also compete with us in recruiting and retaining qualified scientific and management personnel, in establishing clinical trial sites and patient registration for clinical trials, and in accessing technologies to enable our programs. We compete with any existing therapies and those therapies currently in development, as well as new therapies that may become available in the future. Our competitors include other companies developing potential therapeutics for the same indications that we are pursuing for our drug candidates, regardless of modality.</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Human Capital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February 27, 2025, we had one full-time employee, primarily engaged in the assessment of strategic transactions, as directed by the Company's board of directors.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Information About Our Executive Officers and Directors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persons were our executive officers and directors as of February 27, 2025:</w:t>
      </w:r>
    </w:p>
    <w:p>
      <w:pPr>
        <w:pStyle w:val="TextBody"/>
        <w:bidi w:val="0"/>
        <w:jc w:val="left"/>
        <w:rPr/>
      </w:pPr>
      <w:r>
        <w:rPr/>
        <w:t> </w:t>
      </w:r>
    </w:p>
    <w:tbl>
      <w:tblPr>
        <w:tblW w:w="6643" w:type="dxa"/>
        <w:jc w:val="left"/>
        <w:tblInd w:w="0" w:type="dxa"/>
        <w:tblLayout w:type="fixed"/>
        <w:tblCellMar>
          <w:top w:w="28" w:type="dxa"/>
          <w:left w:w="28" w:type="dxa"/>
          <w:bottom w:w="28" w:type="dxa"/>
          <w:right w:w="28" w:type="dxa"/>
        </w:tblCellMar>
      </w:tblPr>
      <w:tblGrid>
        <w:gridCol w:w="1636"/>
        <w:gridCol w:w="146"/>
        <w:gridCol w:w="486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r>
      <w:tr>
        <w:trPr/>
        <w:tc>
          <w:tcPr>
            <w:tcW w:w="163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61"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Position</w:t>
            </w:r>
          </w:p>
        </w:tc>
      </w:tr>
      <w:tr>
        <w:trPr/>
        <w:tc>
          <w:tcPr>
            <w:tcW w:w="1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Executive Officers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Mary Beth Dooley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Executive Officer and Principal Financial Officer</w:t>
            </w:r>
          </w:p>
        </w:tc>
      </w:tr>
      <w:tr>
        <w:trPr/>
        <w:tc>
          <w:tcPr>
            <w:tcW w:w="1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Directors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Peter Barrett, Ph.D.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Chairman of the Board of Directors, Partner at Atlas Venture</w:t>
            </w:r>
          </w:p>
        </w:tc>
      </w:tr>
      <w:tr>
        <w:trPr/>
        <w:tc>
          <w:tcPr>
            <w:tcW w:w="1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Flynn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Managing Member and Portfolio Manager of Nerium Capital LLC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Edward Mathers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Partner at New Enterprise Associates</w:t>
            </w:r>
          </w:p>
        </w:tc>
      </w:tr>
      <w:tr>
        <w:trPr/>
        <w:tc>
          <w:tcPr>
            <w:tcW w:w="1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Richard P. Shea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Consulting CFO, Danforth Advisors</w:t>
            </w:r>
          </w:p>
        </w:tc>
      </w:tr>
    </w:tbl>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Corporate Information and History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were originally incorporated in the State of Delaware in December 2007 under the name “Mirna Therapeutics, Inc.” We carry on our business directly and through our subsidiaries.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subsidiary, Synlogic Operating Company, Inc. was incorporated in Delaware as TMC Therapeutics, Inc. on March 14, 2014. On July 15, 2014, TMC Therapeutics, Inc. changed its name to Synlogic, Inc. ("Private Synlogic," when referred to prior to the Merger (as defined below)). On July 2, 2015, the common and preferred shareholders of Private Synlogic executed the Synlogic, LLC Contribution Agreement, pursuant to which such common and preferred shareholders contributed such shareholders’ equity interests in Private Synlogic in exchange for common and preferred units in a newly formed parent company named Synlogic, LLC (the "2015 Reorganization"). In addition, IBDCo was formed as a subsidiary of Synlogic, LLC, as part of the 2015 Reorganization, and we entered into a license, option and merger agreement with AbbVie for the development of treatments for IBD. On December 22, 2021, IBDCo was merged with and into Synlogic Operating Company, Inc. and IBDCo ceased to exist as a separate entity.</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May 2017, Private Synlogic completed a reorganization (the "2017 Reorganization") pursuant to which Synlogic, LLC merged with and into Private Synlogic, with Private Synlogic continuing as the surviving corporation. Pursuant to the 2017 Reorganization, the common units and preferred units of Synlogic, LLC, together consisting of Class A preferred units, contingently redeemable Class A preferred units and Class B preferred units, were exchanged for common stock and preferred stock of Private Synlogic, respectively. Additionally, Private Synlogic issued equity awards under the Synlogic 2017 Stock Incentive Plan (the "2017 Plan") to replace the canceled incentive units pursuant to the termination of the Synlogic, LLC 2015 Equity Incentive Plan (the "2015 LLC Plan").</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On August 28, 2017, Synlogic, Inc., formerly known as Mirna Therapeutics, Inc. (NASDAQ: MIRN) ("Mirna"), completed its business combination with Private Synlogic pursuant to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(the "Merger"). On August 25, 2017, in connection with, and prior to the completion of the Merger, Mirna effected a reverse stock split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its common stock (the "Reverse Stock Split"), and on August 28, 2017, immediately after completion of the Merger, Mirna changed its name to “Synlogic, Inc.” (NASDAQ: SYBX).</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Under the terms of the Merger Agreement, Mirna issued shares of its common stock to Private Synlogic’s stockholders, using an exchange ratio, after taking into account the Reverse Stock Split, for each share of Private Synlogic common stock and preferred stock outstanding immediately prior to the Merger (the "Exchange Ratio"). In addition, Mirna assumed all of the stock options outstanding under the 2017 Plan, with such stock options henceforth representing the right to purchase a number of shares of Mirna’s common stock equal to the Exchange Ratio multiplied by the number of shares of Private Synlogic common stock previously represented by such options. Mirna also assumed the 2017 Plan.</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Internet address is www.synlogictx.com. Our annual reports on Form 10-K, quarterly reports on Form 10-Q, current reports on Form 8-K, and all amendments to those reports, are available to you free of charge through our website as soon as reasonably practicable after such materials have been electronically filed with, or furnished to, the U.S. Securities and Exchange Commission ("SEC").</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4" w:name="item_1a_risk_factors"/>
      <w:bookmarkEnd w:id="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Annual Report on Form 10-K and our other public filings with the SEC. The following risk factors may be amended, supplemented or superseded from time to time by other reports we file with the SEC in the future.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following discussion of risk factors, references to “we,” “us,” “our” and similar terms refer to the combined business of Synlogic, Inc. after the Merger on August 28, 2017.</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subject to numerous risks and uncertainties, including those highlighted in this section below, that represent challenges that we face in connection with the successful implementation of our strategy. The occurrence of one or more of the events or circumstances described in more detail in the risk factors below, alone or in combination with other events or circumstances, may have an adverse effect on our business, cash flows, financial condition and results of operations. Such risks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to date has been almost entirely dependent on the success of SYNB1934, and we have decided to discontinue further development of SYNB1934 and devote significant time and resources to identifying and evaluating strategic alternatives, which may not be 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successfully consummate a strategic transaction, our board of directors may decide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biopharmaceutical company with a history of losses, and we expect to continue to incur losses for the foreseeable future, and we may never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substantial additional funding, which may not be available on acceptable terms,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in the future. As a result, we may fail to meet the expectations of research analysts or investors, which could cause our stock price to decline.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stock price is volatile, and our stockholders may not be able to resell shares of our common stock at or above the price they paid.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short operating history may make it difficult for stockholders to evaluate the success of our business to date and to assess our future viability.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are costly, time consuming and inherently risky, and we may fail to demonstrate safety and efficacy to the satisfaction of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approach we are taking to discover and develop novel therapeutics using synthetic biology to create novel medicines is unproven and may never lead to marketable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cause undesirable side effects or have other properties that could delay or prevent their regulatory approval, limit the commercial viability of an approved label, or result in significant negative consequences following marketing approval,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development involves a lengthy and expensive process with an uncertain outcome, and results of earlier preclinical studies and clinical trials may not be predictive of future clinical trial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120" w:after="283"/>
        <w:jc w:val="left"/>
        <w:rPr/>
      </w:pPr>
      <w:r>
        <w:rPr>
          <w:rFonts w:ascii="Times New Roman" w:hAnsi="Times New Roman"/>
          <w:color w:val="000000"/>
          <w:sz w:val="20"/>
        </w:rPr>
        <w:t>insurance or are required to pay for liabilities resulting from a claim excluded from, or beyond the limits of, our insurance coverage, such liability could adversely affect our financial condition.</w:t>
      </w:r>
      <w:r>
        <w:rPr>
          <w:color w:val="000000"/>
        </w:rPr>
        <w:t xml:space="preserve"> </w:t>
      </w:r>
    </w:p>
    <w:p>
      <w:pPr>
        <w:pStyle w:val="TextBody"/>
        <w:bidi w:val="0"/>
        <w:spacing w:before="120" w:after="283"/>
        <w:jc w:val="left"/>
        <w:rPr>
          <w:color w:val="212529"/>
        </w:rPr>
      </w:pPr>
      <w:r>
        <w:rPr>
          <w:color w:val="212529"/>
        </w:rPr>
        <w:t>•</w:t>
      </w:r>
    </w:p>
    <w:p>
      <w:pPr>
        <w:pStyle w:val="TextBody"/>
        <w:bidi w:val="0"/>
        <w:spacing w:before="120" w:after="283"/>
        <w:jc w:val="left"/>
        <w:rPr/>
      </w:pPr>
      <w:r>
        <w:rPr>
          <w:rFonts w:ascii="Times New Roman" w:hAnsi="Times New Roman"/>
          <w:color w:val="212529"/>
          <w:sz w:val="20"/>
        </w:rPr>
        <w:t>A pandemic, epidemic, or outbreak of an infectious disease, or geopolitical tensions, such as the armed conflict between Russia and Ukraine or the conflict in the Middle East, may materially and adversely affect our business and our financial results.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directly or indirectly, to federal and state healthcare fraud and abuse laws, false claims laws, and health information privacy and security laws. If we are unable to comply, or have not fully complied, with such laws, we could face substantial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comply with environmental, health and safety laws and regulations, we could become subject to fines or penalties or incur costs that could have a material adverse effect on our business, financial condition or results of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computer systems, or those of our collaborators or other contractors or consultants, may fail or suffer security breaches, which could result in a material disruption of our product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Ethical, legal and social concerns about synthetic biology and genetic engineering could limit or prevent the use of our technologies and limit our revenues.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successful in obtaining or maintaining necessary rights to Synthetic Biotics, product candidates and processes for our development pipeline through acquisitions and in-licenses.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have sufficient patent term protections for our product candidates to effectively protect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maintain effective proprietary rights for our product candidates or any future product candidates, we may not be able to compete effectively in our proposed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claims of intellectual property infringement may prevent or delay our development and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involved in lawsuits to protect or enforce our patents or the patents of our licensors, which could be expensive, time consuming, and unsuccessful.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challenging the inventorship of our patents and other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protect our intellectual property rights throughout the world.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historically relied on and may in the future rely, on third parties to conduct some aspects of our product formulation, research, preclinical, and clinical studies, and those third parties may not perform satisfactorily, including by failing to meet deadlines for the completion of such formulation, research or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historically relied on and may in the future rely on third-party supply and manufacturing partners for drug supplies for our late-stage clinical activities and may do the same for any commercial supplies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attempt to form collaborations in the future with respect to our product candidates, but we may not be able to do so, which may cause us to alter our development and commercialization plans.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identified a material weakness in our internal control over financial reporting as of December 31, 2024, due to an ineffective internal information and communication process related to significant and non-routine transactions, to ensure that relevant and reliable information was communicated on a timely basis across the organization, to enable financial personnel to effectively carry out their financial reporting and internal control roles and responsibilities. If we are not able to remediate this material weakness, or if we experience additional material weaknesses or other deficiencies in our internal control over financial reporting in the future or otherwise fail to maintain an effective system of internal control over financial reporting, we may not be able to accurately or timely report our financial results or prevent fraud, and we may conclude that our internal control over financial reporting is not effective, which may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stockholders and management own a significant percentage of our stock and are able to exert significant control over matters subject to stockholder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of our charter documents or Delaware law could delay or prevent an acquisition of us, even if the acquisition would be beneficial to our stockholders and could make it more difficult for you to change management.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Evaluation of Strategic Alternatives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to date has been significantly dependent on the success of</w:t>
      </w:r>
      <w:r>
        <w:rPr>
          <w:rFonts w:ascii="Times New Roman" w:hAnsi="Times New Roman"/>
          <w:color w:val="000000"/>
          <w:sz w:val="20"/>
        </w:rPr>
        <w:t xml:space="preserve"> </w:t>
      </w:r>
      <w:r>
        <w:rPr>
          <w:rFonts w:ascii="Times New Roman" w:hAnsi="Times New Roman"/>
          <w:b/>
          <w:i/>
          <w:color w:val="000000"/>
          <w:sz w:val="20"/>
        </w:rPr>
        <w:t>SYNB1934, and we have decided to discontinue further development of SYNB1934 and devote significant time and resources to identifying and evaluating strategic alternatives, which may not be successful.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we have invested significant efforts and financial resources in the research and development of SYNB1934, which was our lead product candidate in clinical trials. In February 2024, we voluntarily halted Synpheny-3 based on results of an internal review in advance of an upcoming independent Data Monitoring Committee (DMC) assessment, which indicated the trial was unlikely to meet its primary endpoint. The decision was not based on concerns regarding safety or tolerability. Beginning in February 2024, we started to reduce operating expenses while we evaluate our strategic alternatives with a goal to enhance stockholder value, including the possibility of a merger or sale of the Company. There can be no assurance that our process to identify and evaluate potential strategic alternatives will result in any definitive offer to consummate a strategic transaction, or if made what the terms thereof will be or that any transaction will be approved or consummated. If any definitive offer to consummate a strategic transaction is received, there can be no assurance that a definitive agreement will be executed or that, if a definitive agreement is executed, the transaction will be consummated. In addition, there can be no assurance that any transaction, involving our company and/or assets, that is consummated would enhance shareholder value. There also can be no assurance that we will conduct further drug research or development activities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such strategic transaction may require us to incur non-recurring or other charges, may increase our near-and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exposure to unknown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incurrence of substantial debt or dilutive issuances of equity securities to pay for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higher-than-expected acquisition and integration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write-downs of assets or goodwill or impairment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amortization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and cost in combining the operations and personnel of any acquired businesses with our operations and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of relationships with key suppliers or customers of any acquired businesses due to changes in management and ownership;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retain key employees of our company or any acquired businesses.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successfully consummate a strategic transaction, our board of directors may decide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can be no assurance that the process to identify a strategic transaction will result in a successfully consummated transaction. If no transaction is completed, our board of directors may decide to pursue a dissolution and liquidation of our company. In such an event, the amount of cash available for distribution to our stockholders will depend heavily on the timing of such decision and, ultimately, such liquidation, since the amount of cash available for distribution continues to decrease as we fund our operations while we evaluate our strategic alternatives. In addition, if our board of directors were to approve and recommend, and our stockholders were to approve, a dissolution and liquidation of our company, we would be required under Delaware corporate law to pay our outstanding obligations, as well as to make reasonable provision for contingent and unknown obligations, prior to making any distributions in liquidation to our stockholders. Our commitments and contingent liabilities may include (i) obligations under our employment and related agreements with certain employees that provide for severance and other payments following a termination of employment occurring for various reasons, including a change in control of our company; and (ii) potential litigation against us, and other various claims and legal actions arising in the ordinary course of business. As a result of this requirement, a portion of our assets may need to be reserved pending the resolution of such obligations. In addition, we may be subject to litigation or other claims related to a dissolution and liquidation of our company. If a dissolution and liquidation were pursued, our board of directors, in consultation with its advisors, would need to evaluate these matters and make a determination about a reasonable amount to reserve. Accordingly,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holders of our common stock could lose all or a significant portion of their investment in the event of a liquidation, dissolution or winding up of our company.</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Financial Condition, Capital Requirements and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a biopharmaceutical company with a history of losses, and we expect to continue to incur losses for the foreseeable future, and we may never achieve or maintain profitability.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biopharmaceutical company developing Synthetic Biotics and we have incurred significant operating losses since our inception. Our net loss was approximately $23.4 million and $61.3 million for the fiscal years ended December 31, 2024 and 2023, respectively. As of December 31, 2024, we had an accumulated deficit of approximately $441.7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require substantial additional funding, which may not be available on acceptable terms,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used substantial funds to discover and develop our programs and proprietary drug development platform in synthetic biology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or we enter into third-party arrangements with collaborators. To date, we have primarily financed our operations through sales of our securities, our third-party collaborations and the Merger.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i/>
          <w:color w:val="000000"/>
          <w:sz w:val="20"/>
        </w:rPr>
        <w:t>Our quarterly and annual operating results may fluctuate in the future. As a result, we may fail to meet the expectations of research analysts or investors, which could cause our stock price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Annual Report on Form 10-K and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identify, evaluate and effectuate a strategic alternative;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and maintain Synthetic Biotic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manage our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outcomes of research programs, clinical trials, or other product development and approval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accurately report our financial results in a timely manner;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dependence on, and the need to attract and retain, key management and other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protect and enforce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prevent the theft or misappropriation of our intellectual property, know-how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milestones with our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advantages that our competitors and potential competitors may have in securing funding or developing competing technologies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additional capital that may be necessary to expand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macro-economic factors outside of our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Due to the various factors mentioned above, and others, the results of any prior quarterly or annual periods should not be relied upon as indications of our future operating performance.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stock price is volatile, and our stockholders may not be able to resell shares of our common stock at or above the price they paid.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common stock is highly volatile and could be subject to wide fluctuations in response to various factors, some of which are beyond our control, such as reports by industry analysts, investor perceptions, general industry trends, macro-economic conditions, or negative announcements by other companies involving similar technologies or diseases. These factors also include those discussed in this “Risk Factors” section of this Annual Report on Form 10-K and others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relating to our identification and evaluation of strategic alternatives;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relating to collaborations that we may enter into with respect to the development or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relating to the receipt, modification or termination of government contracts or grants;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Termination or delay of a development program;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liability claims related to our clinical trials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Prevailing economic conditions;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Perspectives on synthetic biology and genetic engineering;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Perspectives on the programs of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disruptions caused by natural disasters;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concerning our intellectual property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 or other U.S. or foreign regulatory actions affecting us or our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common stock by the company, our executive officers and directors or our stockholders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sales or issuances of equity or debt securities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Lack of an active, liquid and orderly market in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our quarterly operating results;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new or changed securities analysts’ reports or recommendations regarding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short operating history may make it difficult for stockholders to evaluate the success of our business to date and to assess our future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biopharmaceutical company with a limited operating history. We commenced active operations in 2014. Our operations to date have been limited to organizing and staffing our company, research and development activities, business planning and raising capital. In February 2024, we voluntarily halted Synpheny-3 based on results of an internal review in advance of an upcoming independent Data Monitoring Committee (DMC) assessment, which indicated the trial was unlikely to meet its primary endpoint. The decision was not based on concerns regarding safety or tolerability.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(the FDIC) as receiver. Similarly, on March 12, 2023, Signature Bank and Silvergate Capital Corp. were each swept into receivership and on May 1, 2023, First Republic Bank was swept into receivership. Although a statement by the Department of the Treasury, the Federal Reserve and the FDIC stated that all depositors of SVB would have access to all of their money after only one business day of closure, including funds held in uninsured deposit accounts, uncertainty remains over liquidity concerns in the broader financial services industry. Similar impacts have occurred in the past, such as during the 2008-2010 financial crisis.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review our banking relationships as we believe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delayed access to deposits or other financial assets or the uninsured loss of deposits or other financial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access to working capital 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or actual breach of contractual obligations that require us to maintain letters or credit or other credit support arrangements;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termination of cash management arrangements and/or delays in accessing or actual loss of funds subject to cash management arrangements.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the Development of Our Product Candidates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Clinical trials are costly, time consuming and inherently risky, and we may fail to demonstrate safety and efficacy to the satisfaction of applicable regulatory authorities.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For example, in February 2024, we voluntarily halted Synpheny-3 based on results of an internal review in advance of an upcoming independent DMC assessment, which indicated the trial was unlikely to meet its primary endpoint. The decision was not based on concerns regarding safety or tolerability. Events that may prevent successful or timely completion of clinical development of our product candidates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Inability to generate satisfactory preclinical or other nonclinical data, including, toxicology, or other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or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data or diagnostics to support the initiation or continuation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agreement on acceptable terms with CROs and clinical trial sites, the terms of which can be subject to extensive negotiation and may vary significantly among different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obtaining required institutional review board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permit the conduct of a clinical trial by regulatory authorities, after review of an investigational new drug or equivalent foreign application or amendment;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recruiting qualified patients in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clinical sites or CROs or other third parties to adhere to clinical trial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us, clinical sites, CROs or other third parties to perform in accordance with the good clinical practices requirements of the FDA or applicable foreign regulatory guidelines;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dropping out of the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adverse events, unacceptable side effects or toxicity issues associated with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by the FDA of a clinical hold or the requirement by other similar regulatory agencies that one or more clinical trials be delayed or halted;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and guidance that require amending or submitting new clinical protocols or performing additional nonclinical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ultimate affordability of the cost of clinical trials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inability to successfully complete clinical development and obtain regulatory approval for our product candidates could result in additional costs to us or impair our ability to raise additional capital or generate revenue. In addition, if we make manufacturing or formulation changes to our product candidates, we may need to conduct additional nonclinical studies and/or clinical trials, the results obtained from such new formulation may not be consistent with previous results obtained, or the regulatory authorities may need to further review and approve our process before we can proceed.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approach we are taking to discover and develop novel therapeutics using synthetic biology to create novel medicines is unproven and may never lead to marketable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We have also not yet succeeded and may never succeed in demonstrating efficacy and safety for our current or any future product candidates in a pivotal clinical trial. If we are not able to successfully develop and commercialize product candidates based upon this technological approach, we may never become profitable, and the value of our capital stock may decline. Additionally, the FDA or other regulatory authorities may lack experience in evaluating the safety and efficacy of novel product candidates based on synthetic biology, which could result in a longer than expected regulatory review process, increase our expected development costs and delay or prevent commercialization of our product candidates.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Synthetic Biotic product candidates are based on a relatively novel technology, which makes it difficult to predict the time and cost of development and of subsequently obtaining regulatory approval,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concentrated our research and development efforts to date on a limited number of product candidates based on our Synthetic Biotic therapeutic platform.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 For example, in February 2024, we voluntarily halted Synpheny-3 based on results of an internal review in advance of an upcoming independent DMC assessment, which indicated the trial was unlikely to meet its primary endpoint. The decision was not based on concerns regarding safety or tolerability.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trial and manufacturing requirements of the FDA, the EMA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EMA or national regulatory agencies may not be indicative of what the FDA, and vice versa, may require for approval and different or additional nonclinical studies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be successful in our efforts to use and expand our development platform to build a pipeline of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key element of our strategy was to create Synthetic Biotics that can be deployed against a broad range of human diseases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even if one or more of our product candidates receives marketing approval, and we or others later identify undesirable side effects caused by such products, potentially significant negative consequences could result,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approvals of or revoke licenses for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on the labels of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create a REMS plan, which could include a medication guide outlining the risks of such side effects for distribution to patients, a communication plan for healthcare providers, and/or other elements to assure safe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conduct additional clinical trials or costly post-marketing testing and surveillance to monitor the safety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a product candidate, even if approved, and could significantly harm our business, results of operations, and prospects.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by their nature use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fail to obtain or maintain orphan drug exclusivity for some of our products, our competitors may obtain approval to sell competing drugs to treat the same conditions and our revenues will be reduced.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our business strategy, we have developed and may in the future develop product candidates that may be eligible for FDA and European Commission orphan drug designation. In May 2023, the FDA granted orphan drug designation to labafenogene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marselecobac (SYNB1934)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the extent and scope of patent protection for some of our product candidates may be limited, obtaining orphan drug exclusivity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though we have obtained orphan drug designation for some of our product candidates and intend to seek orphan drug designation for other product candidates, there is no assurance that we will be the first to obtain marketing approval for any particular orphan indication. Further, even though we have obtained orphan drug designation for certain of our product candidates, or even if we obtain orphan drug designation for other potential product candidates, and obtain approval for such products, orphan product exclusivity may not effectively protect us from competition because different drugs can be approved for the same condition and the same drug can be approved for different conditions and potentially used off-label in the orphan indication. In addition,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seek a Rare Pediatric Disease Designation, or RPDD, for one or more of our product candidates. However, a BLA for one or more of our product candidates may not meet the eligibility criteria for a priority review voucher upon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2023, labafenogene marselecobac received RPDD (Rare Pediatric Drug Designation) for phenylketonuria and in December 2022, SYNB1353 received RPDD for homocystinuria. With enactment of the Food and Drug Administration Safety and Innovation Act in 2012, Congress authorized the FDA to award priority review vouchers to sponsors of certain rare pediatric disease product applications that meet the criteria specified in the law. This provision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 (b) rare disease or conditions within the meaning of the Orphan Drug Act. The FDA may determine that a BLA for one or more of our product candidates does not meet the eligibility criteria for a priority review voucher upon approval. Moreover, due to the current statutory authority for the RPDD and voucher program, the FDA may not award the voucher to sponsors of marketing applications unless Congress reauthorizes the program. Even if legislation is enacted that extends the date by which approval of the rare pediatric disease-designated drug must obtain approval to receive a priority review voucher, we may not obtain approval by that date, and even if we do, we may not obtain a priority review voucher.</w:t>
      </w:r>
    </w:p>
    <w:p>
      <w:pPr>
        <w:pStyle w:val="TextBody"/>
        <w:bidi w:val="0"/>
        <w:jc w:val="left"/>
        <w:rPr>
          <w:rFonts w:ascii="Times New Roman" w:hAnsi="Times New Roman"/>
          <w:sz w:val="20"/>
        </w:rPr>
      </w:pPr>
      <w:r>
        <w:rPr>
          <w:rFonts w:ascii="Times New Roman" w:hAnsi="Times New Roman"/>
          <w:b/>
          <w:i/>
          <w:color w:val="000000"/>
          <w:sz w:val="20"/>
        </w:rPr>
        <w:t>Product development involves a lengthy and expensive process with an uncertain outcome, and results of earlier preclinical studies and clinical trials may not be predictive of future clinical trial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and many companies that believed their product candidates performed satisfactorily in preclinical studies and clinical trials nonetheless failed to obtain regulatory authority approval. Product candidates that seemingly perform satisfactorily in preclinical studies and clinical trials may nonetheless fail to obtain regulatory approval. There is a high failure rate for drugs proceeding through clinical trials. Many companies in the pharmaceutical and biotechnology industries have suffered significant setbacks in clinical development even after achieving promising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in earlier studies. These setbacks have been caused by, among other things, preclinical findings made while clinical trials were underway, or safety or efficacy observations made in preclinical studies and clinical trials, including previously unreported adverse events. Any such setbacks in our clinical development could negatively affect our business and operating results.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experience delays or difficulties in the enrollment of patients in clinical trials, our costs might be higher than expected and our receipt of necessary regulatory approvals could be delayed or prevented.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a new product candidate require the enrollment of a sufficient number of healthy volunteers or patients suffering from the disease or condition the product candidate is intended to treat and who meet other eligibility criteria. The timing of our clinical trials depends on our ability to recruit eligible subjects to participate as well as the completion of required follow-up evaluations. Patients and healthy volunteers may be unwilling to participate in our clinical trials because of negative publicity from adverse events related to novel therapeutic approaches, competitive clinical trials for similar patient populations, the existence of current treatments or for other reasons including due to concerns posed by local or global health emergencies.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the clinical trial administration practices of the contract research organization (CRO) or clinical trial sites, labor shortages at the CRO or clinical trial sites, benefits and convenience of administration of the product candidate being studied, the patient referral practices of physicians, the amount of attention provided to our trial by clinical trial sites, our efforts and the CRO efforts,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If we, or any third parties that we engage to assist us, are unable to successfully identify patients with these diseases, or experience delays in doing so, then we may not realize the full commercial potential of any product candidate we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Congress also recently amended the FDCA to require sponsors of a Phase 3 clinical trial, or other “pivotal study” of a new drug or biologic to support marketing authorization, to design and submit a diversity action plan for such clinical trial. The action plan must describe appropriate diversity goals for enrollment, as well as a rationale for the goals and a description of how the sponsor will meet them. For any future Phase 3 trials we plan to conduct, we must submit a diversity action plan to the FDA by the time we submit plans for such Phase 3, or pivotal study, protocol to the agency for review as part of an IND, unless we are able to obtain a waiver for some or all of the requirements for a diversity action plan. It is unknown at this time how the diversity action plan may affect the planning and timing of any future Phase 3 trial for our product candidates or what specific information FDA will expect in such plans. However, initiation of such trials may be delayed if the FDA objects to our proposed diversity action plans for any future Phase 3 trial for our product candidates, and we may experience difficulties recruiting a diverse population of patients in attempting to fulfill the requirements of any approved diversity action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Interim “</w:t>
      </w:r>
      <w:r>
        <w:rPr>
          <w:rFonts w:ascii="Times New Roman" w:hAnsi="Times New Roman"/>
          <w:color w:val="000000"/>
          <w:sz w:val="20"/>
        </w:rPr>
        <w:t xml:space="preserve"> </w:t>
      </w:r>
      <w:r>
        <w:rPr>
          <w:rFonts w:ascii="Times New Roman" w:hAnsi="Times New Roman"/>
          <w:b/>
          <w:i/>
          <w:color w:val="000000"/>
          <w:sz w:val="20"/>
        </w:rPr>
        <w:t>top-line” and preliminary data from our clinical trials that we announce or publish from time to time may change as more patient data become available and are subject to audit and verification procedures that could result in material changes in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publicly disclose interim, top-line or preliminary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that we previously published. As a result, top-line and preliminary data should be viewed with caution until final data are available. Adverse differences between interim data and final data could significantly harm our business prospects. For example, in February 2024, we voluntarily halted Synpheny-3 based on results of an internal review in advance of an upcoming independent DMC assessment, which indicated the trial was unlikely to meet its primary endpoint. The decision was not based on concerns regarding safety or tolerability. Further, disclosure of interim data by us or by our competitors could result in volatility in the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have product liability insurance, which covers any clinical trial we may conduct in the United States or internationally,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volunteers, investigators, patients or trial sites or limitations on approved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or if commercialized, decreased demand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commercialized, product recalls, withdrawals of labeling, marketing or promotional restrictions or the need for product modification;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costs of litigation, including monetary awards to patients or other claimants;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Liabilities that substantially exceed our product liability insurance, which we would then be required to pay ourselves;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in our product liability insurance rates or the inability to maintain insurance coverage in the future on acceptable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diversion of management’s attention from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key employees;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Damage to our reputation and the reputation of our products and our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liability claims may subject us to the foregoing and other risks, which could have a material adverse effect on our business, financial condition or results of operations.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or the third parties upon which we depend may be adversely affected by natural disasters and our business continuity and disaster recovery plans may not adequately protect us from a serious disaster.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pStyle w:val="TextBody"/>
        <w:bidi w:val="0"/>
        <w:jc w:val="left"/>
        <w:rPr>
          <w:rFonts w:ascii="Times New Roman" w:hAnsi="Times New Roman"/>
          <w:sz w:val="20"/>
        </w:rPr>
      </w:pPr>
      <w:r>
        <w:rPr>
          <w:rFonts w:ascii="Times New Roman" w:hAnsi="Times New Roman"/>
          <w:b/>
          <w:i/>
          <w:color w:val="212529"/>
          <w:sz w:val="20"/>
        </w:rPr>
        <w:t xml:space="preserve">A pandemic, epidemic, or outbreak of an infectious disease, </w:t>
      </w:r>
      <w:r>
        <w:rPr>
          <w:rFonts w:ascii="Times New Roman" w:hAnsi="Times New Roman"/>
          <w:b/>
          <w:i/>
          <w:color w:val="000000"/>
          <w:sz w:val="20"/>
        </w:rPr>
        <w:t>or geopolitical tensions, such as the armed conflict, between Russia and Ukraine or the conflict in the Middle East,</w:t>
      </w:r>
      <w:r>
        <w:rPr>
          <w:rFonts w:ascii="Times New Roman" w:hAnsi="Times New Roman"/>
          <w:color w:val="212529"/>
          <w:sz w:val="20"/>
        </w:rPr>
        <w:t xml:space="preserve"> </w:t>
      </w:r>
      <w:r>
        <w:rPr>
          <w:rFonts w:ascii="Times New Roman" w:hAnsi="Times New Roman"/>
          <w:b/>
          <w:i/>
          <w:color w:val="212529"/>
          <w:sz w:val="20"/>
        </w:rPr>
        <w:t>may materially and adversely affect our business and our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prior years, COVID-19 affected segments of the global economy and a pandemic or epidemic may materially affect our operations again, including potentially significant interruption of our clinical trial activities. In addition, there could be a continuing effect of such pandemics to the business at FDA or other health authorities, which could result in delays of reviews and approvals, including with respect to our product candidates. Pandemics could also have a material adverse effect on our clinical trial operations in the United States and elsewhere, including our ability to recruit and retain patients and principal investigators and site staff who, as healthcare providers, may have heightened exposure to infectious diseases if an outbreak occurs in their geography.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pandemics or epidemics may also affect employees of third-party contract research organizations and contract manufacturing organizations located in affected geographies that we rely upon to carry out our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potential economic impact brought by and the duration of any such pandemic may be difficult to assess or predict, a widespread pandemic could result in significant disruption of global financial markets, potentially reducing our ability to access capital, which could in the future negatively affect our liquidity. Similarly, the current conflicts between Ukraine and Russia and in the Middle East have created extreme volatility in the global capital markets and is expected to have further global economic consequences, including disruptions of the global supply chain and energy markets. In addition, we have previously announced our intention to open a clinical trial site in Israel and this could be impacted by the events in the Middle East. A recession or market correction resulting from the geopolitical tensions in Russia and Ukraine and in the Middle East, could materially affect our business and the price of our common stock.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Regulatory Approval of Our Product Candidates and Other Legal Compliance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regulatory approval processes of the FDA and other comparable foreign regulatory authorities are lengthy, time consuming and inherently unpredictable, and if we are ultimately unable to obtain regulatory approval for our product candidates,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marketing approval for a novel therapeutic product from the FDA and other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commercialization of any product candidate and it is possible that none of our existing product candidates or any product candidates we may seek to develop in the future will ever obtain that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other comparable foreign regulatory authorities that our product candidates are safe, pure and potent or effective for their proposed indications;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or other comparable foreign regulatory authorities in order to support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other comparable foreign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 BLA, to the FDA or other equivalent marketing authorization application submissions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review of our clinical trial sites and data, the FDA or comparable foreign regulatory authorities may find our record keeping or the record keeping of our clinical trial sites or investigators to be inadequate;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other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other comparable foreign regulatory authorities or the laws they enforce may significantly change in a manner rendering our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other comparable foreign regulatory authorities have substantial discretion in the approval process and determining when or whether to grant regulatory approval will be obtained for any of our product candidates, and whether to impose any conditions on such marketing approvals as described below. Even if we believe the data collected from clinical trials of our product candidates are promising, such data may not be sufficient to support approval by the FDA or other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even if we were to obtain approval, regulatory authorities may approve any of our product candidates for fewer or more limited indications than we request, if any, they may grant approval contingent on the performance of costly post-marketing clinical trials, or they may approve a product candidate with a label that does not include the labeling claims necessary or desirable for the successful commercialization of that product candidate or with restrictive risk mitigation measures or warning language or contraindications that make the approved product more difficult or costly to commercialize. Any of the foregoing scenarios could materially harm the commercial prospects for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landscape related to clinical trials in the European Union (EU) recently evolved. The EU Clinical Trials Regulation (CTR) which was adopted in April 2014 and repeals the EU Clinical Trials Directive, became applicable on January 31, 2022. The CTR introduced a centralized process and only requires the submission of a single application to all member states concerned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or CTIS. Once the CTA is approved, clinical study development may proceed. The extent to which ongoing and new clinical trials will be governed by the CTR varies. Clinical trials for which an application was submitted (i) prior to January 31, 2022 under the Clinical Trials Directive, which the CTR replaced, or (ii) between January 31, 2022 and January 31, 2023 and for which the sponsor has opted for the application of the Clinical Trials Directive remain governed by said Directive until January 31, 2025. After this date, all clinical trials, including those that are ongoing, became subject to the provisions of the CTR. Compliance with the CTR requirements by us, our collaborators and third-party service providers, such as CROs, may impact our development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therapies, interaction and communication between the FDA and the sponsor of the trial can help to identify the most efficient path for clinical development. A drug or biologic designated as breakthrough therapies by the FDA could also be eligible for accelerated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Designation as a breakthrough therapy is within the discretion of the FDA. Accordingly, even if we believe one of our product candidates meets the criteria for designation as a breakthrough therapy, the FDA may disagree and instead determine not to grant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have received Fast Track designation for three of our product candidates and may seek such designation for one or more of our other product candidates, but we might not receive such designation, and even if we do, such designation may not actually lead to a faster development or regulatory review or approval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product candidate is intended for the treatment of a serious condition and nonclinical or clinical data demonstrate the potential to address unmet medical need for the condition, a product sponsor may apply for Fast Track designation. We were awarded Fast Track designation for SYNB1618 (an earlier generation of SYNB1934: labafenogene marselecobac) in April 2018, for labafenogene marselecobac in July 2023, and for SYNB1353 in August 2022. Fast Track designation does not ensure that we will receive marketing approval for the product candidate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Even if we obtain regulatory approval for a product candidate, we will remain subject to ongoing regulatory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Manufacturers and manufacturers’ facilities are required to continuously comply with FDA and comparable foreign regulatory authority requirements, including ensuring that quality control and manufacturing procedures conform to current good manufacturing practices (cGMP) regulations and corresponding foreign regulatory manufacturing requirements. As such, we and our contract manufacturers will be subject to continual review and inspections to assess compliance with cGMP and adherence to commitments made in any BLA or marketing authorization application.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 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ensure compliance. If our original marketing approval for a product candidate were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 untitled or warning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or withdraw regulatory approval or revoke a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any of our ongoing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Refuse to approve pending applications or supplements to approved applications submitted by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restrictions on our operations, including closing our contract manufacturers’ facilities;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a product recall.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Obtaining and maintaining marketing approval of our current and future product candidates in one jurisdiction does not mean that we will be successful in obtaining marketing approval of our current and future therapeutic product candidates in other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foreign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future products will also be subject to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submit marketing applications in other countries in addition to the United States.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pStyle w:val="TextBody"/>
        <w:bidi w:val="0"/>
        <w:jc w:val="left"/>
        <w:rPr>
          <w:rFonts w:ascii="Times New Roman" w:hAnsi="Times New Roman"/>
          <w:b/>
          <w:i/>
          <w:color w:val="000000"/>
          <w:sz w:val="20"/>
        </w:rPr>
      </w:pPr>
      <w:r>
        <w:rPr>
          <w:rFonts w:ascii="Times New Roman" w:hAnsi="Times New Roman"/>
          <w:b/>
          <w:i/>
          <w:color w:val="000000"/>
          <w:sz w:val="20"/>
        </w:rPr>
        <w:t>The FDA and other comparable ex-U.S. regulatory authorities may not accept data from trials conducted in locations outside of their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to conduct international clinical trials in the future. The acceptance of study data by the FDA or other comparable ex-U.S. regulatory authority from clinical trials conducted outside of their respective jurisdictions may be subject to certain conditions. The acceptance of study data from clinical trials conducted outside the United States or another jurisdiction by the FDA or comparable ex-U.S. regulatory authority may be subject to certain conditions or may not be accepted at all. In cases where data from ex-U.S. clinical trials are intended to serve as the sole basis for marketing approval in the United States, the FDA will generally not approve the application on the basis of ex-U.S. data alone unless (i) the data are applicable to the U.S. population and U.S. medical practice; (ii) the trials were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Furthermore, even where the ex-U.S.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ex-U.S. regulatory authorities have similar approval requirements. In addition, such ex-U.S. trials would be subject to the applicable local laws of the ex-U.S. jurisdictions where the trials are conducted. There can be no assurance that the FDA or any comparable ex-U.S. regulatory authority will accept data from trials conducted outside of its applicable jurisdiction. If the FDA or any comparable ex-U.S. regulatory authority does not accept such data, it would result in the need for additional trials.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ability to hire and retain key personnel and accept the payment of user fees, increases in workload, and statutory, regulatory, and policy changes. Average review times at the agency have fluctuated in recent years as a result. In 2023, for example, members of Congress wrote to officials at the FDA expressing their concern that clinical holds should not be a means for FDA to gain additional time to review a clinical protocol. In addition, government funding of the SEC and other government agencies on which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operations may rely, including those that fund research and development activities is subject to the political process, which is inherently fluid and unpredictable.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The coronavirus pandemic has also adversely affected the operations of necessary government agencies.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In addition, competing demands from other companies or issues can affect the timeliness for which the FDA can review and process our regulatory submissions.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Healthcare legislative reform measures may have a material adverse effect on our business, financial condition or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there have been and continue to be a number of legislative initiatives to contain healthcare costs. For example, in March 2010, the Patient Protection and Affordable Care Act, as amended by the Health Care and Education Reconciliation Act of 2010 (collectively, the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and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biologics, and created a new Medicare Part D coverage gap discount program, in which manufacturers must agree to offer 70% (increased from 50% pursuant to the Bipartisan Budget Act of 2018, effective as of 2019) point-of-sale discounts off negotiated prices of applicable brand drugs and biologics to eligible beneficiaries during their coverage gap period, as a condition for the manufacturer’s outpatient drugs or biologics to be covered under Medicare Part 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legislative and regulatory changes under the ACA remain possible, although it is unknown what form any such changes or any law would take, and how or whether it may affect the biopharmaceutical industry as a whole or our business in the future. We expect that changes or additions to the ACA, the Medicare and Medicaid programs, such as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over the past several years there has been heightened governmental scrutiny over the manner in which biopharmaceutical manufacturers set prices for their marketed products,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The probability of success of these newly announced policies, many of which have been subjected to legal challenge in the federal court system, and their potential impact on the U.S. prescription drug marketplace is unknown. There are likely to be continued political and legal challenges associated with implementing these reforms as they are currently envisioned.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Most recently, in August 2022, former President Biden signed into the law the Inflation Reduction Act of 2022, or the IRA. Among other things, the IRA has multiple provisions that may impact the prices of drug products that are both sold into the Medicare program and throughout the United States. Starting in 2023, a manufacturer of a drug or biological product covered by Medicare Parts B or D must pay a rebate to the federal government if the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in payment year 2026,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 Additional state and federal healthcare reform measures are expected to be adopted in the future, any of which could limit the amounts that federal and state governments will pay for healthcare products and services, which could result in reduced demand for certain biopharmaceutical products or additional pricing pressures.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California requires pharmaceutical manufacturers to notify certain purchasers, including health insurers and government health plans at least 60 days before any scheduled increase in the wholesale acquisition cost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(WAC), of their product if the increase exceeds 16%, and further requires pharmaceutical manufacturers to explain whether a change or improvement in the product necessitates such an increase. Similarly, Vermont requires pharmaceutical manufacturers to disclose price information on certain prescription drugs, and to provide notification to the state if introducing a new drug with a WAC in excess of the Medicare Part D specialty drug threshold. In addition, in the last few years, several states have formed prescription drug affordability boards (PDABs) with the authority to implement upper payment limits (UPLs) on drugs sold in their respective jurisdictions. However, there are several pending federal lawsuits challenging the authority of states to impose UPLs.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2020, the U.S. Supreme Court also held unanimously that federal law does not preempt the states’ ability to regulate pharmaceutical benefit managers, or PBMs, and other members of the healthcare and pharmaceutical supply chain, an important decision that appears to be leading to further and more aggressive efforts by states in this area. The Federal Trade Commission in mid-2022 also launched sweeping investigations into the practices of the PBM industry that could lead to additional federal and state legislative or regulatory proposals targeting such entities’ operations, pharmacy networks, or financial arrangements. Significant efforts to change the PBM industry as it currently exists in the United States may affect the entire pharmaceutical supply chain and the business of other stakeholders, including biopharmaceutical developers like us.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European Union, similar political, economic and regulatory developments may affect our ability to profitably commercialize our products. In addition to continuing pressure on prices and cost containment measures, legislative developments at the European Union or EU member state level may result in significant additional requirements or obstacles that may increase our operating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or executive action. We expect that additional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payments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civil and criminal false claims laws and civil monetary penalty laws, which prohibit, among other things, individuals or entities from knowingly presenting, or causing to be presented, claims for payment from Medicare, Medicaid, or other government payors that are false or fraudulent or making a false statement to avoid, decrease or conceal an obligation to pay money to the federal government;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(HIPAA), which created new federal criminal statutes that prohibit executing a scheme to defraud any healthcare benefit program and making false statements relating to healthcare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and Clinical Health Act, and its implementing regulations, which imposes specified requirements relating to the privacy, security, and transmission of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physician payments sunshine requirements under the ACA require manufacturers of drugs, devices, biologics, and medical supplies to report annually to CMS information related to payments and other transfers of value to physicians, certain advanced non-physician healthcare providers, and teaching hospitals, and ownership and investment interests held by physicians and other healthcare providers and their immediate family members;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safe harbors available, it is possible that some of our business activities could be subject to challenge under one or more of such laws. In addition, recent healthcare reform legislation has strengthened these laws. For example, the ACA, among other things, amended the intent requirement of the federal anti-kickback and criminal healthcare fraud statutes. A person or entity no longer needs to have actual knowledge of this statute or specific intent to violate it. Moreover, the ACA provides that the U.S. government may assert that a claim including items or services resulting from a violation of the federal anti-kickback statute constitutes a false or fraudulent claim for purposes of the False Claims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the laws described above or any other governmental regulations that apply to us, we may be subject to penalties, including civil and criminal penalties, damages, fines, exclusion from participation in government healthcare programs, such as Medicare and Medicaid, imprisonment, and the curtailment or restructuring of our operations, any of which could adversely affect our ability to operate our business and our results of operations.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or may in the future become subject to, U.S. federal and state, and international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many activities, including the conduct of clinical trials, we are subject to domestic and international laws and regulations governing data privacy, data security, and the protection of health-related and other personal information. The regulatory framework for collecting, using, safeguarding, sharing, transferring and other processing of personal information worldwide is rapidly evolving and in recent years there has been an increasing focus on privacy and data security issues with the potential to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numerous federal and state laws and regulations, including state data breach notification laws, and federal and state consumer protection laws govern the collection, use, disclosure and protection of health-related and other personal information. Failure to comply with data protection laws and regulations, where applicable, could result in government enforcement actions, which could include civil or criminal penalties, private litigation and/or adverse publicity and could negatively affect our operating results and business. For example, California enacted the California Consumer Privacy Act (the CCPA), which took effect on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Further, in 2020, California voters passed the California Privacy Rights Act (the CPRA), which became effective as of January 1, 2023. The CPRA significantly amends the CCPA and imposes additional data protection obligations on companies doing business in California, including additional consumer rights processes, limitations on data uses, new audit requirements for higher risk data, and opt outs for certain uses of sensitive data. It also creates a new regulatory entity, the California Privacy Protection Agency, which is authorized to issue substantive regulations under the CPRA and could result in increased privacy and information security enforcement. Although the CCPA currently exempts certain health-related information, including clinical trial data, the CCPA and the CPRA may increase our compliance costs and potential liability. In addition to California, more U.S. states are enacting similar legislation, increasing compliance complexity and increasing risks of failures to comply. In 2023 and 2024, comprehensive privacy laws in Virginia, Colorado, Connecticut, Utah, Montana, Oregon, and Texas all took effect. In addition, laws in other U.S. states are set to take effect in 2025 and beyond, and additional U.S. states have proposals under consideration, all of which are likely to increase our regulatory compliance costs and risks, exposure to regulatory enforcement action and other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collection, use, disclosure, transfer, or other processing of personal data in the European Union, including personal health data, is subject to the General Data Protection Regulation, or GDPR, which took effect in 2018 and applies to companies within and outside of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the personal data. The GDPR also enhances enforcement authority and imposes large penalties for noncompliance, including the potential for fines of up to €20 million or 4% of the annual global revenues of the infringer, whichever is greater.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GDPR confers a private right of action on data subjects and consumer associations to lodge complaints with supervisory authorities, seek judicial remedies, and obtain compensation for damages resulting from violations of the GDPR. In addition, the withdrawal of the United Kingdom from the European Union and the subsequent separation of the data protection regimes of these territories mean we are required to also comply with similar data protection laws in the United Kingdom, which may lead to additional compliance costs and could increase our overall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 in the European Economic Area (EEA), Switzerland, and the UK on data export are also evolving. For example, the GDPR only permits exports of data outside the EU where there is a suitable data transfer solution in place to safeguard personal data (e.g. the EU Commission approved Standard Contractual Clauses or certification under the recently-adopted Data Privacy Framework). If we have to rely on third parties to carry out services for us, including processing personal data on our behalf, we are required under GDPR and similar laws in Switzerland and the UK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customers to lose trust in us, which would have an adverse impact on our reputation and business. Future actions of EU, Swiss, and UK data protection authorities are difficult to predict. Some customers or other may respond to these evolving laws and regulations by asking us to make certain privacy or data-related contractual commitments that we are unable or unwilling to make. This could lead to the loss of current or prospective customers or other business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international,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international data protection laws. These laws and regulations are increasing in complexity and number, may change frequently and sometimes conflict.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establishes a set of national privacy and security standards for the protection of individually identifiable health information, including protected health information, or PHI, by health plans, certain healthcare clearinghouses and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 information from these entities. Failure to receive this information properly could subject us to HIPAA’s criminal penalties, which may include fines up to $50,000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states have implemented similar laws protecting identifiable health and personal information, and most such laws differ from each other in significant ways and may not be preempted by HIPAA,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interpretation and application of consumer, health-related, and data protection laws are often uncertain, contradictory, and in flux.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legislative and regulatory landscape for privacy and data security continues to evolve, and there has been an increasing focus on privacy and data security issues which may affect our business. Despite our efforts, we may not have fully complied in the past and may not in the future. Failure to comply with current and future laws and regulations could result in government enforcement actions (including the imposition of significant penalties), criminal and civil liability for us and our officers and directors, private litigation and/or adverse publicity that negatively affects our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our business, financial condition or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Laws and regulations governing international operations may preclude us from developing, manufacturing and selling certain products outside of the United States and require us to develop, implement and maintain costly compliance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internal computer systems, or those of our collaborators or other contractors or consultants, may fail or suffer cybersecurity incidents, which could result in a material disruption of our product development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information technology, or IT, systems and those of our current and any future collaborators and other contractors, consultants, or clinical trial sites are vulnerable to damage from cyberattacks,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phishing and other means to affect service reliability and threaten the confidentiality, integrity and availability of information and IT systems. If any of the above events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cybersecurity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The market perception of the effectiveness of our security measures could be harmed and our reputation and credibility could be damaged. Although we develop and maintain systems and controls designed to prevent these events from occurring, and we have processes to identify and mitigate threats, the development and maintenance of these systems, controls and processes is costly and requires ongoing monitoring and updating as technologies evolve and efforts to overcome security measures become increasingly sophisticated. Moreover, despite our efforts, the possibility of these events occurring cannot be eliminated entirely. In addition, there can be no assurance that we will promptly detect any such disruption or cybersecurity incident, if at all. As we outsource more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IT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cybersecurity incident, industrial espionage attacks or insider threat attacks which could result in financial, legal, business or reputational harm, as well as loss of competitive advantage or loss of consumer confidence.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Ethical, legal and social concerns about synthetic biology and genetic engineering could limit or prevent the use of our technologies and limit our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Biotics, delays or other impediments to our programs or the public acceptance and commercialization of Synthetic Biotics. Further, there is a risk that Synthetic Biotics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be successful in obtaining or maintaining necessary rights to Synthetic Biotics, product candidates and processes for our development pipeline through acquisitions and in-licenses.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intellectual property rights to other parties, potentially blocking our ability to pursue our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being issued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independently or together with our licensors or collaborators,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is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have sufficient patent term protections for our product candidates to effectively protect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 </w:t>
      </w:r>
    </w:p>
    <w:p>
      <w:pPr>
        <w:pStyle w:val="TextBody"/>
        <w:bidi w:val="0"/>
        <w:jc w:val="left"/>
        <w:rPr>
          <w:rFonts w:ascii="Times New Roman" w:hAnsi="Times New Roman"/>
          <w:sz w:val="20"/>
        </w:rPr>
      </w:pPr>
      <w:r>
        <w:rPr>
          <w:rFonts w:ascii="Times New Roman" w:hAnsi="Times New Roman"/>
          <w:b/>
          <w:i/>
          <w:color w:val="000000"/>
          <w:sz w:val="20"/>
        </w:rPr>
        <w:t>Changes in U.S. and foreign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unpredictable ways that would weaken our ability to obtain new patents or to enforce our existing patents and patents that we might obtain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European patent practice is expected to change now that the European Unitary Patent (UP) and Unified Patent Court (UPC) went into force on June 1, 2023. The new system will impact both pending European applications and granted European patents, and uncertainty remains about long-term implications of this change. The UPC may particularly present uncertainties for our ability to protect and enforce our patent rights against competitors in Europe. While the UPC is being implemented to provide more certainty and efficiency to patent enforcement throughout Europe, it will also provide our competitors with a new forum to use to centrally revoke our European patents. It will be several years before we will understand the scope of patent rights that will be recognized and the strength of patent remedies that will be provided by the UPC. We will have the right to opt our patents out of the UPC system over the first seven years, but doing so may preclude us from realizing the benefits of the new unified court.</w:t>
      </w:r>
    </w:p>
    <w:p>
      <w:pPr>
        <w:pStyle w:val="TextBody"/>
        <w:bidi w:val="0"/>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on any issued patents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any such event, our competitors might be able to enter the market, which would have a material adverse effect on our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are unable to maintain effective proprietary rights for our product candidates or any future product candidates, we may not be able to compete effectively in our proposed markets.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Third-party claims of intellectual property infringement may prevent or delay our development and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biology. We may become aware of U.S. and foreign patents and pending patent applications owned by third parties that cover similar therapeutic uses as the product candidates we are developing and we may in the future pursue available proceedings in the U.S. and foreign patent offices to challenge the validity of such patents and patent applications. In addition, or alternatively, we may consider whether to seek to negotiate a license of rights to technology covered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depend, in part, on our licensors to file, prosecute, maintain, defend and enforce patents and patent applications that are material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party to certain intellectual property license agreements and may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 involved in lawsuits to protect or enforce our patents or the patents of our licensors, which could be expensive, time 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or the patents of our licensors. To cease such infringement or unauthorized use, we or one of our licensing partners may be required to file patent infringement claims against a third-party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inter partes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Europe's Unified Patent Court (UPC) may present uncertainties for our ability to protect and enforce our patent rights against competitors in Europe. Although this new court has been implemented to provide more certainty and efficiency to patent enforcement throughout Europe, it will also provide our competitors with a new forum to use to centrally challenge our patents if opted into the UPC, rather than having to seek invalidity or non-infringement decisions on a country-by-country basis. It will be several years before the scope of patent rights that will be recognized and the strength of patent remedies that will be provided is known.</w:t>
      </w:r>
    </w:p>
    <w:p>
      <w:pPr>
        <w:pStyle w:val="TextBody"/>
        <w:bidi w:val="0"/>
        <w:jc w:val="left"/>
        <w:rPr>
          <w:rFonts w:ascii="Times New Roman" w:hAnsi="Times New Roman"/>
          <w:b/>
          <w:i/>
          <w:color w:val="000000"/>
          <w:sz w:val="20"/>
        </w:rPr>
      </w:pPr>
      <w:r>
        <w:rPr>
          <w:rFonts w:ascii="Times New Roman" w:hAnsi="Times New Roman"/>
          <w:b/>
          <w:i/>
          <w:color w:val="000000"/>
          <w:sz w:val="20"/>
        </w:rPr>
        <w:t>Some of our intellectual property may be subject to federal regulations such as “march-in” rights, certain reporting requirements and a preference for U.S.-based companies if it is determined that our intellectual property has been discovered through government-funded programs. Compliance with such regulations may limit our exclusive rights, and limit our ability to contract with non-U.S. manufacturers.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the intellectual property rights we have acquired or licensed or may acquire or license in the future may have been generated through the use of U.S. government funding and may therefore be subject to certain federal regulations.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U.S. industry may limit our ability to contract with non-U.S. product manufacturers for products relating to such intellectual property. To the extent any of our future intellectual property is also generated through the use of U.S. government funding, the provisions of the Bayh-Dole Act may similarly apply.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our trademarks and trade names are not adequately protected,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 </w:t>
      </w:r>
    </w:p>
    <w:p>
      <w:pPr>
        <w:pStyle w:val="TextBody"/>
        <w:bidi w:val="0"/>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have historically relied on and may in the future rely on third parties to conduct some aspects of our product formulation, research, preclinical, and clinical studies, and those third parties may not perform satisfactorily, including by failing to meet deadlines for the completion of such formulation, research or testing.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historically relied on and may in the future rely upon third parties, including independent clinical investigators, contracted laboratories and third-party CROs, to conduct our preclinical studies and clinical trials, as well as certain product candidate discovery and development activities, in accordance with applicable regulatory requirements and to monitor and manage data for our ongoing preclinical and clinical programs. We have historically relied on and may in the future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any third-party contractors and CROs we engage will be required to comply with GLP, as applicable, and GCP requirements, which are regulations and guidelines enforced by the FDA, the EMA and other comparable foreign regulatory authorities for all of our products in clinical development. Regulatory authorities enforce these GLP and GCP through periodic inspections of laboratories conducting GLP studies, and clinical trial sponsors, principal investigators, CROs, and trial sites when auditing for GCP compliance. If we, our investigators or any of our CROs or contracted laboratories that we engage fail to comply with applicable GLP and GCP, as applicable, the data generated in our preclinical studies and clinical trials may be deemed unreliable and the FDA, the EMA or other comparable foreign regulatory authorities may require us to perform additional preclinical studies or clinical trials before approving our marketing applications for our therapeutic product candidates.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produced in compliance with applicable cGMP regulations. Our failure to comply with these regulations may require us to repeat preclinical studies or clinical trials, which would delay the regulatory approval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studies or clinical trials may be extended, delayed or terminated and we may not be able to obtain regulatory approval for or successfully commercialize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clinical investigators may serve as scientific advisors or consultants to us from time to time and may receive cash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therapeutic product candidates it may develop.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have historically relied on and may in the future rely on third-party supply and manufacturing partners for drug supplies for our late-stage clinical activities and may do the same for any commercial supplies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relied on and may in the future rely on third-party supply and manufacturing partners to supply the materials and components to manufacture parts of the process of late-stage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effective, or in an amount that satisfies our commercial needs.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Synthetic Biotics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 regulations. Although our agreements with our suppliers and manufacturers require them to perform according to certain cGMP requirements such as those relating to quality control, quality assurance and qualified personnel, we have limited control over their conduct to implement and maintain these standards. Any of our suppliers or manufacturers could fail to comply with such requirements or to perform our obligations to us in relation to quality, timing or otherwise, or if our supply of components or other materials could become limited or interrupted for other reasons. Under these circumstances, we may choose or be forced to manufacture the materials ourselves, for which we currently do not have the capabilities or resources, manufacture in collaboration with a third-party at their facilities,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and may be required to conduct bridging studies or repeat clinical trials to assure comparable safety, purity and potency. The delays associated with the verification of a new manufacturer could negatively affect our ability to develop product candidates in a timely manner or within budget.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suppliers and manufacturers are subject to inspection and approval by regulatory authorities before we can commence the manufacture and sale of any of our product candidates, and thereafter are subject to ongoing inspection from time to time. Our failure, or the failure of our third-party manufacturers, to comply with applicable regulations could result in regulatory actions, such as the issuance of FDA Form 483 notices of observations, warning letters or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supplies of our products. Any such failure by us or any of our suppliers or manufacturers would significantly impact our ability to develop, obtain regulatory approval for or, if approved, market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could adversely affect our business in a number of ways,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inability to initiate or continue clinical trials of product candidates under development, which may impact our potential economic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in submitting regulatory applications, or receiving regulatory approvals, for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the cooperation of a collaborator;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Subjecting our product candidates to additional inspections by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cease distribution or to recall batches of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of approval to market and commercialize a product candidate, an inability to meet commercial demands for our products.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typically indemnify our collaborators from any third-party product liability claims that could result from the production, use or consumption of the product, as well as for alleged infringements of any patent or other intellectual property right by a third-party. With respect to consulting agreements, we indemnify consultants from claims arising from the good faith performance of their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To the extent we are able to enter into collaborative arrangements or strategic alliances, we may be exposed to risks related to those collaborations and alliances.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Dependence on collaborative arrangements or strategic alliances would subject us to a number of risks, including the risk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control the amount and timing of resources that our collaborators may devote to the relevant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collaborators may experience financial difficulties;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relinquish important rights, such as marketing and distribution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combinations or significant changes in a collaborator’s business strategy may also adversely affect a collaborator’s willingness or ability to complete our obligations under any arrangement;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could independently move forward with a competing drug candidate developed either independently or in collaboration with others, including our competitors;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Collaborative arrangements are often terminated or allowed to expire, which would delay the development and may increase the cost of developing our drug candidates.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attempt to form collaborations in the future with respect to our product candidates, but we may not be able to do so, which may cause us to alter our development and commercialization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the macro-economic conditions may disfavor a collaboration, and/or third parties may not view our product candidates and programs as having sufficient potential for commercialization, including the likelihood of an adequate safety and efficacy profile.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Commercialization of Our Product Candidates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any of our product candidates is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face substantial competition and our competitors may discover, develop or commercialize products faster or more successfully than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 In addition to the competition, we face from alternative therapies for the diseases we intend to target with our product candidates, we are also aware of several companies that are also working specifically to develop engineered bacteria as cellular drug therapies. Further there are several companies working to develop other similar products. Third-party payors, including governmental and private insurers, may also encourage the use of generic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competitors obtain marketing approval from the FDA or comparable foreign regulatory authorities for their product candidates more rapidly than us, it could result in our competitors establishing a strong market position before we are able to enter the market.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competitors have materially greater name recognition and substantially greater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have limited financial and managerial resources, we have historically focused and may in the future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commercial success of any of our current or future product candidates will depend upon the degree of market acceptance by physicians, patients, third-party payors, and others in the medical community.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with approvals from the FDA and comparable foreign regulatory authorities, the commercial success of our products will depend in part on the healthcare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of the product as demonstrated in clinical trials and potential advantages over competing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safety and side effect profile of the product as demonstrated in clinical trials and potential advantages over competing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the disease targeted;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approval is granted, including any limitations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convenience and ease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patients and physicians to accept products engineered from bacteria and these therapies;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perceived ratio of risk and benefit of these therapies by physicians, patients, and payers, and the willingness of physicians to recommend these therapies to patients based on such risks and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marketing, sales and distribution support for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publicity concerning the products or competing products and treatments;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pricing and availability of third-party insurance coverage and reimbursement.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healthcare providers, we will not be able to generate sufficient revenue to become or remain profitable.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be successful in any efforts to identify, license, discover, develop, or commercialize additional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business is expected to depend largely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or business development methodology or search criteria and process may be unsuccessful in identifying potential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or willing to assemble sufficient resources to acquire or discover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not succeed in preclinical 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potential product candidates may be shown to have harmful side effects or may have other characteristics that may make the products unmarketable or unlikely to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develop alternatives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we develop may be covered by third parties’ patents or other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for a product candidate may change during development or commercialization so that such a product may become unreasonable to continue to develop or commercialize;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capable of being produced in commercial quantities at an acceptable cost, or at all;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Failure to obtain or maintain adequate reimbursement or insurance coverage for products, if any, could limit our ability to market those products and decrease our ability to generate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there is significant uncertainty related to the insurance coverage and reimbursement for newly approved products. In the United States, the principal decisions about coverage and reimbursement for new drugs are typically made by CMS, an agency within DHHS,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 No uniform policy for coverage and reimbursement for drug products exist among third-party payors in the United States. Therefore, coverage and reimbursement for drug products can differ significantly from payor to payor. As a result,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increasingly are challenging prices charged for pharmaceutical products and services, and many third-party payors may refuse to provide coverage and reimbursement for particular drugs when an equivalent generic/biosimilar drug or a less expensive therapy is available. It is possible that a third-party payor may consider our product candidate and other therapies as substitutable and only offer to reimburse patients for the less expensive product. Even if we show improved efficacy or improved convenience of administration with our product candidate over other available and comparable products, pricing of existing drugs may limit the amount we will be able to charge for its product candidate. These payors may deny or revoke the reimbursement status of a given drug product or establish prices for new or existing marketed products at levels that are too low to enable it to realize an appropriate return on our investment in product development. If coverage and reimbursement is not available or is available only at limited levels, we may not be able to successfully commercialize our product candidates and may not be able to obtain a satisfactory financial return on products that we may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For example, under these circumstances, physicians may limit how much or under what circumstances they will prescribe or administer our products and patients may deliver to purchase such products. This, in turn, could affect our ability to commercialize our products successfully and impact our profitability, results of operations, financial condition, and future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Other countries allow companies to fix their own prices for medical products but monitor and control company profits.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on prescription drugs, has increased and is expected to continue to increase in the future. As a result, profitability of our products, if any, may be more difficult to achieve even if they receive regulatory approval.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future product candidates for which we obtain approval may face competition sooner than anticipated.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are successful in achieving regulatory approval to commercialize a product candidate ahead of our competitors, our product candidates may face competition from biosimilar products. In the United States, Synthetic Biotic products are expected to be regulated by the FDA as biological products and we intend to seek approval for these product candidates pursuant to the BLA pathway. The BPCIA created an abbreviated pathway for FDA approval of biosimilar and interchangeable biological products based on a previously licensed reference product. Under the BPCIA, an application for a biosimilar biological product cannot be approved by the FDA until 12 years after the original reference biological product was approved under a BLA. The law is complex and is still being interpreted and implemented by the FDA. As a result, its ultimate impact, implementation, and meaning are subject to uncertainty.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any of our product candidates approved as a biological product under a BLA should qualify for the 12-year period of exclusivity available to reference biological products. However, there is a risk that this exclusivity could be shortened due to congressional action or otherwise, or that the FDA will not consider our product candidates to be reference biological products pursuant to its interpretation of the exclusivity provisions of the BPCIA for competing products, potentially creating the opportunity for generic follow-on biosimilar competition sooner than anticipated. Moreover, the extent to which a biosimilar product, once approved, will be substituted for any one of our reference products in a way that is similar to traditional generic substitution for non-biological products is not yet clear, and will depend on a number of marketplace and regulatory factors that are still developing including whether a future competitor seeks an interchangeability designation for a biosimilar of one of our products. Under the BPCIA as well as state pharmacy laws, only interchangeable biosimilar products are considered substitutable for the reference biological product without the intervention of the healthcare provider who prescribed the original biological product. However, as with all prescribing decisions made in the context of a patient-provider relationship and a patient’s specific medical needs, healthcare providers are not restricted from prescribing biosimilar products in an off-label manner. In addition, a competitor could decide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forego the abbreviated approval pathway available for biosimilar products and to submit a full BLA for product licensure after completing its own preclinical studies and clinical trials. In such a situation, any exclusivity to which we may be eligible under the BPCIA would not prevent the competitor from marketing its biological product as soon as it is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the CREATES Act established a private cause of action that permits a follow-on product developer to sue the brand manufacturer to compel it to furnish necessary samples of a reference product on “commercially reasonable, market-based terms.” If follow-on product developers request samples of any product candidates for which we receive marketing approval in order to conduct comparative testing to support one or more applications for a follow-on version of our products, and we refuse any such request, we may be subject to litigation under the CREATES Act. Although lawsuits have been filed under the CREATES Act since its enactment, those lawsuits have settled privately; therefore, to date, no federal court has reviewed or opined on the statutory language and there continues to be uncertainty regarding the scope and application of the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Europe, the European Commission has granted marketing authorizations for several biosimilar products pursuant to a set of general and product class-specific guidelines for biosimilar approvals issued over the past few years. In addition, companies may be developing biosimilar products in other countries that could compete with our products,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competitors are able to obtain marketing approval for biosimilars referencing our product candidates, if approved, our future products may become subject to competition from such biosimilars, whether or not they are designated as interchangeable, with the attendant competitive pressure and potential adverse consequences. Such competitive products may be able to immediately compete with us in each indication for which our product candidates may have received approval.</w:t>
      </w:r>
    </w:p>
    <w:p>
      <w:pPr>
        <w:pStyle w:val="TextBody"/>
        <w:bidi w:val="0"/>
        <w:jc w:val="left"/>
        <w:rPr>
          <w:rFonts w:ascii="Times New Roman" w:hAnsi="Times New Roman"/>
          <w:sz w:val="20"/>
        </w:rPr>
      </w:pPr>
      <w:r>
        <w:rPr>
          <w:rFonts w:ascii="Times New Roman" w:hAnsi="Times New Roman"/>
          <w:b/>
          <w:color w:val="000000"/>
          <w:sz w:val="20"/>
        </w:rPr>
        <w:t>Risks Related to Our Business Operations and Employees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failure to attract and retain senior management and key scientific personnel may prevent us from successfully developing our product candidates or any future product candidate, conducting our clinical trials and commercializing any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part on our ability to attract, retain and motivate highly qualified management, clinical and scientific personnel. 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 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employees, independent contractors, principal investigators, CROs, consultants and collaborators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 (1) 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identified a material weakness in our internal control over financial reporting as of December 31, 2024, due to an ineffective internal information and communication process related to significant and non-routine transactions to ensure that relevant and reliable information was communicated on a timely basis across the organization, to enable financial personnel to effectively carry out their financial reporting and internal control roles and responsibilities. If we are not able to remediate this material weakness, or if we experience additional material weaknesses or other deficiencies in our internal control over financial reporting in the future or otherwise fail to maintain an effective system of internal control over financial reporting, we may not be able to accurately or timely report our financial results or prevent fraud, and we may conclude that our internal control over financial reporting is not effective, which may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internal control over financial reporting is necessary for us to provide reliable financial reports and, together with adequate disclosure controls and procedures, is designed to prevent fraud. Any failure to maintain or implement required new or improved controls, or difficulties encountered in implementation could cause us to fail to meet our reporting obligations. In addition, any testing by us, as and when required, conducted in connection with Section 404 of the Sarbanes-Oxley Act, or Section 404, or any testing by our independent registered public accounting firm may reveal deficiencies in our internal control over financial reporting that are deemed to be material weaknesses or that may require prospective or retroactive changes to our consolidated financial statements or identify other areas for further attention or improvement.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disclosed in this Annual Report on Form 10-K, we identified a material weakness in our internal control over financial reporting as of December 31, 2024.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Specifically, our management concluded that we did not have an effective internal information and communication process to ensure that relevant and reliable information was communicated on a timely basis across the organization, to enable financial personnel to effectively carry out their financial reporting and internal control roles and responsibilities. The failure, relating to significant and non-routine transactions, resulted in a misstatement of our warrant liabilities, transaction costs, change in fair value of warrant liabilities, additional paid-in-capital, accumulated deficit and certain related financial disclosures. This material weakness resulted in the correction of our consolidated financial statements as of and for the year ended December 31, 2023, and for the quarterly periods ended March 31, 2024 and June 30, 2024. For further discussion of the material weakness, see Part II, Item 9A,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taken and plan to continue to take actions to remediate this material weakness, including (i) strengthening our formal accounting policies, procedures and controls over accounting for significant and non-routine transactions with a focus on ensuring the analysis is complete and includes each of the material components of the transaction; (ii) specific oversight procedures, including the requirement of the finance staff and consultants, to attend any and all meetings regarding significant and non-routine transactions; and (iii) specific review procedures, requiring review of all documents pertaining to significant and non-routine transactions by both finance staff and consultants. However, we cannot provide assurance that we will be able to correct this material weakness in a timely manner or that our remediation efforts will be adequate to allow us to conclude that our internal control over financial reporting will be effective in the future. Even if this material weakness is remediated in the future, we could identify additional material weaknesses or deficiencies in our internal control over financial reporting that could require correction or remediation.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conclusion that we have a material weakness could give rise to increased scrutiny, review, audit and investigation over our accounting controls and procedures, which could then lead to additional areas of deficiency or errors in our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continue to dedicate internal resources, engage outside consultants and maintain a detailed work plan to assess and document the adequacy of internal control over financial reporting, continue steps to remediate the material weakness relating to our internal information and communication process described above relating to significant and non-routine transactions, and any future control deficiencies or material weaknesses, and improve control processes as appropriate, validate through testing that controls are functioning as documented and maintain a continuous reporting and improvement process for internal control over financial reporting. If we are not able to correct material weaknesses or deficiencies in internal controls in a timely manner or otherwise comply with the requirements of Section 404 in a timely manner, our ability to record, process, summarize and report financial information accurately and within applicable time periods may be adversely affected, and we could be subject to sanctions or investigations by the SEC, the Nasdaq Stock Market or other regulatory authorities as well as stockholder litigation which, even if resolved in our favor, would require additional financial and management resources and could adversely affect the market price of our common stock. Any failure to maintain or implement required effective internal control over financial reporting, or any difficulties we encounter in their implementation, could result in additional material weaknesses, cause us to fail to meet our reporting obligations or result in material misstatements in our financial statements. Furthermore, if we cannot provide reliable financial reports or prevent fraud, our business and results of operations could be harmed. Inferior internal controls could also cause investors to lose confidence in our reported financial information, which could have a negative effect on the trading price of our common stock and could also affect our ability to raise capital to fund future business initiatives.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i/>
          <w:color w:val="000000"/>
          <w:sz w:val="20"/>
        </w:rPr>
      </w:pPr>
      <w:r>
        <w:rPr>
          <w:rFonts w:ascii="Times New Roman" w:hAnsi="Times New Roman"/>
          <w:b/>
          <w:i/>
          <w:color w:val="000000"/>
          <w:sz w:val="20"/>
        </w:rPr>
        <w:t>Our principal stockholders own a significant percentage of our stock and are able to exert significant control over matters subject to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beneficial ownership of our common stock as of February 27, 2025, our directors, together with holders of 5% or more of our common stock outstanding and their respective affiliates, beneficially own the majority of our common stock. As of February 27, 2025, affiliates of Cable Car Capital LLC (“Cable Car”) and New Enterprise Associates 14, L.P. (“NEA 14”) owned approximately 28% and 25% of our outstanding common stock, respectively. Although we are not a “controlled company” within the meaning of the corporate governance standards of the New York Stock Exchange, affiliates of Cable Car and NEA 14 are able to significantly influence our decisions,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Future sales of our common stock or securities convertible or exchangeable for our common stock may depress our stock price.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February 27, 2025, there were a total of 11,696,109 shares of our common stock outstanding.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 and vesting provisions, as applicable.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quarterly operating results may fluctuate significantly or may fall below the expectations of investors or securities analysts, each of which may cause our stock price to fluctuate or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operating results to be subject to quarterly fluctuations. Our net loss and other operating results will be affected by numerous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the level of our operating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modification or termination of government contracts or grants, and the timing of payments we receive under these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execution of any collaborative, licensing or similar arrangements, and the timing of payments we may make under these arrangements;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intellectual property infringement lawsuit or opposition, interference or cancellation proceeding in which we may become involved.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Provisions of our charter documents or Delaware law could delay or prevent an acquisition of us, even if the acquisition would be beneficial to our stockholders and could make it more difficult for you to change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classified board of directors so that not all directors are elected at one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prohibition on stockholder action through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exclusive right of our Board of Directors to elect a director to fill a vacancy created by the expansion of our Board of Directors or the resignation, death or removal of a director;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requirement that special meetings of our Stockholders be called only by our Board of Directors, the chairman of our Board of Directors, the chief executive officer or, in the absence of a chief executive officer, the president;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advance notice requirement for stockholder proposals and nominations;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authority of our Board of Directors to issue preferred stock with such terms as our Board of Directors may determine;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requirement of approval of not less than 66 2/3% of all outstanding shares of our capital stock entitled to vote to amend any bylaws by stockholder action, or to amend specific provisions of our certificate of incorporation.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amended and restated certificate of incorporation, or our amended and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charter and other provisions of Delaware law could limit the price that investors are willing to pay in the future for shares of our common stock. </w:t>
      </w:r>
    </w:p>
    <w:p>
      <w:pPr>
        <w:pStyle w:val="TextBody"/>
        <w:bidi w:val="0"/>
        <w:jc w:val="left"/>
        <w:rPr>
          <w:rFonts w:ascii="Times New Roman" w:hAnsi="Times New Roman"/>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Changes in, or interpretations of, accounting rules and regulations could result in unfavorable accounting charges or require us to change our compensation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 </w:t>
      </w:r>
    </w:p>
    <w:p>
      <w:pPr>
        <w:pStyle w:val="TextBody"/>
        <w:bidi w:val="0"/>
        <w:jc w:val="left"/>
        <w:rPr>
          <w:rFonts w:ascii="Times New Roman" w:hAnsi="Times New Roman"/>
          <w:b/>
          <w:i/>
          <w:color w:val="000000"/>
          <w:sz w:val="20"/>
        </w:rPr>
      </w:pPr>
      <w:r>
        <w:rPr>
          <w:rFonts w:ascii="Times New Roman" w:hAnsi="Times New Roman"/>
          <w:b/>
          <w:i/>
          <w:color w:val="000000"/>
          <w:sz w:val="20"/>
        </w:rPr>
        <w:t>We will continue to incur costs as a result of being a public company, and our management will continue to devote substantial time to compliance initiatives and corporate governance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have incurred and will continue to incur significant legal, accounting and other expenses. The Sarbanes-Oxley Act of 2002,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corporate governance practices.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and other personnel devote and will need to continue to devote a substantial amount of time to these compliance initiatives. Moreover, these rules and regulations have increased and will continue to increase our legal and financial compliance costs and make some activities more time-consuming and costly. For example, we expect that these rules and regulations will continue to make it more difficult and more expensive for us to maintain director and officer liability insurance, which in turn could make it more difficult for us to attract and retain qualified members of our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fail to comply with the continued listing requirements of the Nasdaq Capital Market, our common stock may be delisted and the price of our common stock and our ability to access the capital markets could be negatively impacted.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currently listed on the Nasdaq Capital Market and was previously listed on the Nasdaq Global Market. To maintain the listing of our common stock on the Nasdaq Global Market, we were required to satisfy minimum financial and other continued listing requirements and standards, including those related to the price of our common stock. On December 6, 2022, we received a written notice from the Listing Qualifications Department of the Nasdaq Stock Market (Nasdaq) notifying us that, based on the closing bid price of our common stock being below $1.00 per share for 30 consecutive business days, we no longer complied with Nasdaq’s minimum bid price requirement in Listing Rule 5450(a)(1) for continued listing on the Nasdaq Global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27, 2023, we implemented a reverse stock split of our shares of common stock, pursuant to which every fifteen (15) shares of our issued and outstanding common stock was automatically converted into one (1) issued and outstanding share of common stock without any change in the par value of $0.001 per share. The reverse stock split was approved by our stockholders on September 21, 2023 at our Special Meeting of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13, 2023, we received a written notice from the Listing Qualifications Department of Nasdaq notifying us that we had regained compliance with Listing Rule 5550(a)(2) and that this matter was closed. However, there can be no assurance that we will comply with the minimum bid price requirement in the future nor, is there any assurance that our common stock would never be delisted from Nasdaq at some future date. If our common stock were to be delisted from Nasdaq and is not eligible for quotation or listing on another market or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 Also, it may be difficult for us to raise additional capital if we are not listed on a major exchange.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5" w:name="item_1b_uresolved_staff_comments"/>
      <w:bookmarkEnd w:id="5"/>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bookmarkStart w:id="6" w:name="item_cybersecurity"/>
      <w:bookmarkEnd w:id="6"/>
      <w:r>
        <w:rPr>
          <w:rFonts w:ascii="Times New Roman" w:hAnsi="Times New Roman"/>
          <w:b/>
          <w:color w:val="000000"/>
          <w:sz w:val="20"/>
        </w:rPr>
        <w:t>Item 1C. Cybersecurity.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the critical importance of maintaining the trust and confidence of patients, business partners and employees toward our business and are committed to protecting the confidentiality, integrity and availability of our business operations and systems. Our board of directors is actively involved in oversight of our risk management activities, and cybersecurity represents an important element of our overall approach to risk management. In general, we seek to address cybersecurity risks through a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pStyle w:val="TextBody"/>
        <w:bidi w:val="0"/>
        <w:jc w:val="both"/>
        <w:rPr>
          <w:rFonts w:ascii="Times New Roman" w:hAnsi="Times New Roman"/>
          <w:b/>
          <w:i/>
          <w:color w:val="000000"/>
          <w:sz w:val="20"/>
        </w:rPr>
      </w:pPr>
      <w:r>
        <w:rPr>
          <w:rFonts w:ascii="Times New Roman" w:hAnsi="Times New Roman"/>
          <w:b/>
          <w:i/>
          <w:color w:val="000000"/>
          <w:sz w:val="20"/>
        </w:rPr>
        <w:t>Cybersecurity Risk Management and Strategy; Effect of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comprehensive cybersecurity program and work with a third party managed service provider to ensure our systems are effective and prepared for information security risks, including regular oversight of our programs for security monitoring for internal and external threats to ensure the confidentiality and integrity of our information assets. We consider risks from cybersecurity threats alongside other company risks as part of our overall risk assessment process. We and our third-party partners employ a range of tools and services, including regular network and endpoint monitoring and protection, audits, vulnerability assessments, and penetration testing, to inform our risk identification and assessment. As discussed in more detail under “Cybersecurity Governance; Management” below, our audit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committee provides oversight of our cybersecurity risk management and strategy processes, which are led by our Principal Executive Officer and Principal Financial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identify our cybersecurity threat risks by using the services of a managed services provider. To provide for the availability of critical data and systems, maintain regulatory compliance, manage our material risks from cybersecurity threats, and protect against and respond to cybersecurity incidents, we undertake the following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monitor as appropriate emerging data protection laws and industry literature and implement changes to our processes that are designed to comply with such laws if needed;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through our policies, practices and contracts (as applicable), require employees, as well as third parties that provide services on our behalf, to treat confidential information and data with care;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employ technical safeguards that are designed to protect our information systems from cybersecurity threats, including redundant firewalls, intrusion prevention and detection systems, multi-factor authentication, encryption, anti-malware functionality and access controls;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annual and routine mandatory training utilizing Knowbe4 (leading security awareness training module) for our employees and contractors regarding cybersecurity threats as a means to equip them with effective tools to address cybersecurity threats, and to communicate our evolving information security policies, standards, processes and practices;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 phishing email simulations for employees and contractors with access to our email systems to enhance awareness and responsiveness to possible threats;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utilize a managed services provider to help us identify, protect, detect, respond and recover when there is an actual or potential cybersecurity incident;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carry information security risk insurance that provides protection against the potential losses arising from a cybersecurity incident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incident response plan coordinates the activities we, in concert with our third party managed services provider,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processes also address cybersecurity threat risks associated with our use of third-party service providers, including our suppliers and manufacturers or who have access to patient and employee data or our systems. In addition, cybersecurity considerations affect the selection and oversight of our third-party service providers. We perform diligence on third parties that have access to our systems, data or facilities that house such systems or data, including through vendor security questionnaires as appropriate.</w:t>
      </w:r>
    </w:p>
    <w:p>
      <w:pPr>
        <w:pStyle w:val="TextBody"/>
        <w:bidi w:val="0"/>
        <w:spacing w:before="120" w:after="283"/>
        <w:jc w:val="left"/>
        <w:rPr>
          <w:rFonts w:ascii="Times New Roman" w:hAnsi="Times New Roman"/>
          <w:sz w:val="20"/>
        </w:rPr>
      </w:pPr>
      <w:r>
        <w:rPr>
          <w:rFonts w:ascii="Times New Roman" w:hAnsi="Times New Roman"/>
          <w:color w:val="000000"/>
          <w:sz w:val="20"/>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t>
      </w:r>
      <w:r>
        <w:rPr>
          <w:rFonts w:ascii="Times New Roman" w:hAnsi="Times New Roman"/>
          <w:i/>
          <w:color w:val="000000"/>
          <w:sz w:val="20"/>
        </w:rPr>
        <w:t>Our internal computer systems, or those of our collaborators or other contractors or consultants, may fail or suffer cybersecurity incidents, which could result in a material disruption of our product development programs,”</w:t>
      </w:r>
      <w:r>
        <w:rPr>
          <w:rFonts w:ascii="Times New Roman" w:hAnsi="Times New Roman"/>
          <w:color w:val="000000"/>
          <w:sz w:val="20"/>
        </w:rPr>
        <w:t xml:space="preserve"> which disclosures are incorporated by reference herein. In the last three fiscal years, we have not experienced any cybersecurity incidents which have materially affected or are reasonably likely to materially affect our business strategy, results of operations or financial condition.</w:t>
      </w:r>
    </w:p>
    <w:p>
      <w:pPr>
        <w:pStyle w:val="TextBody"/>
        <w:bidi w:val="0"/>
        <w:jc w:val="both"/>
        <w:rPr>
          <w:rFonts w:ascii="Times New Roman" w:hAnsi="Times New Roman"/>
          <w:b/>
          <w:i/>
          <w:color w:val="000000"/>
          <w:sz w:val="20"/>
        </w:rPr>
      </w:pPr>
      <w:r>
        <w:rPr>
          <w:rFonts w:ascii="Times New Roman" w:hAnsi="Times New Roman"/>
          <w:b/>
          <w:i/>
          <w:color w:val="000000"/>
          <w:sz w:val="20"/>
        </w:rPr>
        <w:t>Cybersecurity Governance;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Cybersecurity is an important part of our risk management processes and an area of focus for our board of directors and management. Our board of directors executes its oversight responsibility for risk management both directly and through delegating oversight of certain of these risks to its committees, and our board of directors has authorized our audit committee to oversee risks from cybersecurity threats.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least annually and on a periodic basis, our audit committee receives an update from management on our cybersecurity threat risk management and strategy processes and generally receives materials on our ability to mitigate current and emerging risks. Our processes require that our audit committee is designated to receive prompt and timely information regarding any cybersecurity incident that meets establishing reporting thresholds, as well as ongoing updates regarding any such incident until it has been addressed.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cybersecurity risk management and strategy processes, which are discussed in greater detail above, are led by the Company's Principal Executive Officer and Principal Financial Officer, along with the Company’s managed services provider, which monitors the prevention, mitigation, detection, and remediation of cybersecurity incidents through their management of, and participation in, the cybersecurity risk management and strategy processes described above, including the operation of our incident response plan. As discussed above, the Company's Principal Executive Officer and Principal Financial Officer reports to the audit committee of our board of directors about cybersecurity threat risks, among other cybersecurity related matters, on an annual basis.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June 26, 2024, our corporate headquarters and operations were located in Cambridge, Massachusetts.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described further under </w:t>
      </w:r>
      <w:r>
        <w:rPr>
          <w:rFonts w:ascii="Times New Roman" w:hAnsi="Times New Roman"/>
          <w:i/>
          <w:color w:val="000000"/>
          <w:sz w:val="20"/>
        </w:rPr>
        <w:t>Note 8: Restructuring and Other Charges</w:t>
      </w:r>
      <w:r>
        <w:rPr>
          <w:rFonts w:ascii="Times New Roman" w:hAnsi="Times New Roman"/>
          <w:color w:val="000000"/>
          <w:sz w:val="20"/>
        </w:rPr>
        <w:t xml:space="preserve">, in connection with the corporate restructuring, on June 26, 2024 (the “Termination Date”), the Company entered into a Lease Termination Agreement (the “Termination Agreement”) for its corporate headquarters at 301 Binney Street in Cambridge, Massachusetts, with the landlord which, effective immediately, terminated the lease.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official address of our corporate headquarters and operations is P.O. Box 30, Winchester, Massachusetts 01890. We believe that our existing office space is adequate to meet current requirements, and that suitable additional or substitute space will be available as needed to accommodate our operations. </w:t>
      </w:r>
    </w:p>
    <w:p>
      <w:pPr>
        <w:pStyle w:val="TextBody"/>
        <w:bidi w:val="0"/>
        <w:spacing w:before="120" w:after="283"/>
        <w:jc w:val="left"/>
        <w:rPr/>
      </w:pPr>
      <w:r>
        <w:rPr/>
        <w:t> </w:t>
      </w:r>
    </w:p>
    <w:p>
      <w:pPr>
        <w:pStyle w:val="TextBody"/>
        <w:bidi w:val="0"/>
        <w:jc w:val="left"/>
        <w:rPr>
          <w:rFonts w:ascii="Times New Roman" w:hAnsi="Times New Roman"/>
          <w:sz w:val="20"/>
        </w:rPr>
      </w:pPr>
      <w:bookmarkStart w:id="8" w:name="item_3_legal_proceedings"/>
      <w:bookmarkEnd w:id="8"/>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are subject to various legal proceedings, claims and administrative proceedings that arise in the ordinary course of our business activities. Although the results of the litigation and claims cannot be predicated with certainty, as of the date of this report, we do not believe we are party to any claim, proceeding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pStyle w:val="TextBody"/>
        <w:bidi w:val="0"/>
        <w:jc w:val="left"/>
        <w:rPr/>
      </w:pPr>
      <w:r>
        <w:rPr/>
        <w:t> </w:t>
      </w:r>
    </w:p>
    <w:p>
      <w:pPr>
        <w:pStyle w:val="TextBody"/>
        <w:bidi w:val="0"/>
        <w:jc w:val="left"/>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10" w:name="part_ii"/>
      <w:bookmarkEnd w:id="10"/>
      <w:r>
        <w:rPr>
          <w:rFonts w:ascii="Times New Roman" w:hAnsi="Times New Roman"/>
          <w:b/>
          <w:color w:val="000000"/>
          <w:sz w:val="20"/>
        </w:rPr>
        <w:t>PART II</w:t>
      </w:r>
    </w:p>
    <w:p>
      <w:pPr>
        <w:pStyle w:val="TextBody"/>
        <w:bidi w:val="0"/>
        <w:spacing w:before="240" w:after="283"/>
        <w:jc w:val="left"/>
        <w:rPr>
          <w:rFonts w:ascii="Times New Roman" w:hAnsi="Times New Roman"/>
          <w:sz w:val="20"/>
        </w:rPr>
      </w:pPr>
      <w:bookmarkStart w:id="11" w:name="item_5_market_for_registrants_common_equ"/>
      <w:bookmarkEnd w:id="11"/>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has been traded on The Nasdaq Capital Market under the symbol “SYBX” since August 28, 2017, prior to which it was traded under the symbol “MIRN.”</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27, 2025, there were approximately 67 stockholders of record of our common stock.</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dividends to our stockholders since our inception, and we do not plan to declare or pay cash dividends in the foreseeable future. We currently anticipate that we will retain any future earnings for the operation and expansion of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repurchases of common stock during the quarter ended December 31, 2024.</w:t>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2" w:name="item_6_reserved"/>
      <w:bookmarkEnd w:id="12"/>
      <w:r>
        <w:rPr>
          <w:rFonts w:ascii="Times New Roman" w:hAnsi="Times New Roman"/>
          <w:b/>
          <w:color w:val="000000"/>
          <w:sz w:val="20"/>
        </w:rPr>
        <w:t>Item 6. [Reserved.]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13" w:name="item_7_managements_discussion_analysis_f"/>
      <w:bookmarkEnd w:id="13"/>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Forward-Looking Information</w:t>
      </w:r>
    </w:p>
    <w:p>
      <w:pPr>
        <w:pStyle w:val="TextBody"/>
        <w:bidi w:val="0"/>
        <w:spacing w:before="120" w:after="283"/>
        <w:jc w:val="left"/>
        <w:rPr>
          <w:rFonts w:ascii="Times New Roman" w:hAnsi="Times New Roman"/>
          <w:sz w:val="20"/>
        </w:rPr>
      </w:pPr>
      <w:r>
        <w:rPr>
          <w:rFonts w:ascii="Times New Roman" w:hAnsi="Times New Roman"/>
          <w:i/>
          <w:color w:val="000000"/>
          <w:sz w:val="20"/>
        </w:rPr>
        <w:t>The Risk Factors in Part I, Item 1A of this Annual Report on Form 10-K, the audited financial statements and accompanying notes, included elsewhere in this Annual Report on Form 10-K, and this Management's Discussion and Analysis of Financial Condition and Results of Operations should be read together. In addition to historical information, this discussion and analysis contains forward-looking statements within the meaning of Section 27A of the Securities Act, and Section 21E of the Exchange Act. Operating results are not necessarily indicative of results that may occur for the full fiscal year or any other future period.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biopharmaceutical company that advanced novel therapeutics to transform the care of serious diseases. We focused on rare metabolic disorders, with our lead program, labafenogene marselecobac ("SYNB1934"), studied in Synpheny-3, a global, pivotal Phase 3 study for patients with phenylketonuria ("PKU”), and SYNB1353, a potential treatment for homocystinuria (“HCU”). Both PKU and HCU are caused by inborn errors of metabolism, and present significant need for innovation due to limitations of both efficacy and safety in the currently available medical treatment options.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we made the decision to discontinue Synpheny-3, our pivotal study of our lead product candidate, labafenogene marselecobac (SYNB1934), as a potential treatment for PKU. The decision to end Synpheny-3 is based on results of an internal review in advance of an upcoming independent Data Monitoring Committee (“DMC”) assessment, which indicated the trial was unlikely to meet its primary endpoint. The decision was not based on concerns regarding safety or tolerability. We have completed the discontinuation with all of the Synpheny-3 clinical trial sites. As a result, our current corporate strategy is focused on pursuing strategic initiatives to enhance stockholder value, including, but not limited to, a merger or the sale of the Company. Our strategic process is both active and ongoing and includes a range of interactions with transaction counterparties. Thus, we believe it is in our stockholders’ best interest to allow sufficient opportunity to pursue and consummate one or more such transactions and to consider additional alternatives that may materialize in the future. However, there can be no assurance that such activities will result in any agreements or transactions that will enhance shareholder value. Further, any strategic transaction that is completed ultimately may not deliver the anticipated benefits or enhance shareholder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early-stage pipeline included product candidates for enteric hyperoxaluria, gout, and cystinuria, and was fueled by a reproducible, proprietary approach that creates GI-restricted, oral medicines with new enzymatic pathways designed to consume or produce specific biological targets. We design, develop and manufacture these drug candidates, which are produced by applying genetic engineering to well-characterized probiotics.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drug candidates are designed through precise engineering to target validated biological pathways in the pathophysiology of a given disease. By using a probiotic to deliver these new enzymatic pathways, the activity is restricted to the gastrointestinal (“GI”) tract, avoiding systemic exposure and associated risks that limit the success of other modalities. Our pipeline programs are all based on the same probiotic Escherichia coli Nissle 1917, which provides synergies across programs, as well as more than one hundred years of human dosing experience. Our drug candidates are engineered to be non-colonizing, and fully reversible via GI clearance. These potential biopharmaceuticals are all orally administered, conducive to straightforward shipping, distribution and storage. For manufacturing, our platform leverages processes with familiar foundations, including fermentation and lyophilization, facilitating process design and scale-up, combined with unique and proprietary innovations tailored to our unique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founding, based upon technology from the Massachusetts Institute of Technology (“MIT”) in 2014, we progressed a pipeline of multiple drug candidates across different stages,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Labafenogene marselecobac (SYNB1934), which was being studied in Synpheny-3, a pivotal, Phase 3 study for the treatment of patients with PKU;</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SYNB1353, a potential treatment for HCU, has achieved proof of mechanism in a Phase 1 study in healthy volunteers;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research activities on a potential drug candidate for cystinuria, a rare, genetic cause of recurrent kidney stones which is also caused by an underlying metabolic disorder;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SYNB2081, a drug candidate for gout which was in IND-enabling studies;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Preclinical research focused on novel, locally-acting, GI-restricted biotherapeutics for indications in inflammatory bowel disease (“IBD”).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Business 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operate in one reportable business segment—the discovery and development of Synthetic Biotics. To date, we have dedicated substantially all of our activities to the research and development of our product candidates. We have funded our operations to date primarily with proceeds from the sale of preferred stock, common stock, preferred units, warrants, payments received under the Roche Collaboration and Option Agreement, prior collaborations, interest earned on investments, and cash received in the Merger.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generated any revenue to date from product sales and have incurred significant operating losses since our inception. We have incurred net losses of approximately $23.4 million and $61.3 million for the years ended December 31, 2024 and 2023, respectively. As of December 31, 2024 and 2023, we had an accumulated deficit of approximately $441.7 million and $418.3 million, respectively, and we expect to incur losses for the foreseeable future as we develop our product candidates and explore strategic alternatives. Historically, our expenses and capital requirements have increased substantially in connection with our research and development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Completed preclinical studies, initiated and completed clinical trials for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Contracted to manufacture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Advanced research and development related activities to expand our product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Sought regulatory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Maintained, expanded and protected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Hired additional staff, including clinical, scientific, commercial and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Expanded our existing infrastructure and secure space in a facility to support continued growth in our research and development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Added operational and finance personnel to support product development efforts and to support operating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finance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Effects of Inflation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believe that inflation has had a material impact on our business or operating results during the periods presented. However, inflationary costs could adversely affect our business, financial condition and results of operations. Increased inflation has had, and may continue to have, an effect on interest rates. Increased interest rates may adversely affect our borrowing rate and our ability to obtain, or the terms under which we can obtain, any potential additional funding.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Revenue was previously generated through a collaboration and option agreement with Roche for the development and commercialization of product candidates. The Roche Collaboration and Option Agreement concluded after we achieved the last milestone under the Roche Collaboration and Option Agreement in October 2023. Subsequently, Roche did not exercise its exclusive option to enter into a licensing and collaboration agreement for further development and commercialization of the product candidate. See Note 11, </w:t>
      </w:r>
      <w:r>
        <w:rPr>
          <w:rFonts w:ascii="Times New Roman" w:hAnsi="Times New Roman"/>
          <w:i/>
          <w:color w:val="000000"/>
          <w:sz w:val="20"/>
        </w:rPr>
        <w:t>Collaboration Agreements:</w:t>
      </w:r>
      <w:r>
        <w:rPr>
          <w:rFonts w:ascii="Times New Roman" w:hAnsi="Times New Roman"/>
          <w:color w:val="000000"/>
          <w:sz w:val="20"/>
        </w:rPr>
        <w:t xml:space="preserve"> </w:t>
      </w:r>
      <w:r>
        <w:rPr>
          <w:rFonts w:ascii="Times New Roman" w:hAnsi="Times New Roman"/>
          <w:i/>
          <w:color w:val="000000"/>
          <w:sz w:val="20"/>
        </w:rPr>
        <w:t>Roche Collaboration</w:t>
      </w:r>
      <w:r>
        <w:rPr>
          <w:rFonts w:ascii="Times New Roman" w:hAnsi="Times New Roman"/>
          <w:color w:val="000000"/>
          <w:sz w:val="20"/>
        </w:rPr>
        <w:t xml:space="preserve"> in the notes to the consolidated financial statements appearing elsewhere in this Annual Report on Form 10-K for a full discussion of this arrangement.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benefits and other employee related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Supplies to support our internal research and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related facility and depreciation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Leased manufacturing space;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 costs relating to research, process and formulation development, preclinical and clinical studies and regulatory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successful development of our product candidates is highly uncertain and subject to a number of risks. Refer to the risk factors under the heading </w:t>
      </w:r>
      <w:r>
        <w:rPr>
          <w:rFonts w:ascii="Times New Roman" w:hAnsi="Times New Roman"/>
          <w:i/>
          <w:color w:val="000000"/>
          <w:sz w:val="20"/>
        </w:rPr>
        <w:t>Risks Related to the Development of Our Product Candidates</w:t>
      </w:r>
      <w:r>
        <w:rPr>
          <w:rFonts w:ascii="Times New Roman" w:hAnsi="Times New Roman"/>
          <w:color w:val="000000"/>
          <w:sz w:val="20"/>
        </w:rPr>
        <w:t xml:space="preserve"> in Part I, Item 1A, found elsewhere in this Annual Report on Form 10-K.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activities have historically accounted for a significant portion of our operating expenses. We expect our research and development expenses to continue to decrease in the near future as we have discontinued our Synpheny-3 clinical trial and are evaluating strategic options for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 research and development and, as such, are separately classified. </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compensation, benefits and other employee-related expenses for personnel in our administrative, finance, legal, information technology, investor relations, business development and human resource functions. Other general and administrative costs include the legal costs of pursuing patent protection of our intellectual property, facility and information technology infrastructure costs, directors’ and officers’ insurance, and professional fees for accounting, tax, legal and consulting services. We anticipate that our general and administrative expenses may increase in the future as we explore strategic alternatives, including potential legal, accounting and advisory expenses and other related charges. We also anticipate that we will continue to incur accounting, legal, regulatory, compliance and director and officer insurance costs as well as investor and public relations expenses associated with being a public company.</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Restructuring and Other Charges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February 2024, we made the decision to discontinue Synpheny-3, our pivotal study of our lead product candidate, labafenogene marselecobac (SYNB1934), as a potential treatment for PKU. As a result, we started to undertake certain operational and organizational steps in connection with a strategic reorganization plan and related cost-saving measures. We initiated a plan to review strategic alternatives in which we substantially reduced our operations and reduced the workforce, leaving one remaining full-time employee, in addition to consultants, to, among other things, support the strategic review process and current business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investment income consists of income earned on investments. Interest expense consists of expense related to our finance leases. Other income (expense) consists primarily of gains and losses on foreign currency invoices and gains and losses on remeasurement of the purchase warrant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discussion and analysis of our financial condition and results of operations is based upon our consolidated financial statements prepared in accordance with generally accepted accounting principles in the U.S. (GAAP). The preparation of these financial statements requires us to make certain estimates and assumptions that affect the reported amounts of assets and liabilities, the reported amounts of revenues and expenses during the reported periods and related disclosures. These estimates and assumptions, including those related to revenue recognition and research and development expenses are monitored and analyzed by us for changes in facts and circumstances, and material changes in these estimates could occur in the future. These critical estimates and assumptions are based on our historical experience, our observance of trends in the industry, and various other factors that are believed to be reasonable under the circumstances and form the basis for making judgments about the carrying values of assets and liabilities that are not readily apparent from other sources. Actual results may differ from our estimates under different assumptions or conditions.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believe that the application of the following accounting policies, each of which require significant judgments and estimates on the part of management, are the most critical to aid in fully understanding and evaluating our reported financial results. Our significant accounting policies are more fully described in Note 2, </w:t>
      </w:r>
      <w:r>
        <w:rPr>
          <w:rFonts w:ascii="Times New Roman" w:hAnsi="Times New Roman"/>
          <w:i/>
          <w:color w:val="000000"/>
          <w:sz w:val="20"/>
        </w:rPr>
        <w:t>Summary of Significant Accounting Policies</w:t>
      </w:r>
      <w:r>
        <w:rPr>
          <w:rFonts w:ascii="Times New Roman" w:hAnsi="Times New Roman"/>
          <w:color w:val="000000"/>
          <w:sz w:val="20"/>
        </w:rPr>
        <w:t>, to our consolidated financial statements appearing elsewhere in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evaluate collaboration agreements with respect to FASB ASC Topic 808, </w:t>
      </w:r>
      <w:r>
        <w:rPr>
          <w:rFonts w:ascii="Times New Roman" w:hAnsi="Times New Roman"/>
          <w:i/>
          <w:color w:val="000000"/>
          <w:sz w:val="20"/>
        </w:rPr>
        <w:t>Collaborative Arrangements</w:t>
      </w:r>
      <w:r>
        <w:rPr>
          <w:rFonts w:ascii="Times New Roman" w:hAnsi="Times New Roman"/>
          <w:color w:val="000000"/>
          <w:sz w:val="20"/>
        </w:rPr>
        <w:t>, considering the nature and contractual terms of the arrangement and the nature of our business operations to determine the classification of the transactions. When we are an active participant in the activity and exposed to significant risks and rewards dependent on the commercial success of the collaboration, we will record our transactions on a gross basis in the consolidated financial statements and describe the rights and obligations under the collaborative arrangement in the notes to the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five-step analysis: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analysis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assesses whether each promised good or service is distinct. We then recognize as revenue the amount of the transaction price that is allocated to the respective performance obligation when (or as) the performance obligation is satisfied.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enter into collaboration agreements for research and development services, under which we may license certain rights to our product candidates to third parties. The terms of these arrangements typically include payment to us of one or more of the following: non-refundable, upfront license fees; reimbursement of certain costs; customer option exercise fees; development, regulatory and commercial milestone payments; and royalties on net sales of licensed products. Variable consideration is constrained until it is deemed to not be at a significant risk of reversal.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determining the appropriate amount of revenue to be recognized as we fulfill our obligations under each of our agreements for which the collaboration partner is also a customer,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As part of the accounting for these arrangements, we must use significant judgment to determine: a) the number of performance obligations based on the determination under step (ii) above; b) the transaction price under step (iii) above; and c) the contract term and pattern of satisfaction of the performance obligations under step (v) above. We use significant judgment to determine whether milestones or other variable consideration, except for royalties, should be included in the transaction price as described further below. The transaction price is allocated to the goods and services we expect to provide. We use estimates to determine the timing of satisfaction of performance obligations, which may include the use of full-time equivalent time as a measure of satisfaction of performance obligations.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Amounts received prior to satisfying the revenue recognition criteria are recorded as deferred revenue in our consolidated balance sheets.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net of current portion. </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Licenses of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assessing whether a promise or performance obligation is distinct from the other promises, we consider factors such as the research, manufacturing and commercialization capabilities of the customer and the availability of the associated expertise in the general marketplace. In addition, we consider whether the customer can benefit from a promise for its intended purpose without the receipt of the remaining promises, whether the value of the promise is dependent on the unsatisfied promise, whether there are other vendors that could provide the remaining promise, and whether it is separately identifiable from the remaining promise. For licenses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Research and Development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arrangement is determined to contain a promise or obligation for us to perform research and development services, we must determine whether these services are distinct from the other promises in the arrangement. In assessing whether the services are distinct from the other promises, we consider the capabilities of the customer to perform these same services. In addition, we consider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research and development services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The estimates we use to record revenue relating to the combined performance obligation on an over time basis, include input methods such as full-time equivalent time incurred compared to the full-time equivalent time expected to be incurred in the future to satisfy the performance obligation, which require management judgment. We evaluate the measure of progress each reporting period and, if necessary, adjust the measure of performance and related revenue recognition. With this method, we must estimate total inputs required to satisfy a performance obligation and measure efforts expended to date to determine revenue recognition. This estimate of remaining inputs is subjective, as the research is novel, and therefore efforts to be successful may be different than the estimated efforts at the balance sheet date. </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Customer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We evaluate the customer options for material rights, that is, the option to acquire additional goods or services for free or at a discount. If the customer options are determined to represent a material right, the material right is recognized as a separate performance obligation at the outset of the arrangement. We allocate the transaction price to material rights based on an alternative approach when the goods or services are both (i) similar to the original goods and services in the contract and (ii) provided in accordance with the terms of the original contract. Under this alternative, we allocate the total amount of consideration expected to be received from the customer to the total goods or services expected to be provided to the customer. Amounts allocated to a material right are not recognized as revenue until the option is exercised and the performance obligation is satisfied.</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Milestone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inception of each arrangement that includes milestone payments, we evaluate whether a significant reversal of cumulative revenue provided in conjunction with achieving the milestones is probable and estimate the amount to be included in the transaction price using the most likely amount method. If it is probable that a significant reversal of cumulative revenue would not occur, the associated milestone value is included in the transaction price. Milestone payments that are not within our control or the licensee, such as regulatory approvals, are not considered probable of being achieved until those approvals are received. For other milestones, we evaluate factors such as the scientific, clinical, regulatory, commercial, and other risks that must be overcome to achieve the particular milestone in making this assessment. There is considerable judgment involved in determining whether it is probable that a significant reversal of cumulative revenue would not occur. At the end of each subsequent reporting period, we reevaluate the probability of achievement of all milestones subject to constraint and, if necessary, adjusts our estimate of the overall transaction price. Any such adjustments are recorded on a cumulative catch-up basis, which would affect revenues and earnings in the period of adjustment.</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Royalties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arrangements that include sales-based royalties, including milestone payments based on a level of sales, and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licensing arrangements.</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Contract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as an asset the incremental costs of obtaining a contract with a customer if the costs are expected to be recovered. As a practical expedient, we recognize the incremental costs of obtaining a contract as an expense when incurred if the amortization period of the asset that we otherwise would have recognized is one year or less. To date, we have not incurred any incremental costs of obtaining a contract with a customer.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research and development expenses are expensed as incurred. Research and development expenses comprise costs incurred in performing research and development activities, including compensation, benefits and other employee costs; equity</w:t>
        <w:noBreakHyphen/>
        <w:t>based compensation expense; laboratory and clinical supplies and other direct expenses; facilities expenses; overhead expenses; fees for contractual services, including preclinical studies, clinical trials, clinical manufacturing and raw materials; and other external expenses. Nonrefundable advance payments for research and development activities are capitalized and expensed over the related service period or as goods are received and services are performed.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Warrants are accounted for as either derivative liabilities or as equity instruments depending on the specific terms of the agreement. Warrants that are equity-classified instruments and recorded in additional paid-in capital at issuance are not subject to remeasurement. The purchase warrants issued in October 2023 are liability classified and recorded at fair value using the Black-Scholes option-pricing model at issuance, with any subsequent changes in fair value recognized in the consolidated statements of operations. We periodically evaluate changes in facts and circumstances that could impact the classification of warrants.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summarizes the key factors our management believes are necessary for an understanding of our consolidated financial results.</w:t>
      </w:r>
    </w:p>
    <w:p>
      <w:pPr>
        <w:pStyle w:val="TextBody"/>
        <w:bidi w:val="0"/>
        <w:jc w:val="left"/>
        <w:rPr/>
      </w:pPr>
      <w:r>
        <w:rPr/>
        <w:t> </w:t>
      </w:r>
    </w:p>
    <w:tbl>
      <w:tblPr>
        <w:tblW w:w="7808" w:type="dxa"/>
        <w:jc w:val="left"/>
        <w:tblInd w:w="0" w:type="dxa"/>
        <w:tblLayout w:type="fixed"/>
        <w:tblCellMar>
          <w:top w:w="28" w:type="dxa"/>
          <w:left w:w="28" w:type="dxa"/>
          <w:bottom w:w="28" w:type="dxa"/>
          <w:right w:w="28" w:type="dxa"/>
        </w:tblCellMar>
      </w:tblPr>
      <w:tblGrid>
        <w:gridCol w:w="4496"/>
        <w:gridCol w:w="211"/>
        <w:gridCol w:w="1036"/>
        <w:gridCol w:w="166"/>
        <w:gridCol w:w="146"/>
        <w:gridCol w:w="211"/>
        <w:gridCol w:w="931"/>
        <w:gridCol w:w="611"/>
      </w:tblGrid>
      <w:tr>
        <w:trPr/>
        <w:tc>
          <w:tcPr>
            <w:tcW w:w="4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Restructuring and other charges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and investment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 in fair value of purchase warrant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(61,259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 per share -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12,196,209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6,502,279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(loss) gain on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(61,106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Year Ended December 31, 2024 Compared to Year Ended December 31, 2023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tbl>
      <w:tblPr>
        <w:tblW w:w="4976" w:type="dxa"/>
        <w:jc w:val="left"/>
        <w:tblInd w:w="0" w:type="dxa"/>
        <w:tblLayout w:type="fixed"/>
        <w:tblCellMar>
          <w:top w:w="28" w:type="dxa"/>
          <w:left w:w="28" w:type="dxa"/>
          <w:bottom w:w="28" w:type="dxa"/>
          <w:right w:w="28" w:type="dxa"/>
        </w:tblCellMar>
      </w:tblPr>
      <w:tblGrid>
        <w:gridCol w:w="841"/>
        <w:gridCol w:w="146"/>
        <w:gridCol w:w="233"/>
        <w:gridCol w:w="233"/>
        <w:gridCol w:w="146"/>
        <w:gridCol w:w="146"/>
        <w:gridCol w:w="211"/>
        <w:gridCol w:w="571"/>
        <w:gridCol w:w="146"/>
        <w:gridCol w:w="146"/>
        <w:gridCol w:w="211"/>
        <w:gridCol w:w="631"/>
        <w:gridCol w:w="166"/>
        <w:gridCol w:w="146"/>
        <w:gridCol w:w="146"/>
        <w:gridCol w:w="481"/>
        <w:gridCol w:w="37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Revenue was $0.01 million for the year ended December 31, 2024 compared to $3.4 million for the year ended December 31, 2023. Revenue for the year ended December 31, 2024 was related to a material transfer and consulting agreement, under which work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was completed in March 2024. Revenue for the year ended December 31, 2023 was primarily related to services performed under the Roche collaboration that we entered into in June 2021. The Roche Collaboration concluded after we achieved the last milestone in October 2023. Subsequently, Roche did not exercise its exclusive option to enter into a licensing and collaboration agreement for further development and commercialization of the product candidate.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jc w:val="left"/>
        <w:rPr/>
      </w:pPr>
      <w:r>
        <w:rPr/>
        <w:t> </w:t>
      </w:r>
    </w:p>
    <w:tbl>
      <w:tblPr>
        <w:tblW w:w="8007" w:type="dxa"/>
        <w:jc w:val="left"/>
        <w:tblInd w:w="0" w:type="dxa"/>
        <w:tblLayout w:type="fixed"/>
        <w:tblCellMar>
          <w:top w:w="28" w:type="dxa"/>
          <w:left w:w="28" w:type="dxa"/>
          <w:bottom w:w="28" w:type="dxa"/>
          <w:right w:w="28" w:type="dxa"/>
        </w:tblCellMar>
      </w:tblPr>
      <w:tblGrid>
        <w:gridCol w:w="2901"/>
        <w:gridCol w:w="346"/>
        <w:gridCol w:w="211"/>
        <w:gridCol w:w="676"/>
        <w:gridCol w:w="146"/>
        <w:gridCol w:w="146"/>
        <w:gridCol w:w="211"/>
        <w:gridCol w:w="676"/>
        <w:gridCol w:w="146"/>
        <w:gridCol w:w="146"/>
        <w:gridCol w:w="211"/>
        <w:gridCol w:w="736"/>
        <w:gridCol w:w="166"/>
        <w:gridCol w:w="146"/>
        <w:gridCol w:w="146"/>
        <w:gridCol w:w="421"/>
        <w:gridCol w:w="576"/>
      </w:tblGrid>
      <w:tr>
        <w:trPr/>
        <w:tc>
          <w:tcPr>
            <w:tcW w:w="29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other charges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 was $9.2 million for the year ended December 31, 2024 compared to $44.0 million for the year ended December 31, 2023. The following table below summarizes our research and development expenses by categories of costs for the periods presented (in thousands):</w:t>
      </w:r>
    </w:p>
    <w:p>
      <w:pPr>
        <w:pStyle w:val="TextBody"/>
        <w:bidi w:val="0"/>
        <w:jc w:val="left"/>
        <w:rPr/>
      </w:pPr>
      <w:r>
        <w:rPr/>
        <w:t> </w:t>
      </w:r>
    </w:p>
    <w:tbl>
      <w:tblPr>
        <w:tblW w:w="9527" w:type="dxa"/>
        <w:jc w:val="left"/>
        <w:tblInd w:w="0" w:type="dxa"/>
        <w:tblLayout w:type="fixed"/>
        <w:tblCellMar>
          <w:top w:w="28" w:type="dxa"/>
          <w:left w:w="28" w:type="dxa"/>
          <w:bottom w:w="28" w:type="dxa"/>
          <w:right w:w="28" w:type="dxa"/>
        </w:tblCellMar>
      </w:tblPr>
      <w:tblGrid>
        <w:gridCol w:w="6151"/>
        <w:gridCol w:w="218"/>
        <w:gridCol w:w="592"/>
        <w:gridCol w:w="172"/>
        <w:gridCol w:w="151"/>
        <w:gridCol w:w="218"/>
        <w:gridCol w:w="701"/>
        <w:gridCol w:w="166"/>
        <w:gridCol w:w="211"/>
        <w:gridCol w:w="736"/>
        <w:gridCol w:w="211"/>
      </w:tblGrid>
      <w:tr>
        <w:trPr/>
        <w:tc>
          <w:tcPr>
            <w:tcW w:w="6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Labafenogene marselecobac (SYNB1934)</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SYNB1618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SYNB8802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SYNB1353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SYNB1891</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External pre-development candidate costs and unallocated costs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external costs</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Internal costs:</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compensation and benefits (including equity-based compensation expense)</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Facility and other</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internal costs</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9,154</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decrease of $34.8 million in research and development expense was primarily due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external research and development costs of $15.3 million, which primarily consisted 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$10.1 million decrease in clinical, manufacturing and professional costs associated with Labafenogene marselecobac (SYNB1934), SYNB8802 (achieved proof of concept in 2022), SYNB1353 (demonstrated proof of mechanism in 2022) and SYNB1891 (completed enrollment in November 2021). The decision to discontinue Synpheny-3, our pivotal study of our lead product candidate, labafenogene marselecobac (SYNB1934), as a potential treatment for PKU, was made in February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 million decrease in clinical, manufacturing and professional costs associated with SYNB1618 (earlier generation for Labafenogene marselecobac). During the year ended December 31, 2024, we completed the final reconciliation of the SYNB1618 Phase 2 Synpheny-1 study with the contract research organization (CRO) which resulted in a benefit of $0.4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$4.1 million decrease in other early development candidates and unallocated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$19.5 million decrease in internal research and development costs, which was primarily driven by the corporate restructuring and reduction in its workforce by more than 90%.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 was $6.6 million for the year ended December 31, 2024 compared to $14.6 million for the year ended December 31, 2023. The decrease of $8.0 million was primarily due to lower compensation, benefits and other employee-related expenses due to reduced headcount.</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Restructuring and Other Charges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February 2024, the Company and its board of directors decided to discontinue the Synpheny-3 trial and to conduct a comprehensive review of strategic alternatives. We also announced a corporate restructuring that resulted in a reduction in our workforce, leaving one remaining full-time employee, in addition to consultants, to, among other things, support the strategic review process and current business operations. We recorded restructuring and other charges of $25.2 million for the year ended December 31, 2024. As part of the corporate restructuring, we recorded impairment charges related to our leases, property and equipment, and prepaid research and development. Additionally, we had other restructuring costs related to severance payments due to the reduction in workforce, accelerated stock compensation expense, legal fees, and contract termination costs.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Other income for the year ended December 31, 2024 was $17.6 million compared to other expense of $6.1 million for the corresponding period in 2023. The increase in other income (expense) of $23.7 million was due to an increase in other income primarily relating to the change in fair value of the purchase warrants classified as liabilities on the consolidated balance sheet. This increase of income was offset by a decrease to income earned on our cash and cash equivalents balances.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losses since our inception on March 14, 2014 and as of December 31, 2024, we had an accumulated deficit of $441.7 million. We have financed our operations to date primarily through the sale of preferred stock, common stock, preferred units and warrants, payments received under prior collaboration agreements, including our technology collaboration with Ginkgo and our collaboration with Roche, interest earned on investments, and cash received in the Merger. At December 31, 2024, we had $18.9 million in cash and cash equivalents. Our cash and cash equivalents include amounts held in money market funds, stated at cost plus unrealized gain and loss, which approximates fair market value. During the year ended December 31, 2024 our available-for-sale securities include amounts held in commercial paper.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2024, our cash, cash equivalents and marketable securities balance decreased by $28.8 million. This decrease was primarily due to the cash used to operate our business. In February 2024, we implemented a strategic reduction of our workforce, leaving one remaining full-time employee, in addition to consultants, to, among other things, support the strategic review process and current business operations. In the year ended December 31, 2024, we recorded restructuring and impairment charges in connection with the restructuring.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major sources and uses of cash, cash equivalents and restricted cash for each of the periods below:</w:t>
      </w:r>
    </w:p>
    <w:p>
      <w:pPr>
        <w:pStyle w:val="TextBody"/>
        <w:bidi w:val="0"/>
        <w:jc w:val="left"/>
        <w:rPr/>
      </w:pPr>
      <w:r>
        <w:rPr/>
        <w:t> </w:t>
      </w:r>
    </w:p>
    <w:tbl>
      <w:tblPr>
        <w:tblW w:w="8098" w:type="dxa"/>
        <w:jc w:val="left"/>
        <w:tblInd w:w="0" w:type="dxa"/>
        <w:tblLayout w:type="fixed"/>
        <w:tblCellMar>
          <w:top w:w="28" w:type="dxa"/>
          <w:left w:w="28" w:type="dxa"/>
          <w:bottom w:w="28" w:type="dxa"/>
          <w:right w:w="28" w:type="dxa"/>
        </w:tblCellMar>
      </w:tblPr>
      <w:tblGrid>
        <w:gridCol w:w="5581"/>
        <w:gridCol w:w="211"/>
        <w:gridCol w:w="736"/>
        <w:gridCol w:w="166"/>
        <w:gridCol w:w="146"/>
        <w:gridCol w:w="211"/>
        <w:gridCol w:w="736"/>
        <w:gridCol w:w="311"/>
      </w:tblGrid>
      <w:tr>
        <w:trPr/>
        <w:tc>
          <w:tcPr>
            <w:tcW w:w="5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(used in) provided by</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(51,614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Investing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Financing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cash equivalents and restricted cash used in operating activities was $31.7 million for the year ended December 31, 2024. The primary use of cash was our net loss of $23.4 million, changes in our assets and liabilities of $11.7 million, partially offset by $3.4 million of non-cash items primarily including the change in fair value of purchase warrants, impairment of fixed assets and the right of use asset, gain on lease termination, impairment of prepaid research and development balances related to work with Ginkgo, equity-based compensation, and gain on disposal of property and equipment. The changes in our assets and liabilities include decreases in prepaid expenses and other current assets, prepaid research and development expenses, the operating lease liability, and accounts payable and accrued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cash equivalents and restricted cash used in operating activities was $51.6 million for the year ended December 31, 2023. The primary use of cash was our net loss of $61.3 million and changes in our assets and liabilities of $6.2 million, partially offset by $15.8 million of non-cash items primarily including the change in fair value of purchase warrants, depreciation, equity-based compensation, and the right of use asset. The changes in our assets and liabilities include decreases in the operating lease liability, increases in prepaid expenses and other current assets, decreases in prepaid research and development expenses, decreases in accounts payable and accrued expenses, and decreased deferred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for the year ended December 31, 2024 was $25.3 million and resulted primarily from the proceeds from maturity of marketable securities of $25.5 million and $1.3 million from sales of property and equipment. This was offset by the purchases of marketable securities of $1.5 million and the purchases of property and equipment of $0.01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for the year ended December 31, 2023 was $38.8 million and resulted primarily from the proceeds from maturity of marketable securities of $66.9 million. This was offset by the purchases of marketable securities of $27.9 million and property and equipment of $0.2 million.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year ended December 31, 2024 totaled $0.2 million, primarily related to proceeds from exercise of stock options and net proceeds from the sale of our common stock in the ATM offering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year ended December 31, 2023 totaled $20.9 million, primarily related to net proceeds of $19.6 million from the issuance of our common stock, pre-funded warrants and purchase warrants in an underwritten public offering in October 2023, $1.2 million from the sale of our common stock in the ATM offering program, and $0.1 million of proceeds received from stock option exercises and purchases made pursuant to our employee stock purchase plan.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expect our expenses to decrease in the near term due to our decision to discontinue our Synpheny-3 clinical trial and conduct workforce reductions while we explore strategic alternatives. Pending the outcome of our review of strategic alternatives, and should we decide to continue to advance the clinical development of our product candidates, we expect to incur additional costs in connection with such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generated revenue from our prior collaboration with Roche and other collaborations, but have not generated any product revenue since our inception and do not expect to generate any product revenue unless we receive regulatory approval for our product candidates. We believe that our current cash and cash equivalents as of December 31, 2024 will be sufficient to fund our operations at the current levels for at least the next 12 months from the date of this filing.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funding requirements will depend on many factors,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success, timing and cost of any strategic transactions, business combinations or divestiture;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research and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progress, timing, costs and results of clinical trials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and costs involved in obtaining regulatory approvals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timing and costs involved in developing manufacturing processes and agreements with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of progress and cost of our commercialization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expenses we incur in marketing and selling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generated by sales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emergence of competing or complementary technological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filing, prosecuting, defending and enforcing any patent claims and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any additional collaborative, licensing or other arrangements that we may establish;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acquisition of businesses, products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need to implement additional infrastructure and internal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need to add personnel and financial and management information systems to support our product development and potential future commercialization efforts, and to enable us to operate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our business is adversely impacted by the effects of the coronavirus outbreak or by other health epidemics or pandemics;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including those listed under Part I, Item 1A “Risk Factors.”</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Contractual Commitments and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an early-stage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 regulatory approval process, the ability to efficiently manufacture our products, market acceptance of our products once approved, lack of marketing and sales history, dependence on key personnel and protection of proprietary technology. Our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 intellectual property will be obtained, that any products developed will obtain necessary regulatory approval or that any approved products will be commercially viable. Even if our product development efforts are successful, it is uncertain when, if ever, we will generate revenue from product sales. We may never achieve profitability, and unless and until we do, we will continue to need to raise additional capital or obtain financing from other sources, such as strategic collaborations or alliances. If we cannot expand our operations or otherwise capitalize on our business opportunities because we lack sufficient capital, our business, financial condition and results of operations could be materially adversely affected.</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relationships with unconsolidated entities or financial partnerships, such as entities often referred to as structured finance or special purpose entities, that would have been established for the purpose of facilitating off-balance sheet arrangements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performance and the performance of our subsidiaries.</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Please read Note 2, </w:t>
      </w:r>
      <w:r>
        <w:rPr>
          <w:rFonts w:ascii="Times New Roman" w:hAnsi="Times New Roman"/>
          <w:i/>
          <w:color w:val="000000"/>
          <w:sz w:val="20"/>
        </w:rPr>
        <w:t>Summary of Significant Accounting Policies</w:t>
      </w:r>
      <w:r>
        <w:rPr>
          <w:rFonts w:ascii="Times New Roman" w:hAnsi="Times New Roman"/>
          <w:color w:val="000000"/>
          <w:sz w:val="20"/>
        </w:rPr>
        <w:t xml:space="preserve"> to the consolidated financial statements included elsewhere in this Annual Report on Form 10-K. </w:t>
      </w:r>
    </w:p>
    <w:p>
      <w:pPr>
        <w:pStyle w:val="TextBody"/>
        <w:bidi w:val="0"/>
        <w:spacing w:before="160" w:after="283"/>
        <w:jc w:val="left"/>
        <w:rPr/>
      </w:pPr>
      <w:r>
        <w:rPr/>
        <w:t> </w:t>
      </w:r>
    </w:p>
    <w:p>
      <w:pPr>
        <w:pStyle w:val="TextBody"/>
        <w:bidi w:val="0"/>
        <w:jc w:val="left"/>
        <w:rPr>
          <w:rFonts w:ascii="Times New Roman" w:hAnsi="Times New Roman"/>
          <w:sz w:val="20"/>
        </w:rPr>
      </w:pPr>
      <w:bookmarkStart w:id="14" w:name="item_7a_quantitative_qualitative_disclos"/>
      <w:bookmarkEnd w:id="14"/>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this information required under this item.</w:t>
      </w:r>
    </w:p>
    <w:p>
      <w:pPr>
        <w:pStyle w:val="TextBody"/>
        <w:bidi w:val="0"/>
        <w:spacing w:before="360" w:after="283"/>
        <w:jc w:val="left"/>
        <w:rPr>
          <w:rFonts w:ascii="Times New Roman" w:hAnsi="Times New Roman"/>
          <w:sz w:val="20"/>
        </w:rPr>
      </w:pPr>
      <w:bookmarkStart w:id="15" w:name="item_8_consolidated_financial_statements"/>
      <w:bookmarkEnd w:id="15"/>
      <w:r>
        <w:rPr>
          <w:rFonts w:ascii="Times New Roman" w:hAnsi="Times New Roman"/>
          <w:b/>
          <w:color w:val="000000"/>
          <w:sz w:val="20"/>
        </w:rPr>
        <w:t>Item 8. Consolidated Financial Statements and Supplementary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financial statements, together with the independent registered public accounting firm report thereon, appear at pages F-1 through F-29 respectively, of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bookmarkStart w:id="16" w:name="item_9_changes_in_disagreements_with_acc"/>
      <w:bookmarkEnd w:id="16"/>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7" w:name="item_9a_controls_procedures"/>
      <w:bookmarkEnd w:id="17"/>
      <w:r>
        <w:rPr>
          <w:rFonts w:ascii="Times New Roman" w:hAnsi="Times New Roman"/>
          <w:b/>
          <w:color w:val="000000"/>
          <w:sz w:val="20"/>
        </w:rPr>
        <w:t>Item 9A.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Definition and limitations of disclosure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disclosure controls and procedures (as defined in Rules 13a-15(e) and 15d-15(e) under the Securities Exchange Act of 1934, as amended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Executive Officer and Principal Financial Officer, evaluated the effectiveness of our disclosure controls and procedures (as defined in Exchange Act Rules 13a-15(e) and 15d-15(e)) as of December 31, 2024. Based upon the evaluation, our Principal Executive Officer and Principal Financial Officer concluded that, as of December 31, 2024, our disclosure controls and procedures were not effective at a reasonable assurance level as a result of the material weakness that existed in our internal control over financial reporting, as described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our Principal Executive Officer and Principal Financial Officer, has concluded that, notwithstanding the identified material weakness in our internal control over financial reporting, the consolidated financial statements in this Annual Report on Form 10-K fairly present, in all material respects, our financial position, results of operations and cash flows for the periods presented in conformity with U.S. GAAP.</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Rules 13a-15(f) and 15d-15(f) under the Exchange Act, as amended.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assessed the effectiveness of our internal control over financial reporting as of December 31, 2024. In making this assessment, management used the criteria set forth by the Committee of Sponsoring Organizations of the Treadway Commission (COSO) in Internal Control-Integrated Framework (2013). Based on this assessment, management concluded that, as a result of the material weakness that existed as of December 31, 2024, our internal control over financial reporting was not effective as of December 31, 2024.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Material Weakness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preparing our condensed consolidated financial statements, management identified a material weakness in internal control over financial reporting. Specifically, we did not design an effective internal information and communication process relating to significant and non-routine transactions to ensure that relevant and reliable information was communicated on a timely basis across the organization, to enable financial personnel to effectively carry out their financial reporting and internal control roles and responsibilities. The failure, relating to significant and non-routine transactions, resulted in a misstatement of our warrant liabilities, transaction costs, change in fair value of warrant liabilities, additional paid-in-capital, accumulated deficit and certain related financial disclosures. This material weakness resulted in the correction of our consolidated financial statements as of and for the year ended December 31, 2023, and for the quarterly periods ended March 31, 2024 and June 30,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below, management has begun designing the plan and executing the remediation actions to address the material weakness and further actions are ongoing as of December 31, 2024. We have not had sufficient time to test the effectiveness of the remediation actions taken to date. As a result, the material weakness continues to be present as of December 31,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Remediation Efforts related to the Material Weakness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with oversight from the Audit Committee of the Board of Directors, is actively engaged in remediation efforts to address the material weakness identified in the management's evaluation of internal controls and procedures. The remediation efforts summarized below, which have been or are in the process of being implemented, are intended to address the identified material weakness, and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strengthening our formal accounting policies, procedures and controls over accounting for significant and non-routine transactions with a focus on ensuring the analysis is complete and includes each of the material components of the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specific oversight procedures, including the requirement of finance staff and consultants to attend any and all meetings regarding significant and non-routine transactions;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specific review procedures, requiring review of all documents pertaining to significant and non-routine transactions by both finance staff and consultants.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believes that the implementation of the above steps will facilitate the remediation of the material weakness identified above. As Management continues to evaluate and work to improve its internal control over financial reporting, we may take additional measures to address control deficiencies, or we may modify certain of the remediation measures described above. While remediation efforts are active, management requires additional time to demonstrate the operating effectiveness of our remediation efforts. The material weaknesses cannot be considered remediated until the applicable remedial controls operate for a sufficient period of time and management has concluded, through testing, that these controls are operating effectively.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than the changes in connection with implementing a plan to remediate the material weakness described above, there were no changes in the Company's internal control over financial reporting (as defined in Exchange Act Rules 13a-15(f) and 15d-15(f)) during the quarter ended December 31, 2024 that have materially affected, or are reasonably likely to materially affect, the Company's internal control over financial reporting.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Inherent Limitations on the Effectiveness of Controls</w:t>
      </w:r>
    </w:p>
    <w:p>
      <w:pPr>
        <w:pStyle w:val="TextBody"/>
        <w:bidi w:val="0"/>
        <w:spacing w:before="120" w:after="283"/>
        <w:jc w:val="left"/>
        <w:rPr>
          <w:rFonts w:ascii="Times New Roman" w:hAnsi="Times New Roman"/>
          <w:color w:val="000000"/>
          <w:sz w:val="20"/>
        </w:rPr>
      </w:pPr>
      <w:bookmarkStart w:id="18" w:name="item9at"/>
      <w:bookmarkEnd w:id="18"/>
      <w:r>
        <w:rPr>
          <w:rFonts w:ascii="Times New Roman" w:hAnsi="Times New Roman"/>
          <w:color w:val="000000"/>
          <w:sz w:val="20"/>
        </w:rPr>
        <w:t>A control system, no matter how well conceived and operated, can provide only reasonable, not absolute, assurance that the objectives of the controls are met. Because of the inherent limitations in all control systems, no evaluation of controls can provide absolute assurance that all control issues or misstatements, if any, within a company have been detected. Accordingly, our controls and procedures are designed to provide reasonable, not absolute, assurance that the objectives of our control system are met.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360" w:after="283"/>
        <w:jc w:val="left"/>
        <w:rPr>
          <w:rFonts w:ascii="Times New Roman" w:hAnsi="Times New Roman"/>
          <w:sz w:val="20"/>
        </w:rPr>
      </w:pPr>
      <w:bookmarkStart w:id="19" w:name="item_9b_or_information"/>
      <w:bookmarkEnd w:id="19"/>
      <w:r>
        <w:rPr>
          <w:rFonts w:ascii="Times New Roman" w:hAnsi="Times New Roman"/>
          <w:b/>
          <w:color w:val="000000"/>
          <w:sz w:val="20"/>
        </w:rPr>
        <w:t>Item 9B. Other Information.</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quarter ended December 31, 2024, none of our directors or executive officers adopted, modified or terminated any contract, instruction or written plan for the purchase or sale of our securities that was intended to satisfy the affirmative defense conditions of Rule 10b5-1 (c) or any "non-Rule 10b5-1 trading arrangement."</w:t>
      </w:r>
    </w:p>
    <w:p>
      <w:pPr>
        <w:pStyle w:val="TextBody"/>
        <w:bidi w:val="0"/>
        <w:spacing w:before="360" w:after="283"/>
        <w:jc w:val="left"/>
        <w:rPr>
          <w:rFonts w:ascii="Times New Roman" w:hAnsi="Times New Roman"/>
          <w:sz w:val="20"/>
        </w:rPr>
      </w:pPr>
      <w:bookmarkStart w:id="20" w:name="item_9c_disclosureforeignjurisdictions"/>
      <w:bookmarkEnd w:id="20"/>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21" w:name="part_iii"/>
      <w:bookmarkEnd w:id="2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240" w:after="283"/>
        <w:jc w:val="left"/>
        <w:rPr>
          <w:rFonts w:ascii="Times New Roman" w:hAnsi="Times New Roman"/>
          <w:sz w:val="20"/>
        </w:rPr>
      </w:pPr>
      <w:bookmarkStart w:id="22" w:name="item_10_directors_executive_ficers_corpo"/>
      <w:bookmarkEnd w:id="22"/>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response to this item is incorporated by reference from the discussion responsive thereto under the captions “Management and Corporate Governance Matters,” “Section 16(a) Beneficial Ownership Reporting Compliance,” and “Code of Conduct and Ethics” in the Company’s Proxy Statement for the 2025 Annual Meeting of Stockholders.</w:t>
      </w:r>
    </w:p>
    <w:p>
      <w:pPr>
        <w:pStyle w:val="TextBody"/>
        <w:bidi w:val="0"/>
        <w:spacing w:before="360" w:after="283"/>
        <w:jc w:val="left"/>
        <w:rPr>
          <w:rFonts w:ascii="Times New Roman" w:hAnsi="Times New Roman"/>
          <w:sz w:val="20"/>
        </w:rPr>
      </w:pPr>
      <w:bookmarkStart w:id="23" w:name="item_11_executive_compensation"/>
      <w:bookmarkEnd w:id="23"/>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response to this item is incorporated by reference from the discussion responsive thereto under the caption “Executive Officer and Director Compensation” in the Company’s Proxy Statement for the 2025 Annual Meeting of Stockholders.</w:t>
      </w:r>
    </w:p>
    <w:p>
      <w:pPr>
        <w:pStyle w:val="TextBody"/>
        <w:bidi w:val="0"/>
        <w:spacing w:before="360" w:after="283"/>
        <w:jc w:val="left"/>
        <w:rPr>
          <w:rFonts w:ascii="Times New Roman" w:hAnsi="Times New Roman"/>
          <w:sz w:val="20"/>
        </w:rPr>
      </w:pPr>
      <w:bookmarkStart w:id="24" w:name="item_12_security_ownership_certain_benef"/>
      <w:bookmarkEnd w:id="24"/>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bookmarkStart w:id="25" w:name="item13"/>
      <w:bookmarkEnd w:id="25"/>
      <w:r>
        <w:rPr>
          <w:rFonts w:ascii="Times New Roman" w:hAnsi="Times New Roman"/>
          <w:color w:val="000000"/>
          <w:sz w:val="20"/>
        </w:rPr>
        <w:t>The response to this item is incorporated by reference from the discussion responsive thereto under the caption “Security Ownership of Certain Beneficial Owners and Management” in the Company’s Proxy Statement for the 2025 Annual Meeting of Stockholders.</w:t>
      </w:r>
    </w:p>
    <w:p>
      <w:pPr>
        <w:pStyle w:val="TextBody"/>
        <w:bidi w:val="0"/>
        <w:spacing w:before="360" w:after="283"/>
        <w:jc w:val="left"/>
        <w:rPr>
          <w:rFonts w:ascii="Times New Roman" w:hAnsi="Times New Roman"/>
          <w:sz w:val="20"/>
        </w:rPr>
      </w:pPr>
      <w:bookmarkStart w:id="26" w:name="item_13_certain_relationships_related_tr"/>
      <w:bookmarkEnd w:id="26"/>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bookmarkStart w:id="27" w:name="item14"/>
      <w:bookmarkEnd w:id="27"/>
      <w:r>
        <w:rPr>
          <w:rFonts w:ascii="Times New Roman" w:hAnsi="Times New Roman"/>
          <w:color w:val="000000"/>
          <w:sz w:val="20"/>
        </w:rPr>
        <w:t>The response to this item is incorporated by reference from the discussion responsive thereto under the captions “Certain Relationships and Related Person Transactions” and “Management and Corporate Governance” in the Company’s Proxy Statement for the 2025 Annual Meeting of Stockholders.</w:t>
      </w:r>
    </w:p>
    <w:p>
      <w:pPr>
        <w:pStyle w:val="TextBody"/>
        <w:bidi w:val="0"/>
        <w:spacing w:before="360" w:after="283"/>
        <w:jc w:val="left"/>
        <w:rPr>
          <w:rFonts w:ascii="Times New Roman" w:hAnsi="Times New Roman"/>
          <w:sz w:val="20"/>
        </w:rPr>
      </w:pPr>
      <w:bookmarkStart w:id="28" w:name="item_14_principal_accounting_fees_servic"/>
      <w:bookmarkEnd w:id="28"/>
      <w:r>
        <w:rPr>
          <w:rFonts w:ascii="Times New Roman" w:hAnsi="Times New Roman"/>
          <w:b/>
          <w:color w:val="000000"/>
          <w:sz w:val="20"/>
        </w:rPr>
        <w:t>Item 14. Principal Accounting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response to this item is incorporated by reference from the discussion responsive thereto under the caption “Independent Registered Public Accounting Firm” in the Company’s Proxy Statement for the 2025 Annual Meeting of Stockholders.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29" w:name="part_iv"/>
      <w:bookmarkEnd w:id="29"/>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0" w:name="item_15_exhibits_financial_statement_sch"/>
      <w:bookmarkEnd w:id="30"/>
      <w:r>
        <w:rPr>
          <w:rFonts w:ascii="Times New Roman" w:hAnsi="Times New Roman"/>
          <w:b/>
          <w:color w:val="000000"/>
          <w:sz w:val="20"/>
        </w:rPr>
        <w:t>Item 15. Exhibits,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Item 15(a). </w:t>
      </w:r>
      <w:r>
        <w:rPr>
          <w:rFonts w:ascii="Times New Roman" w:hAnsi="Times New Roman"/>
          <w:color w:val="000000"/>
          <w:sz w:val="20"/>
        </w:rPr>
        <w:t>The following documents are filed as part of this Annual Report on Form 10-K:</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Item 15(a)(1) and (2) </w:t>
      </w:r>
      <w:r>
        <w:rPr>
          <w:rFonts w:ascii="Times New Roman" w:hAnsi="Times New Roman"/>
          <w:color w:val="000000"/>
          <w:sz w:val="20"/>
        </w:rPr>
        <w:t>See “Consolidated Financial Statements and Supplementary Data” at Item 8 to this Annual Report on Form 10-K. Other financial statement schedules have not been included because they are not applicable, or the information is included in the financial statements or notes thereto.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Item 15(a)(3) </w:t>
      </w:r>
      <w:r>
        <w:rPr>
          <w:rFonts w:ascii="Times New Roman" w:hAnsi="Times New Roman"/>
          <w:color w:val="000000"/>
          <w:sz w:val="20"/>
        </w:rPr>
        <w:t>The following exhibits are filed as part of, or incorporated by reference into, this Annual Report on Form 10-K.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6042"/>
        <w:gridCol w:w="654"/>
        <w:gridCol w:w="1159"/>
        <w:gridCol w:w="723"/>
        <w:gridCol w:w="921"/>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6042" w:type="dxa"/>
            <w:tcBorders/>
            <w:shd w:fill="FFFFFF" w:val="clear"/>
            <w:vAlign w:val="center"/>
          </w:tcPr>
          <w:p>
            <w:pPr>
              <w:pStyle w:val="TableContents"/>
              <w:bidi w:val="0"/>
              <w:spacing w:before="0" w:after="283"/>
              <w:jc w:val="left"/>
              <w:rPr>
                <w:sz w:val="4"/>
                <w:szCs w:val="4"/>
              </w:rPr>
            </w:pPr>
            <w:r>
              <w:rPr>
                <w:sz w:val="4"/>
                <w:szCs w:val="4"/>
              </w:rPr>
            </w:r>
          </w:p>
        </w:tc>
        <w:tc>
          <w:tcPr>
            <w:tcW w:w="654" w:type="dxa"/>
            <w:tcBorders/>
            <w:shd w:fill="FFFFFF" w:val="clear"/>
            <w:vAlign w:val="center"/>
          </w:tcPr>
          <w:p>
            <w:pPr>
              <w:pStyle w:val="TableContents"/>
              <w:bidi w:val="0"/>
              <w:spacing w:before="0" w:after="283"/>
              <w:jc w:val="left"/>
              <w:rPr>
                <w:sz w:val="4"/>
                <w:szCs w:val="4"/>
              </w:rPr>
            </w:pPr>
            <w:r>
              <w:rPr>
                <w:sz w:val="4"/>
                <w:szCs w:val="4"/>
              </w:rPr>
            </w:r>
          </w:p>
        </w:tc>
        <w:tc>
          <w:tcPr>
            <w:tcW w:w="1159" w:type="dxa"/>
            <w:tcBorders/>
            <w:shd w:fill="FFFFFF" w:val="clear"/>
            <w:vAlign w:val="center"/>
          </w:tcPr>
          <w:p>
            <w:pPr>
              <w:pStyle w:val="TableContents"/>
              <w:bidi w:val="0"/>
              <w:spacing w:before="0" w:after="283"/>
              <w:jc w:val="left"/>
              <w:rPr>
                <w:sz w:val="4"/>
                <w:szCs w:val="4"/>
              </w:rPr>
            </w:pPr>
            <w:r>
              <w:rPr>
                <w:sz w:val="4"/>
                <w:szCs w:val="4"/>
              </w:rPr>
            </w:r>
          </w:p>
        </w:tc>
        <w:tc>
          <w:tcPr>
            <w:tcW w:w="723" w:type="dxa"/>
            <w:tcBorders/>
            <w:shd w:fill="FFFFFF" w:val="clear"/>
            <w:vAlign w:val="center"/>
          </w:tcPr>
          <w:p>
            <w:pPr>
              <w:pStyle w:val="TableContents"/>
              <w:bidi w:val="0"/>
              <w:spacing w:before="0" w:after="283"/>
              <w:jc w:val="left"/>
              <w:rPr>
                <w:sz w:val="4"/>
                <w:szCs w:val="4"/>
              </w:rPr>
            </w:pPr>
            <w:r>
              <w:rPr>
                <w:sz w:val="4"/>
                <w:szCs w:val="4"/>
              </w:rPr>
            </w:r>
          </w:p>
        </w:tc>
        <w:tc>
          <w:tcPr>
            <w:tcW w:w="921"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60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65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jc w:val="center"/>
              <w:rPr>
                <w:rFonts w:ascii="Times New Roman" w:hAnsi="Times New Roman"/>
                <w:b/>
                <w:color w:val="000000"/>
                <w:sz w:val="16"/>
              </w:rPr>
            </w:pPr>
            <w:r>
              <w:rPr>
                <w:rFonts w:ascii="Times New Roman" w:hAnsi="Times New Roman"/>
                <w:b/>
                <w:color w:val="000000"/>
                <w:sz w:val="16"/>
              </w:rPr>
              <w:t>with this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w:t>
            </w:r>
          </w:p>
        </w:tc>
        <w:tc>
          <w:tcPr>
            <w:tcW w:w="115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w:t>
            </w:r>
          </w:p>
          <w:p>
            <w:pPr>
              <w:pStyle w:val="TableContents"/>
              <w:bidi w:val="0"/>
              <w:jc w:val="center"/>
              <w:rPr>
                <w:rFonts w:ascii="Times New Roman" w:hAnsi="Times New Roman"/>
                <w:b/>
                <w:color w:val="000000"/>
                <w:sz w:val="16"/>
              </w:rPr>
            </w:pPr>
            <w:r>
              <w:rPr>
                <w:rFonts w:ascii="Times New Roman" w:hAnsi="Times New Roman"/>
                <w:b/>
                <w:color w:val="000000"/>
                <w:sz w:val="16"/>
              </w:rPr>
              <w:t>Reference herein</w:t>
            </w:r>
          </w:p>
          <w:p>
            <w:pPr>
              <w:pStyle w:val="TableContents"/>
              <w:bidi w:val="0"/>
              <w:jc w:val="center"/>
              <w:rPr>
                <w:rFonts w:ascii="Times New Roman" w:hAnsi="Times New Roman"/>
                <w:b/>
                <w:color w:val="000000"/>
                <w:sz w:val="16"/>
              </w:rPr>
            </w:pPr>
            <w:r>
              <w:rPr>
                <w:rFonts w:ascii="Times New Roman" w:hAnsi="Times New Roman"/>
                <w:b/>
                <w:color w:val="000000"/>
                <w:sz w:val="16"/>
              </w:rPr>
              <w:t>from Form or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w:t>
            </w:r>
          </w:p>
        </w:tc>
        <w:tc>
          <w:tcPr>
            <w:tcW w:w="72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92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SEC</w:t>
            </w:r>
          </w:p>
          <w:p>
            <w:pPr>
              <w:pStyle w:val="TableContents"/>
              <w:bidi w:val="0"/>
              <w:jc w:val="center"/>
              <w:rPr>
                <w:rFonts w:ascii="Times New Roman" w:hAnsi="Times New Roman"/>
                <w:b/>
                <w:color w:val="000000"/>
                <w:sz w:val="16"/>
              </w:rPr>
            </w:pPr>
            <w:r>
              <w:rPr>
                <w:rFonts w:ascii="Times New Roman" w:hAnsi="Times New Roman"/>
                <w:b/>
                <w:color w:val="000000"/>
                <w:sz w:val="16"/>
              </w:rPr>
              <w:t>File/Reg.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Agreement and Plan of Merger and Reorganization, dated as of May 15, 2017, by and among Mirna Therapeutics, Inc., Meerkat Merger Sub, Inc. and Synlogic, Inc.</w:t>
              </w:r>
            </w:hyperlink>
            <w:hyperlink r:id="rId11">
              <w:r>
                <w:rPr>
                  <w:rStyle w:val="InternetLink"/>
                  <w:rFonts w:ascii="Times New Roman" w:hAnsi="Times New Roman"/>
                  <w:color w:val="0000FF"/>
                  <w:sz w:val="20"/>
                </w:rPr>
                <w:t xml:space="preserve"> </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2.1)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05/16/2017</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Amended and Restated Certificate of Incorporation</w:t>
              </w:r>
            </w:hyperlink>
            <w:r>
              <w:rPr>
                <w:rFonts w:ascii="Times New Roman" w:hAnsi="Times New Roman"/>
                <w:color w:val="000000"/>
                <w:sz w:val="20"/>
              </w:rPr>
              <w:t xml:space="preserve">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10/6/2015</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Certificate of Amendment (Reverse Stock Split) to the Amended and Restated Certificate of Incorporation, dated August 25, 2017</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08/28/2017</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Certificate of Amendment (Name Change) to the Amended and Restated Certificate of Incorporation</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3.2)</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08/28/2017</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3.4</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Certificate of Amendment to the Amended and Restated Certificate of Incorporation of Synlogic, Inc., dated June 15, 2023</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8-K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6/15/2023</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3.5</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Certificate of Amendment (Reverse Stock Split) to the Amended and Restated Certificate of Incorporation of Synlogic, Inc., dated September 27, 2023</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8-K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9/28/2023</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3.6</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Amended and Restated Bylaws</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3.2)</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10/6/2015</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3.7</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Certificate of Designation of Series A Junior Participating Preferred Stock of Synlogic, Inc., as filed with the Secretary of State of the State of Delaware on February 20, 2024.</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2/20/2024</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Common Stock Certificate</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S-1/A</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4.2)</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09/18/2015</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333-206544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Pre-Funded Warrant</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06/12/2019</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Form of Pre-Funded Warrant</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4.1)</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9/29/2023</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4.4</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Purchase Warrant</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4.2)</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9/29/2023</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4.5</w:t>
            </w:r>
          </w:p>
        </w:tc>
        <w:tc>
          <w:tcPr>
            <w:tcW w:w="6042"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Description of Securities</w:t>
              </w:r>
            </w:hyperlink>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4.3)</w:t>
            </w:r>
          </w:p>
        </w:tc>
        <w:tc>
          <w:tcPr>
            <w:tcW w:w="7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03/12/2020</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42"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706"/>
        <w:gridCol w:w="5844"/>
        <w:gridCol w:w="664"/>
        <w:gridCol w:w="1265"/>
        <w:gridCol w:w="773"/>
        <w:gridCol w:w="953"/>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5844" w:type="dxa"/>
            <w:tcBorders/>
            <w:shd w:fill="FFFFFF" w:val="clear"/>
            <w:vAlign w:val="center"/>
          </w:tcPr>
          <w:p>
            <w:pPr>
              <w:pStyle w:val="TableContents"/>
              <w:bidi w:val="0"/>
              <w:spacing w:before="0" w:after="283"/>
              <w:jc w:val="left"/>
              <w:rPr>
                <w:sz w:val="4"/>
                <w:szCs w:val="4"/>
              </w:rPr>
            </w:pPr>
            <w:r>
              <w:rPr>
                <w:sz w:val="4"/>
                <w:szCs w:val="4"/>
              </w:rPr>
            </w:r>
          </w:p>
        </w:tc>
        <w:tc>
          <w:tcPr>
            <w:tcW w:w="664" w:type="dxa"/>
            <w:tcBorders/>
            <w:shd w:fill="FFFFFF" w:val="clear"/>
            <w:vAlign w:val="center"/>
          </w:tcPr>
          <w:p>
            <w:pPr>
              <w:pStyle w:val="TableContents"/>
              <w:bidi w:val="0"/>
              <w:spacing w:before="0" w:after="283"/>
              <w:jc w:val="left"/>
              <w:rPr>
                <w:sz w:val="4"/>
                <w:szCs w:val="4"/>
              </w:rPr>
            </w:pPr>
            <w:r>
              <w:rPr>
                <w:sz w:val="4"/>
                <w:szCs w:val="4"/>
              </w:rPr>
            </w:r>
          </w:p>
        </w:tc>
        <w:tc>
          <w:tcPr>
            <w:tcW w:w="1265" w:type="dxa"/>
            <w:tcBorders/>
            <w:shd w:fill="FFFFFF" w:val="clear"/>
            <w:vAlign w:val="center"/>
          </w:tcPr>
          <w:p>
            <w:pPr>
              <w:pStyle w:val="TableContents"/>
              <w:bidi w:val="0"/>
              <w:spacing w:before="0" w:after="283"/>
              <w:jc w:val="left"/>
              <w:rPr>
                <w:sz w:val="4"/>
                <w:szCs w:val="4"/>
              </w:rPr>
            </w:pPr>
            <w:r>
              <w:rPr>
                <w:sz w:val="4"/>
                <w:szCs w:val="4"/>
              </w:rPr>
            </w:r>
          </w:p>
        </w:tc>
        <w:tc>
          <w:tcPr>
            <w:tcW w:w="773" w:type="dxa"/>
            <w:tcBorders/>
            <w:shd w:fill="FFFFFF" w:val="clear"/>
            <w:vAlign w:val="center"/>
          </w:tcPr>
          <w:p>
            <w:pPr>
              <w:pStyle w:val="TableContents"/>
              <w:bidi w:val="0"/>
              <w:spacing w:before="0" w:after="283"/>
              <w:jc w:val="left"/>
              <w:rPr>
                <w:sz w:val="4"/>
                <w:szCs w:val="4"/>
              </w:rPr>
            </w:pPr>
            <w:r>
              <w:rPr>
                <w:sz w:val="4"/>
                <w:szCs w:val="4"/>
              </w:rPr>
            </w:r>
          </w:p>
        </w:tc>
        <w:tc>
          <w:tcPr>
            <w:tcW w:w="953"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58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66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jc w:val="center"/>
              <w:rPr>
                <w:rFonts w:ascii="Times New Roman" w:hAnsi="Times New Roman"/>
                <w:b/>
                <w:color w:val="000000"/>
                <w:sz w:val="16"/>
              </w:rPr>
            </w:pPr>
            <w:r>
              <w:rPr>
                <w:rFonts w:ascii="Times New Roman" w:hAnsi="Times New Roman"/>
                <w:b/>
                <w:color w:val="000000"/>
                <w:sz w:val="16"/>
              </w:rPr>
              <w:t>with this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w:t>
            </w:r>
          </w:p>
        </w:tc>
        <w:tc>
          <w:tcPr>
            <w:tcW w:w="126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w:t>
            </w:r>
          </w:p>
          <w:p>
            <w:pPr>
              <w:pStyle w:val="TableContents"/>
              <w:bidi w:val="0"/>
              <w:jc w:val="center"/>
              <w:rPr>
                <w:rFonts w:ascii="Times New Roman" w:hAnsi="Times New Roman"/>
                <w:b/>
                <w:color w:val="000000"/>
                <w:sz w:val="16"/>
              </w:rPr>
            </w:pPr>
            <w:r>
              <w:rPr>
                <w:rFonts w:ascii="Times New Roman" w:hAnsi="Times New Roman"/>
                <w:b/>
                <w:color w:val="000000"/>
                <w:sz w:val="16"/>
              </w:rPr>
              <w:t>Reference herein</w:t>
            </w:r>
          </w:p>
          <w:p>
            <w:pPr>
              <w:pStyle w:val="TableContents"/>
              <w:bidi w:val="0"/>
              <w:jc w:val="center"/>
              <w:rPr>
                <w:rFonts w:ascii="Times New Roman" w:hAnsi="Times New Roman"/>
                <w:b/>
                <w:color w:val="000000"/>
                <w:sz w:val="16"/>
              </w:rPr>
            </w:pPr>
            <w:r>
              <w:rPr>
                <w:rFonts w:ascii="Times New Roman" w:hAnsi="Times New Roman"/>
                <w:b/>
                <w:color w:val="000000"/>
                <w:sz w:val="16"/>
              </w:rPr>
              <w:t>from Form or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w:t>
            </w:r>
          </w:p>
        </w:tc>
        <w:tc>
          <w:tcPr>
            <w:tcW w:w="77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95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SEC</w:t>
            </w:r>
          </w:p>
          <w:p>
            <w:pPr>
              <w:pStyle w:val="TableContents"/>
              <w:bidi w:val="0"/>
              <w:jc w:val="center"/>
              <w:rPr>
                <w:rFonts w:ascii="Times New Roman" w:hAnsi="Times New Roman"/>
                <w:b/>
                <w:color w:val="000000"/>
                <w:sz w:val="16"/>
              </w:rPr>
            </w:pPr>
            <w:r>
              <w:rPr>
                <w:rFonts w:ascii="Times New Roman" w:hAnsi="Times New Roman"/>
                <w:b/>
                <w:color w:val="000000"/>
                <w:sz w:val="16"/>
              </w:rPr>
              <w:t>File/Reg.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4.6</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Rights Agreement, dated as of February 20, 2024, between Synlogic, Inc. and Equiniti Trust Company LLC, as rights agent.</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4.1)</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2/20/2024</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2015 Equity Incentive Award Plan</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03/20/2018</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Form of Stock Option Grant Notice and Stock Option Agreement under the 2015 Equity Incentive Award Plan.</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S-1/A</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10.9(B))</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09/11/2015</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333-206544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Form of Restricted Stock Award Agreement and Restricted Stock Unit Award Grant Notice under the 2015 Equity Incentive Award Plan.</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S-1/A</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10.9(C))</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09/11/2015</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333-206544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2017 Stock Incentive Plan</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10.4)</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03/20/2018</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Form of Stock Option Grant Notice and Stock Option Agreement under 2017 Stock Incentive Plan.</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10.17)</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11/13/2017</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2023 Inducement Equity Incentive Award Plan</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10.6)</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03/19/2024</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Form of Stock Option Grant Notice and Stock Option Agreement under 2023 Inducement Equity Incentive Award Plan</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10.7)</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03/19/2024</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Non</w:t>
                <w:noBreakHyphen/>
                <w:t>Employee Director Compensation Program.</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01/31/2020</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Form of Indemnification Agreement between the Company and each of its directors and officers</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S-1/A</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10.13)</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09/11/2015</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333-206544</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w:anchor="sybx-ex10_10.htm">
              <w:r>
                <w:rPr>
                  <w:rStyle w:val="InternetLink"/>
                  <w:rFonts w:ascii="Times New Roman" w:hAnsi="Times New Roman"/>
                  <w:color w:val="0000FF"/>
                  <w:sz w:val="20"/>
                  <w:u w:val="single"/>
                </w:rPr>
                <w:t>Separation Agreement by and between Synlogic, Inc. and Antoine Awad, dated as of December 17, 2024</w:t>
              </w:r>
            </w:hyperlink>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265"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w:anchor="sybx-ex10_11.htm">
              <w:r>
                <w:rPr>
                  <w:rStyle w:val="InternetLink"/>
                  <w:rFonts w:ascii="Times New Roman" w:hAnsi="Times New Roman"/>
                  <w:color w:val="0000FF"/>
                  <w:sz w:val="20"/>
                  <w:u w:val="single"/>
                </w:rPr>
                <w:t>Consulting Agreement by and between Synlogic, Inc. and Antoine Awad, dated as of December 17, 2024</w:t>
              </w:r>
            </w:hyperlink>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265"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w:anchor="sybx-ex10_12.htm">
              <w:r>
                <w:rPr>
                  <w:rStyle w:val="InternetLink"/>
                  <w:rFonts w:ascii="Times New Roman" w:hAnsi="Times New Roman"/>
                  <w:color w:val="0000FF"/>
                  <w:sz w:val="20"/>
                  <w:u w:val="single"/>
                </w:rPr>
                <w:t>Amended Employment Letter Agreement by and between Synlogic, Inc. and Mary Beth Dooley, dated as of December 19, 2024</w:t>
              </w:r>
            </w:hyperlink>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265"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Separation Agreement by and between Synlogic, Inc. and Aoife M. Brennan, MB, BCh, BAO, MMSc, dated as of February 17, 2024</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10.16)</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03/19/2024</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License Agreement by and between Synlogic, Inc. and Synlogic IBDCo, Inc., dated as of July 16, 2015</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10.13)</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08/28/2017</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Sales Agreement, dated as of July 23, 2021 by and between the registrant and Jefferies LLC</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1.1)</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11/10/2021</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5844"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5844"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Foundry Terms of Service Agreement dated June 11, 2019 by and between Synlogic</w:t>
              </w:r>
            </w:hyperlink>
            <w:hyperlink r:id="rId38">
              <w:r>
                <w:rPr>
                  <w:rStyle w:val="InternetLink"/>
                  <w:rFonts w:ascii="Times New Roman" w:hAnsi="Times New Roman"/>
                  <w:color w:val="0000FF"/>
                  <w:sz w:val="20"/>
                </w:rPr>
                <w:t xml:space="preserve"> </w:t>
              </w:r>
            </w:hyperlink>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10.2)</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08/08/2019</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761"/>
        <w:gridCol w:w="6047"/>
        <w:gridCol w:w="655"/>
        <w:gridCol w:w="1160"/>
        <w:gridCol w:w="726"/>
        <w:gridCol w:w="856"/>
      </w:tblGrid>
      <w:tr>
        <w:trPr/>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6047" w:type="dxa"/>
            <w:tcBorders/>
            <w:shd w:fill="FFFFFF" w:val="clear"/>
            <w:vAlign w:val="center"/>
          </w:tcPr>
          <w:p>
            <w:pPr>
              <w:pStyle w:val="TableContents"/>
              <w:bidi w:val="0"/>
              <w:spacing w:before="0" w:after="283"/>
              <w:jc w:val="left"/>
              <w:rPr>
                <w:sz w:val="4"/>
                <w:szCs w:val="4"/>
              </w:rPr>
            </w:pPr>
            <w:r>
              <w:rPr>
                <w:sz w:val="4"/>
                <w:szCs w:val="4"/>
              </w:rPr>
            </w:r>
          </w:p>
        </w:tc>
        <w:tc>
          <w:tcPr>
            <w:tcW w:w="655" w:type="dxa"/>
            <w:tcBorders/>
            <w:shd w:fill="FFFFFF" w:val="clear"/>
            <w:vAlign w:val="center"/>
          </w:tcPr>
          <w:p>
            <w:pPr>
              <w:pStyle w:val="TableContents"/>
              <w:bidi w:val="0"/>
              <w:spacing w:before="0" w:after="283"/>
              <w:jc w:val="left"/>
              <w:rPr>
                <w:sz w:val="4"/>
                <w:szCs w:val="4"/>
              </w:rPr>
            </w:pPr>
            <w:r>
              <w:rPr>
                <w:sz w:val="4"/>
                <w:szCs w:val="4"/>
              </w:rPr>
            </w:r>
          </w:p>
        </w:tc>
        <w:tc>
          <w:tcPr>
            <w:tcW w:w="1160" w:type="dxa"/>
            <w:tcBorders/>
            <w:shd w:fill="FFFFFF" w:val="clear"/>
            <w:vAlign w:val="center"/>
          </w:tcPr>
          <w:p>
            <w:pPr>
              <w:pStyle w:val="TableContents"/>
              <w:bidi w:val="0"/>
              <w:spacing w:before="0" w:after="283"/>
              <w:jc w:val="left"/>
              <w:rPr>
                <w:sz w:val="4"/>
                <w:szCs w:val="4"/>
              </w:rPr>
            </w:pPr>
            <w:r>
              <w:rPr>
                <w:sz w:val="4"/>
                <w:szCs w:val="4"/>
              </w:rPr>
            </w:r>
          </w:p>
        </w:tc>
        <w:tc>
          <w:tcPr>
            <w:tcW w:w="726"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r>
      <w:tr>
        <w:trPr/>
        <w:tc>
          <w:tcPr>
            <w:tcW w:w="76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604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65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jc w:val="center"/>
              <w:rPr>
                <w:rFonts w:ascii="Times New Roman" w:hAnsi="Times New Roman"/>
                <w:b/>
                <w:color w:val="000000"/>
                <w:sz w:val="16"/>
              </w:rPr>
            </w:pPr>
            <w:r>
              <w:rPr>
                <w:rFonts w:ascii="Times New Roman" w:hAnsi="Times New Roman"/>
                <w:b/>
                <w:color w:val="000000"/>
                <w:sz w:val="16"/>
              </w:rPr>
              <w:t>with this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w:t>
            </w:r>
          </w:p>
        </w:tc>
        <w:tc>
          <w:tcPr>
            <w:tcW w:w="1160"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w:t>
            </w:r>
          </w:p>
          <w:p>
            <w:pPr>
              <w:pStyle w:val="TableContents"/>
              <w:bidi w:val="0"/>
              <w:jc w:val="center"/>
              <w:rPr>
                <w:rFonts w:ascii="Times New Roman" w:hAnsi="Times New Roman"/>
                <w:b/>
                <w:color w:val="000000"/>
                <w:sz w:val="16"/>
              </w:rPr>
            </w:pPr>
            <w:r>
              <w:rPr>
                <w:rFonts w:ascii="Times New Roman" w:hAnsi="Times New Roman"/>
                <w:b/>
                <w:color w:val="000000"/>
                <w:sz w:val="16"/>
              </w:rPr>
              <w:t>Reference herein</w:t>
            </w:r>
          </w:p>
          <w:p>
            <w:pPr>
              <w:pStyle w:val="TableContents"/>
              <w:bidi w:val="0"/>
              <w:jc w:val="center"/>
              <w:rPr>
                <w:rFonts w:ascii="Times New Roman" w:hAnsi="Times New Roman"/>
                <w:b/>
                <w:color w:val="000000"/>
                <w:sz w:val="16"/>
              </w:rPr>
            </w:pPr>
            <w:r>
              <w:rPr>
                <w:rFonts w:ascii="Times New Roman" w:hAnsi="Times New Roman"/>
                <w:b/>
                <w:color w:val="000000"/>
                <w:sz w:val="16"/>
              </w:rPr>
              <w:t>from Form or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w:t>
            </w:r>
          </w:p>
        </w:tc>
        <w:tc>
          <w:tcPr>
            <w:tcW w:w="7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85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SEC</w:t>
            </w:r>
          </w:p>
          <w:p>
            <w:pPr>
              <w:pStyle w:val="TableContents"/>
              <w:bidi w:val="0"/>
              <w:jc w:val="center"/>
              <w:rPr>
                <w:rFonts w:ascii="Times New Roman" w:hAnsi="Times New Roman"/>
                <w:b/>
                <w:color w:val="000000"/>
                <w:sz w:val="16"/>
              </w:rPr>
            </w:pPr>
            <w:r>
              <w:rPr>
                <w:rFonts w:ascii="Times New Roman" w:hAnsi="Times New Roman"/>
                <w:b/>
                <w:color w:val="000000"/>
                <w:sz w:val="16"/>
              </w:rPr>
              <w:t>File/Reg.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Operating Company Inc. and Ginkgo Bioworks, Inc.</w:t>
              </w:r>
            </w:hyperlink>
          </w:p>
        </w:tc>
        <w:tc>
          <w:tcPr>
            <w:tcW w:w="655" w:type="dxa"/>
            <w:tcBorders/>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6047"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Synlogic, Inc. 2015 Employee Stock Purchase Plan, as amended</w:t>
              </w:r>
            </w:hyperlink>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10.1)</w:t>
            </w:r>
          </w:p>
        </w:tc>
        <w:tc>
          <w:tcPr>
            <w:tcW w:w="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12/20/2019</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6047"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Lease Termination Agreement by and between BMR-Rogers Street LLC and Synlogic, Inc.</w:t>
              </w:r>
            </w:hyperlink>
            <w:hyperlink r:id="rId42">
              <w:r>
                <w:rPr>
                  <w:rStyle w:val="InternetLink"/>
                  <w:rFonts w:ascii="Times New Roman" w:hAnsi="Times New Roman"/>
                  <w:color w:val="0000FF"/>
                  <w:sz w:val="20"/>
                </w:rPr>
                <w:t xml:space="preserve"> </w:t>
              </w:r>
            </w:hyperlink>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10-Q</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10.2)</w:t>
            </w:r>
          </w:p>
        </w:tc>
        <w:tc>
          <w:tcPr>
            <w:tcW w:w="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08/08/2024</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001-37566</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6047" w:type="dxa"/>
            <w:tcBorders/>
            <w:tcMar>
              <w:top w:w="0" w:type="dxa"/>
              <w:left w:w="0" w:type="dxa"/>
              <w:bottom w:w="0" w:type="dxa"/>
              <w:right w:w="0" w:type="dxa"/>
            </w:tcMar>
            <w:vAlign w:val="center"/>
          </w:tcPr>
          <w:p>
            <w:pPr>
              <w:pStyle w:val="TableContents"/>
              <w:bidi w:val="0"/>
              <w:spacing w:before="0" w:after="283"/>
              <w:jc w:val="left"/>
              <w:rPr/>
            </w:pPr>
            <w:hyperlink w:anchor="sybx-ex19_1.htm">
              <w:r>
                <w:rPr>
                  <w:rStyle w:val="InternetLink"/>
                  <w:rFonts w:ascii="Times New Roman" w:hAnsi="Times New Roman"/>
                  <w:color w:val="0000FF"/>
                  <w:sz w:val="20"/>
                  <w:u w:val="single"/>
                </w:rPr>
                <w:t>Synlogic's Insider Trading Policy</w:t>
              </w:r>
            </w:hyperlink>
            <w:hyperlink w:anchor="sybx-ex19_1.htm">
              <w:r>
                <w:rPr>
                  <w:rStyle w:val="InternetLink"/>
                  <w:rFonts w:ascii="Times New Roman" w:hAnsi="Times New Roman"/>
                  <w:color w:val="0000FF"/>
                  <w:sz w:val="20"/>
                </w:rPr>
                <w:t xml:space="preserve"> </w:t>
              </w:r>
            </w:hyperlink>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6047" w:type="dxa"/>
            <w:tcBorders/>
            <w:tcMar>
              <w:top w:w="0" w:type="dxa"/>
              <w:left w:w="0" w:type="dxa"/>
              <w:bottom w:w="0" w:type="dxa"/>
              <w:right w:w="0" w:type="dxa"/>
            </w:tcMar>
            <w:vAlign w:val="center"/>
          </w:tcPr>
          <w:p>
            <w:pPr>
              <w:pStyle w:val="TableContents"/>
              <w:bidi w:val="0"/>
              <w:spacing w:before="0" w:after="283"/>
              <w:jc w:val="left"/>
              <w:rPr/>
            </w:pPr>
            <w:hyperlink w:anchor="sybx-ex21_1.htm">
              <w:r>
                <w:rPr>
                  <w:rStyle w:val="InternetLink"/>
                  <w:rFonts w:ascii="Times New Roman" w:hAnsi="Times New Roman"/>
                  <w:color w:val="0000FF"/>
                  <w:sz w:val="20"/>
                  <w:u w:val="single"/>
                </w:rPr>
                <w:t>Subsidiaries of the registrant</w:t>
              </w:r>
            </w:hyperlink>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6047" w:type="dxa"/>
            <w:tcBorders/>
            <w:tcMar>
              <w:top w:w="0" w:type="dxa"/>
              <w:left w:w="0" w:type="dxa"/>
              <w:bottom w:w="0" w:type="dxa"/>
              <w:right w:w="0" w:type="dxa"/>
            </w:tcMar>
            <w:vAlign w:val="center"/>
          </w:tcPr>
          <w:p>
            <w:pPr>
              <w:pStyle w:val="TableContents"/>
              <w:bidi w:val="0"/>
              <w:spacing w:before="0" w:after="283"/>
              <w:jc w:val="left"/>
              <w:rPr/>
            </w:pPr>
            <w:hyperlink w:anchor="sybx-ex23_1.htm">
              <w:r>
                <w:rPr>
                  <w:rStyle w:val="InternetLink"/>
                  <w:rFonts w:ascii="Times New Roman" w:hAnsi="Times New Roman"/>
                  <w:color w:val="0000FF"/>
                  <w:sz w:val="20"/>
                  <w:u w:val="single"/>
                </w:rPr>
                <w:t>Consent of Independent Registered Public Accounting Firm</w:t>
              </w:r>
            </w:hyperlink>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6047"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(included in the signature page hereto)</w:t>
              </w:r>
            </w:hyperlink>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6047" w:type="dxa"/>
            <w:tcBorders/>
            <w:tcMar>
              <w:top w:w="0" w:type="dxa"/>
              <w:left w:w="0" w:type="dxa"/>
              <w:bottom w:w="0" w:type="dxa"/>
              <w:right w:w="0" w:type="dxa"/>
            </w:tcMar>
            <w:vAlign w:val="center"/>
          </w:tcPr>
          <w:p>
            <w:pPr>
              <w:pStyle w:val="TableContents"/>
              <w:bidi w:val="0"/>
              <w:spacing w:before="0" w:after="283"/>
              <w:jc w:val="left"/>
              <w:rPr/>
            </w:pPr>
            <w:hyperlink w:anchor="sybx-ex31_1.htm">
              <w:r>
                <w:rPr>
                  <w:rStyle w:val="InternetLink"/>
                  <w:rFonts w:ascii="Times New Roman" w:hAnsi="Times New Roman"/>
                  <w:color w:val="0000FF"/>
                  <w:sz w:val="20"/>
                  <w:u w:val="single"/>
                </w:rPr>
                <w:t>Certification of Chief Executive Officer required by Rule 13a-14(a) or Rule 15d-14(a).</w:t>
              </w:r>
            </w:hyperlink>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6047" w:type="dxa"/>
            <w:tcBorders/>
            <w:tcMar>
              <w:top w:w="0" w:type="dxa"/>
              <w:left w:w="0" w:type="dxa"/>
              <w:bottom w:w="0" w:type="dxa"/>
              <w:right w:w="0" w:type="dxa"/>
            </w:tcMar>
            <w:vAlign w:val="center"/>
          </w:tcPr>
          <w:p>
            <w:pPr>
              <w:pStyle w:val="TableContents"/>
              <w:bidi w:val="0"/>
              <w:spacing w:before="0" w:after="283"/>
              <w:jc w:val="left"/>
              <w:rPr/>
            </w:pPr>
            <w:hyperlink w:anchor="sybx-ex31_2.htm">
              <w:r>
                <w:rPr>
                  <w:rStyle w:val="InternetLink"/>
                  <w:rFonts w:ascii="Times New Roman" w:hAnsi="Times New Roman"/>
                  <w:color w:val="0000FF"/>
                  <w:sz w:val="20"/>
                  <w:u w:val="single"/>
                </w:rPr>
                <w:t>Certification of Chief Financial Officer required by Rule 13a-14(a) or Rule 15d-14(a).</w:t>
              </w:r>
            </w:hyperlink>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6047" w:type="dxa"/>
            <w:tcBorders/>
            <w:tcMar>
              <w:top w:w="0" w:type="dxa"/>
              <w:left w:w="0" w:type="dxa"/>
              <w:bottom w:w="0" w:type="dxa"/>
              <w:right w:w="0" w:type="dxa"/>
            </w:tcMar>
            <w:vAlign w:val="center"/>
          </w:tcPr>
          <w:p>
            <w:pPr>
              <w:pStyle w:val="TableContents"/>
              <w:bidi w:val="0"/>
              <w:spacing w:before="0" w:after="283"/>
              <w:jc w:val="left"/>
              <w:rPr/>
            </w:pPr>
            <w:hyperlink w:anchor="sybx-ex32.htm">
              <w:r>
                <w:rPr>
                  <w:rStyle w:val="InternetLink"/>
                  <w:rFonts w:ascii="Times New Roman" w:hAnsi="Times New Roman"/>
                  <w:color w:val="0000FF"/>
                  <w:sz w:val="20"/>
                  <w:u w:val="single"/>
                </w:rPr>
                <w:t>Certification required by Rule 13a-14(b) or Rule 15d-14(b) and Section 1350 of Chapter 63 of Title 18 of the United States Code (18 U.S.C. §1350).</w:t>
              </w:r>
            </w:hyperlink>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6047" w:type="dxa"/>
            <w:tcBorders/>
            <w:tcMar>
              <w:top w:w="0" w:type="dxa"/>
              <w:left w:w="0" w:type="dxa"/>
              <w:bottom w:w="0" w:type="dxa"/>
              <w:right w:w="0" w:type="dxa"/>
            </w:tcMar>
            <w:vAlign w:val="center"/>
          </w:tcPr>
          <w:p>
            <w:pPr>
              <w:pStyle w:val="TableContents"/>
              <w:bidi w:val="0"/>
              <w:spacing w:before="0" w:after="283"/>
              <w:jc w:val="left"/>
              <w:rPr/>
            </w:pPr>
            <w:hyperlink w:anchor="sybx-ex97_1.htm">
              <w:r>
                <w:rPr>
                  <w:rStyle w:val="InternetLink"/>
                  <w:rFonts w:ascii="Times New Roman" w:hAnsi="Times New Roman"/>
                  <w:color w:val="0000FF"/>
                  <w:sz w:val="20"/>
                  <w:u w:val="single"/>
                </w:rPr>
                <w:t>Synlogic's Incentive Compensation Recovery Policy</w:t>
              </w:r>
            </w:hyperlink>
            <w:hyperlink w:anchor="sybx-ex97_1.htm">
              <w:r>
                <w:rPr>
                  <w:rStyle w:val="InternetLink"/>
                  <w:rFonts w:ascii="Times New Roman" w:hAnsi="Times New Roman"/>
                  <w:color w:val="0000FF"/>
                  <w:sz w:val="20"/>
                </w:rPr>
                <w:t xml:space="preserve"> </w:t>
              </w:r>
            </w:hyperlink>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60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 the instance document does not appear in the Interactive Data File because XBRL tags are embedded within the Inline XBRL document.</w:t>
            </w:r>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60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0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(embedded within the Inline XBRL document)</w:t>
            </w:r>
          </w:p>
        </w:tc>
        <w:tc>
          <w:tcPr>
            <w:tcW w:w="6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1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The schedules and exhibits to this exhibit have been omitted pursuant to Item 601(b)(2) of Regulation S-K. A copy of any omitted schedule and/or exhibit will be furnished to the SEC upon request.</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plans or arrangements.</w:t>
      </w:r>
    </w:p>
    <w:p>
      <w:pPr>
        <w:pStyle w:val="TextBody"/>
        <w:bidi w:val="0"/>
        <w:jc w:val="left"/>
        <w:rPr>
          <w:rFonts w:ascii="Times New Roman" w:hAnsi="Times New Roman"/>
          <w:color w:val="000000"/>
          <w:sz w:val="20"/>
        </w:rPr>
      </w:pPr>
      <w:r>
        <w:rPr>
          <w:rFonts w:ascii="Times New Roman" w:hAnsi="Times New Roman"/>
          <w:color w:val="000000"/>
          <w:sz w:val="20"/>
        </w:rPr>
        <w:t> Portions of this exhibit (indicated by asterisks) have been omitted in accordance with the rules of the SEC.</w:t>
      </w:r>
    </w:p>
    <w:p>
      <w:pPr>
        <w:pStyle w:val="TextBody"/>
        <w:bidi w:val="0"/>
        <w:spacing w:before="360" w:after="283"/>
        <w:jc w:val="left"/>
        <w:rPr>
          <w:rFonts w:ascii="Times New Roman" w:hAnsi="Times New Roman"/>
          <w:sz w:val="20"/>
        </w:rPr>
      </w:pPr>
      <w:bookmarkStart w:id="31" w:name="item16"/>
      <w:bookmarkEnd w:id="31"/>
      <w:r>
        <w:rPr>
          <w:rFonts w:ascii="Times New Roman" w:hAnsi="Times New Roman"/>
          <w:b/>
          <w:color w:val="000000"/>
          <w:sz w:val="20"/>
        </w:rPr>
        <w:t xml:space="preserve">Item 16. Form </w:t>
      </w:r>
      <w:bookmarkStart w:id="32" w:name="item_16_form_10k_summary"/>
      <w:bookmarkEnd w:id="32"/>
      <w:r>
        <w:rPr>
          <w:rFonts w:ascii="Times New Roman" w:hAnsi="Times New Roman"/>
          <w:b/>
          <w:color w:val="000000"/>
          <w:sz w:val="20"/>
        </w:rPr>
        <w:t>10-K Summ</w:t>
      </w:r>
      <w:bookmarkStart w:id="33" w:name="item16_form10k"/>
      <w:bookmarkEnd w:id="33"/>
      <w:r>
        <w:rPr>
          <w:rFonts w:ascii="Times New Roman" w:hAnsi="Times New Roman"/>
          <w:b/>
          <w:color w:val="000000"/>
          <w:sz w:val="20"/>
        </w:rPr>
        <w:t>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34" w:name="signatures"/>
      <w:bookmarkEnd w:id="34"/>
      <w:r>
        <w:rPr>
          <w:rFonts w:ascii="Times New Roman" w:hAnsi="Times New Roman"/>
          <w:b/>
          <w:color w:val="000000"/>
          <w:sz w:val="20"/>
        </w:rPr>
        <w:t>SIGNATURES</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9532" w:type="dxa"/>
        <w:jc w:val="left"/>
        <w:tblInd w:w="0" w:type="dxa"/>
        <w:tblLayout w:type="fixed"/>
        <w:tblCellMar>
          <w:top w:w="28" w:type="dxa"/>
          <w:left w:w="28" w:type="dxa"/>
          <w:bottom w:w="28" w:type="dxa"/>
          <w:right w:w="28" w:type="dxa"/>
        </w:tblCellMar>
      </w:tblPr>
      <w:tblGrid>
        <w:gridCol w:w="1786"/>
        <w:gridCol w:w="109"/>
        <w:gridCol w:w="406"/>
        <w:gridCol w:w="723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23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Synlogic, Inc.</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2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MARY BETH DOOLEY</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Mary Beth Dooley</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Principal Executive Officer and Principal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 principal financial officer and principal accounting officer)</w:t>
            </w:r>
          </w:p>
        </w:tc>
      </w:tr>
    </w:tbl>
    <w:p>
      <w:pPr>
        <w:pStyle w:val="TextBody"/>
        <w:bidi w:val="0"/>
        <w:jc w:val="left"/>
        <w:rPr/>
      </w:pPr>
      <w:bookmarkStart w:id="35" w:name="power_of_attorney"/>
      <w:bookmarkEnd w:id="35"/>
      <w:r>
        <w:rPr/>
        <w:t> </w:t>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Mary Beth Dooley her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U.S.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or her substitutes or substitute, may lawfully do or cause to be done by virtue hereof.</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WITNESS WHEREOF, each of the undersigned has executed this Power of Attorney as of the date indicated opposite his name.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in the capacities indicated below and on the dates indicated.</w:t>
      </w:r>
    </w:p>
    <w:p>
      <w:pPr>
        <w:pStyle w:val="TextBody"/>
        <w:bidi w:val="0"/>
        <w:jc w:val="left"/>
        <w:rPr/>
      </w:pPr>
      <w:r>
        <w:rPr/>
        <w:t> </w:t>
      </w:r>
    </w:p>
    <w:tbl>
      <w:tblPr>
        <w:tblW w:w="10150" w:type="dxa"/>
        <w:jc w:val="left"/>
        <w:tblInd w:w="0" w:type="dxa"/>
        <w:tblLayout w:type="fixed"/>
        <w:tblCellMar>
          <w:top w:w="28" w:type="dxa"/>
          <w:left w:w="28" w:type="dxa"/>
          <w:bottom w:w="28" w:type="dxa"/>
          <w:right w:w="28" w:type="dxa"/>
        </w:tblCellMar>
      </w:tblPr>
      <w:tblGrid>
        <w:gridCol w:w="2326"/>
        <w:gridCol w:w="146"/>
        <w:gridCol w:w="6196"/>
        <w:gridCol w:w="146"/>
        <w:gridCol w:w="133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3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MARY BETH DOOLEY</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i/>
                <w:color w:val="000000"/>
                <w:sz w:val="19"/>
              </w:rPr>
              <w:t>Principal Executive Officer and Principal Financial Officer</w:t>
            </w:r>
            <w:r>
              <w:rPr>
                <w:rFonts w:ascii="Times New Roman" w:hAnsi="Times New Roman"/>
                <w:color w:val="000000"/>
                <w:sz w:val="19"/>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Mary Beth Dooley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(principal executive officer, principal financial officer and principal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March 6, 2025</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BARRETT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Peter Barrett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Chairman of the 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March 6, 2025</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FLYNN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James Flynn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March 6, 2025</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EDWARD MATHERS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Edward Mathers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9"/>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March 6, 2025</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RICHARD P. SHEA</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Richard P. Shea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9"/>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March 6, 2025</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Statements of Synlogic, Inc.</w:t>
      </w:r>
    </w:p>
    <w:p>
      <w:pPr>
        <w:pStyle w:val="TextBody"/>
        <w:bidi w:val="0"/>
        <w:jc w:val="left"/>
        <w:rPr/>
      </w:pPr>
      <w:r>
        <w:rPr/>
        <w:t> </w:t>
      </w:r>
    </w:p>
    <w:tbl>
      <w:tblPr>
        <w:tblW w:w="9272" w:type="dxa"/>
        <w:jc w:val="left"/>
        <w:tblInd w:w="0" w:type="dxa"/>
        <w:tblLayout w:type="fixed"/>
        <w:tblCellMar>
          <w:top w:w="28" w:type="dxa"/>
          <w:left w:w="28" w:type="dxa"/>
          <w:bottom w:w="28" w:type="dxa"/>
          <w:right w:w="28" w:type="dxa"/>
        </w:tblCellMar>
      </w:tblPr>
      <w:tblGrid>
        <w:gridCol w:w="8851"/>
        <w:gridCol w:w="421"/>
      </w:tblGrid>
      <w:tr>
        <w:trPr/>
        <w:tc>
          <w:tcPr>
            <w:tcW w:w="885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88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FF"/>
                  <w:sz w:val="20"/>
                  <w:u w:val="single"/>
                </w:rPr>
                <w:t>Report of Independent Registered Public Accounting Firm (KPMG LLP, Boston, MA, Auditor Firm ID: 185)</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88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hyperlink w:anchor="consolidated_balance_sheets">
              <w:r>
                <w:rPr>
                  <w:rStyle w:val="InternetLink"/>
                  <w:rFonts w:ascii="Times New Roman" w:hAnsi="Times New Roman"/>
                  <w:color w:val="0000FF"/>
                  <w:sz w:val="20"/>
                </w:rPr>
                <w:t xml:space="preserve"> </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F-3</w:t>
            </w:r>
          </w:p>
        </w:tc>
      </w:tr>
      <w:tr>
        <w:trPr/>
        <w:tc>
          <w:tcPr>
            <w:tcW w:w="88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 and Comprehensive Loss</w:t>
              </w:r>
            </w:hyperlink>
            <w:hyperlink w:anchor="consolidated_statements_operations">
              <w:r>
                <w:rPr>
                  <w:rStyle w:val="InternetLink"/>
                  <w:rFonts w:ascii="Times New Roman" w:hAnsi="Times New Roman"/>
                  <w:color w:val="0000FF"/>
                  <w:sz w:val="20"/>
                </w:rPr>
                <w:t xml:space="preserve"> </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88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stockholders_equ">
              <w:r>
                <w:rPr>
                  <w:rStyle w:val="InternetLink"/>
                  <w:rFonts w:ascii="Times New Roman" w:hAnsi="Times New Roman"/>
                  <w:color w:val="0000FF"/>
                  <w:sz w:val="20"/>
                  <w:u w:val="single"/>
                </w:rPr>
                <w:t>Consolidated Statements of Stockholders’ Equity</w:t>
              </w:r>
            </w:hyperlink>
            <w:hyperlink w:anchor="consolidated_statements_stockholders_equ">
              <w:r>
                <w:rPr>
                  <w:rStyle w:val="InternetLink"/>
                  <w:rFonts w:ascii="Times New Roman" w:hAnsi="Times New Roman"/>
                  <w:color w:val="0000FF"/>
                  <w:sz w:val="20"/>
                </w:rPr>
                <w:t xml:space="preserve"> </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88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w:t>
              </w:r>
            </w:hyperlink>
            <w:hyperlink w:anchor="consolidated_statements_cash_flows">
              <w:r>
                <w:rPr>
                  <w:rStyle w:val="InternetLink"/>
                  <w:rFonts w:ascii="Times New Roman" w:hAnsi="Times New Roman"/>
                  <w:color w:val="0000FF"/>
                  <w:sz w:val="20"/>
                </w:rPr>
                <w:t xml:space="preserve"> </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88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2">
              <w:r>
                <w:rPr>
                  <w:rStyle w:val="InternetLink"/>
                  <w:rFonts w:ascii="Times New Roman" w:hAnsi="Times New Roman"/>
                  <w:color w:val="0000FF"/>
                  <w:sz w:val="20"/>
                  <w:u w:val="single"/>
                </w:rPr>
                <w:t>Notes to Consolidated Financial Statements</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36" w:name="report_independent_registered_public_acc"/>
      <w:bookmarkEnd w:id="36"/>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and Board of Directors</w:t>
        <w:br/>
        <w:t>Synlogic, Inc.:</w:t>
      </w:r>
    </w:p>
    <w:p>
      <w:pPr>
        <w:pStyle w:val="TextBody"/>
        <w:bidi w:val="0"/>
        <w:jc w:val="left"/>
        <w:rPr/>
      </w:pPr>
      <w:r>
        <w:rPr/>
        <w:t> </w:t>
      </w:r>
    </w:p>
    <w:p>
      <w:pPr>
        <w:pStyle w:val="TextBody"/>
        <w:bidi w:val="0"/>
        <w:spacing w:before="0" w:after="100"/>
        <w:jc w:val="left"/>
        <w:rPr>
          <w:rFonts w:ascii="Times New Roman" w:hAnsi="Times New Roman"/>
          <w:i/>
          <w:color w:val="000000"/>
          <w:sz w:val="20"/>
        </w:rPr>
      </w:pPr>
      <w:r>
        <w:rPr>
          <w:rFonts w:ascii="Times New Roman" w:hAnsi="Times New Roman"/>
          <w:i/>
          <w:color w:val="000000"/>
          <w:sz w:val="20"/>
        </w:rPr>
        <w:t>Opinion on the Consolidated Financial Statements</w:t>
      </w:r>
    </w:p>
    <w:p>
      <w:pPr>
        <w:pStyle w:val="TextBody"/>
        <w:bidi w:val="0"/>
        <w:jc w:val="left"/>
        <w:rPr>
          <w:rFonts w:ascii="Times New Roman" w:hAnsi="Times New Roman"/>
          <w:color w:val="000000"/>
          <w:sz w:val="20"/>
        </w:rPr>
      </w:pPr>
      <w:r>
        <w:rPr>
          <w:rFonts w:ascii="Times New Roman" w:hAnsi="Times New Roman"/>
          <w:color w:val="000000"/>
          <w:sz w:val="20"/>
        </w:rPr>
        <w:t>We have audited the accompanying consolidated balance sheets of Synlogic, Inc. and subsidiaries (the Company) as of December 31, 2024 and 2023, the related consolidated statements of operations and comprehensive loss, stockholders’ equity, and cash flows for the years then ended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the years then ended, in conformity with U.S. generally accepted accounting principles.</w:t>
      </w:r>
    </w:p>
    <w:p>
      <w:pPr>
        <w:pStyle w:val="TextBody"/>
        <w:bidi w:val="0"/>
        <w:jc w:val="left"/>
        <w:rPr/>
      </w:pPr>
      <w:r>
        <w:rPr/>
        <w:t> </w:t>
      </w:r>
    </w:p>
    <w:p>
      <w:pPr>
        <w:pStyle w:val="TextBody"/>
        <w:bidi w:val="0"/>
        <w:spacing w:before="0" w:after="100"/>
        <w:jc w:val="left"/>
        <w:rPr>
          <w:rFonts w:ascii="Times New Roman" w:hAnsi="Times New Roman"/>
          <w:i/>
          <w:color w:val="000000"/>
          <w:sz w:val="20"/>
        </w:rPr>
      </w:pPr>
      <w:r>
        <w:rPr>
          <w:rFonts w:ascii="Times New Roman" w:hAnsi="Times New Roman"/>
          <w:i/>
          <w:color w:val="000000"/>
          <w:sz w:val="20"/>
        </w:rPr>
        <w:t>Basis for Opinion</w:t>
      </w:r>
    </w:p>
    <w:p>
      <w:pPr>
        <w:pStyle w:val="TextBody"/>
        <w:bidi w:val="0"/>
        <w:jc w:val="left"/>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jc w:val="left"/>
        <w:rPr/>
      </w:pPr>
      <w:r>
        <w:rPr/>
        <w:t> </w:t>
      </w:r>
    </w:p>
    <w:p>
      <w:pPr>
        <w:pStyle w:val="TextBody"/>
        <w:bidi w:val="0"/>
        <w:spacing w:before="0" w:after="100"/>
        <w:jc w:val="left"/>
        <w:rPr>
          <w:rFonts w:ascii="Times New Roman" w:hAnsi="Times New Roman"/>
          <w:i/>
          <w:color w:val="000000"/>
          <w:sz w:val="20"/>
        </w:rPr>
      </w:pPr>
      <w:r>
        <w:rPr>
          <w:rFonts w:ascii="Times New Roman" w:hAnsi="Times New Roman"/>
          <w:i/>
          <w:color w:val="000000"/>
          <w:sz w:val="20"/>
        </w:rPr>
        <w:t>Critical Audit Matters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pStyle w:val="TextBody"/>
        <w:bidi w:val="0"/>
        <w:spacing w:before="0" w:after="10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 KPMG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2015.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Boston, Massachusetts</w:t>
        <w:br/>
        <w:t>March 6, 2025</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37" w:name="item8"/>
      <w:bookmarkEnd w:id="37"/>
      <w:r>
        <w:rPr>
          <w:rFonts w:ascii="Times New Roman" w:hAnsi="Times New Roman"/>
          <w:b/>
          <w:color w:val="000000"/>
          <w:sz w:val="20"/>
        </w:rPr>
        <w:t>SYNLOGIC, INC. AND SUBSIDIARIES</w:t>
      </w:r>
    </w:p>
    <w:p>
      <w:pPr>
        <w:pStyle w:val="TextBody"/>
        <w:bidi w:val="0"/>
        <w:spacing w:before="120" w:after="283"/>
        <w:jc w:val="center"/>
        <w:rPr>
          <w:rFonts w:ascii="Times New Roman" w:hAnsi="Times New Roman"/>
          <w:color w:val="000000"/>
          <w:sz w:val="20"/>
        </w:rPr>
      </w:pPr>
      <w:bookmarkStart w:id="38" w:name="consolidated_balance_sheets"/>
      <w:bookmarkEnd w:id="38"/>
      <w:r>
        <w:rPr>
          <w:rFonts w:ascii="Times New Roman" w:hAnsi="Times New Roman"/>
          <w:color w:val="000000"/>
          <w:sz w:val="20"/>
        </w:rPr>
        <w:t>Consolidated Balance Sheets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98"/>
        <w:gridCol w:w="146"/>
        <w:gridCol w:w="214"/>
        <w:gridCol w:w="854"/>
        <w:gridCol w:w="166"/>
        <w:gridCol w:w="146"/>
        <w:gridCol w:w="214"/>
        <w:gridCol w:w="854"/>
        <w:gridCol w:w="613"/>
      </w:tblGrid>
      <w:tr>
        <w:trPr/>
        <w:tc>
          <w:tcPr>
            <w:tcW w:w="6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 - operating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12,102</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6,825</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75,550</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liability - 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liability - operating lease,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$0.001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250,000,000 shares authorized as of December 31, 2024 and December 31, 2023;</w:t>
              <w:br/>
              <w:t>   11,975,901 shares issued and 11,696,109 shares outstanding as of December 31, 2024 and 9,465,949 shares issued and 9,186,157 shares outstanding 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453,565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(418,292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Treasury stock, at cost (279,792 shares at December 31, 2024 and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75,550</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Synlogic, INC. aND SUBSIDIARIES</w:t>
      </w:r>
    </w:p>
    <w:p>
      <w:pPr>
        <w:pStyle w:val="TextBody"/>
        <w:bidi w:val="0"/>
        <w:spacing w:before="120" w:after="283"/>
        <w:jc w:val="center"/>
        <w:rPr>
          <w:rFonts w:ascii="Times New Roman" w:hAnsi="Times New Roman"/>
          <w:color w:val="000000"/>
          <w:sz w:val="20"/>
        </w:rPr>
      </w:pPr>
      <w:bookmarkStart w:id="39" w:name="consolidated_statements_operations"/>
      <w:bookmarkEnd w:id="39"/>
      <w:r>
        <w:rPr>
          <w:rFonts w:ascii="Times New Roman" w:hAnsi="Times New Roman"/>
          <w:color w:val="000000"/>
          <w:sz w:val="20"/>
        </w:rPr>
        <w:t>Consolidated Statements of Operations and Comprehensive Loss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(In thousands, except share and per share amounts)</w:t>
      </w:r>
    </w:p>
    <w:tbl>
      <w:tblPr>
        <w:tblW w:w="7808" w:type="dxa"/>
        <w:jc w:val="left"/>
        <w:tblInd w:w="0" w:type="dxa"/>
        <w:tblLayout w:type="fixed"/>
        <w:tblCellMar>
          <w:top w:w="28" w:type="dxa"/>
          <w:left w:w="28" w:type="dxa"/>
          <w:bottom w:w="28" w:type="dxa"/>
          <w:right w:w="28" w:type="dxa"/>
        </w:tblCellMar>
      </w:tblPr>
      <w:tblGrid>
        <w:gridCol w:w="4496"/>
        <w:gridCol w:w="211"/>
        <w:gridCol w:w="1036"/>
        <w:gridCol w:w="166"/>
        <w:gridCol w:w="146"/>
        <w:gridCol w:w="211"/>
        <w:gridCol w:w="931"/>
        <w:gridCol w:w="611"/>
      </w:tblGrid>
      <w:tr>
        <w:trPr/>
        <w:tc>
          <w:tcPr>
            <w:tcW w:w="4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Restructuring and other charges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and investment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 in fair value of purchase warrant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(61,259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 per share -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12,196,209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6,502,279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(loss) gain on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(61,106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Synlogic, INC. aND SUBSIDIARIES</w:t>
      </w:r>
    </w:p>
    <w:p>
      <w:pPr>
        <w:pStyle w:val="TextBody"/>
        <w:bidi w:val="0"/>
        <w:spacing w:before="120" w:after="283"/>
        <w:jc w:val="center"/>
        <w:rPr>
          <w:rFonts w:ascii="Times New Roman" w:hAnsi="Times New Roman"/>
          <w:color w:val="000000"/>
          <w:sz w:val="20"/>
        </w:rPr>
      </w:pPr>
      <w:bookmarkStart w:id="40" w:name="consolidated_statements_stockholders_equ"/>
      <w:bookmarkEnd w:id="40"/>
      <w:r>
        <w:rPr>
          <w:rFonts w:ascii="Times New Roman" w:hAnsi="Times New Roman"/>
          <w:color w:val="000000"/>
          <w:sz w:val="20"/>
        </w:rPr>
        <w:t>Consolidated Statements of Stockholders’ Equity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55"/>
        <w:gridCol w:w="146"/>
        <w:gridCol w:w="916"/>
        <w:gridCol w:w="166"/>
        <w:gridCol w:w="249"/>
        <w:gridCol w:w="442"/>
        <w:gridCol w:w="146"/>
        <w:gridCol w:w="196"/>
        <w:gridCol w:w="691"/>
        <w:gridCol w:w="146"/>
        <w:gridCol w:w="363"/>
        <w:gridCol w:w="808"/>
        <w:gridCol w:w="166"/>
        <w:gridCol w:w="217"/>
        <w:gridCol w:w="834"/>
        <w:gridCol w:w="166"/>
        <w:gridCol w:w="146"/>
        <w:gridCol w:w="751"/>
        <w:gridCol w:w="166"/>
        <w:gridCol w:w="196"/>
        <w:gridCol w:w="571"/>
        <w:gridCol w:w="166"/>
        <w:gridCol w:w="249"/>
        <w:gridCol w:w="841"/>
        <w:gridCol w:w="212"/>
      </w:tblGrid>
      <w:tr>
        <w:trPr/>
        <w:tc>
          <w:tcPr>
            <w:tcW w:w="12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2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Common stock </w:t>
              <w:br/>
              <w:t>$0.001 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4,728,874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442,303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82,610</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issuance of common stock and accompanying pre-funded warrants,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3,921,928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issuance of common stock in connection with at-the-market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Cancellation of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Reverse split: fractional share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(61,273</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9,465,949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453,565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(418,292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32,771</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issuance of common stock in connection with at-the-market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Cancellation of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(23,359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11,975,901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456,908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(441,651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12,751</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0"/>
        </w:rPr>
      </w:pPr>
      <w:r>
        <w:rPr>
          <w:rFonts w:ascii="Times New Roman" w:hAnsi="Times New Roman"/>
          <w:b/>
          <w:caps/>
          <w:color w:val="000000"/>
          <w:sz w:val="20"/>
        </w:rPr>
        <w:t>Synlogic, INC. AND SUBSIDIARIES</w:t>
      </w:r>
    </w:p>
    <w:p>
      <w:pPr>
        <w:pStyle w:val="TextBody"/>
        <w:bidi w:val="0"/>
        <w:spacing w:before="120" w:after="283"/>
        <w:jc w:val="center"/>
        <w:rPr>
          <w:rFonts w:ascii="Times New Roman" w:hAnsi="Times New Roman"/>
          <w:color w:val="000000"/>
          <w:sz w:val="20"/>
        </w:rPr>
      </w:pPr>
      <w:bookmarkStart w:id="41" w:name="consolidated_statements_cash_flows"/>
      <w:bookmarkEnd w:id="41"/>
      <w:r>
        <w:rPr>
          <w:rFonts w:ascii="Times New Roman" w:hAnsi="Times New Roman"/>
          <w:color w:val="000000"/>
          <w:sz w:val="20"/>
        </w:rPr>
        <w:t>Consolidated Statements of Cash Flows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6601"/>
        <w:gridCol w:w="746"/>
        <w:gridCol w:w="197"/>
        <w:gridCol w:w="668"/>
        <w:gridCol w:w="167"/>
        <w:gridCol w:w="147"/>
        <w:gridCol w:w="197"/>
        <w:gridCol w:w="668"/>
        <w:gridCol w:w="814"/>
      </w:tblGrid>
      <w:tr>
        <w:trPr/>
        <w:tc>
          <w:tcPr>
            <w:tcW w:w="660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(23,359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(61,273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right"/>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disposal of property and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Impairment loss on fixed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Impairment loss on ROU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lease termination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Impairment of prepaid research and development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Equity-based compensation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2,806</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fair value of warrant liability</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(16,173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7,652</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Transaction costs allocated to warrant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Accretion/amortization of investment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Reduction in carrying amount of operating lease right of use asset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3,337</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right"/>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Prepaid expenses and other current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Prepaid research and development, net of current portion</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 and accrued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Deferred 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Operating lease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(12,417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(31,658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(51,614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marketable securities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(27,931</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maturity of marketable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25,499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66,898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the sale of property and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1,331</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investing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25,339</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38,769</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on finance lease obligations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in connection with at-the-market offering, net of issuance costs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employee stock purchases and exercise of stock options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pre-funded warrants and purchase warrants, net of issuance costs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19,583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pre-funded warrants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20,944</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cash equivalents and restricted cash</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8,099</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25,057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16,958</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18,910</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25,057</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 of non-cash investing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Decrease in right-of-use asset and operating lease liabilities due to lease termination</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Assets acquired under operating lease obligation</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sales included in other current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purchases included in accounts payable and accrued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 of non-cash 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paid for income taxes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interest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costs included in accounts payable and accrued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2" w:name="notes_to_consolidated_financial_statemen"/>
      <w:bookmarkEnd w:id="42"/>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b/>
          <w:color w:val="000000"/>
          <w:sz w:val="20"/>
        </w:rPr>
      </w:pPr>
      <w:bookmarkStart w:id="43" w:name="notes_to_consolidated_financial_stat2"/>
      <w:bookmarkEnd w:id="43"/>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Nature of Business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Synlogic, Inc., together with its wholly owned and consolidated subsidiaries (Synlogic or the Company), is a biopharmaceutical company applying synthetic biology to the discovery and development of Synthetic Biotics. Synthetic Biotics are generated from Synlogic’s proprietary platform, leveraging a reproducible, modular approach to the generation of novel drug candidates that perform or deliver critical therapeutic functions. Synthetic Biotics are designed to metabolize a toxic substance, compensate for missing or damaged metabolic pathways or deliver combinations of therapeutic factors. Synlogic’s goal is to discover, develop and ultimately commercialize Synthetic Biotics. Since incorporation, the Company has devoted substantially all of its efforts to the research and development of its product candidates.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February 2024, the Company and its board of directors decided to discontinue the Synpheny-3 trial and to conduct a comprehensive review of strategic alternatives. The Company also announced a corporate restructuring that resulted in a reduction in its workforce, leaving one remaining full-time employee, in addition to consultants, to, among other things, support the strategic review process and current business operations. (see Note 8, </w:t>
      </w:r>
      <w:r>
        <w:rPr>
          <w:rFonts w:ascii="Times New Roman" w:hAnsi="Times New Roman"/>
          <w:i/>
          <w:color w:val="000000"/>
          <w:sz w:val="20"/>
        </w:rPr>
        <w:t>Restructuring and Other Charges</w:t>
      </w:r>
      <w:r>
        <w:rPr>
          <w:rFonts w:ascii="Times New Roman" w:hAnsi="Times New Roman"/>
          <w:color w:val="000000"/>
          <w:sz w:val="20"/>
        </w:rPr>
        <w:t>).</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Going Concern and Liquidity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Company’s consolidated financial statements have been prepared assuming it will continue as a going concern. The going concern assumption contemplates the continuity of operations, and the realization of assets and the satisfaction of liabilities in the ordinary course of business. The Company has historically generated negative cash flows from operations and has an accumulated deficit of $441.7 million at December 31, 2024. At December 31, 2024, the Company had $18.9 million in unrestricted cash and cash equivalents. Following the execution of the corporate restructuring over the course of the year ended December 31, 2024 (see Note 8, </w:t>
      </w:r>
      <w:r>
        <w:rPr>
          <w:rFonts w:ascii="Times New Roman" w:hAnsi="Times New Roman"/>
          <w:i/>
          <w:color w:val="000000"/>
          <w:sz w:val="20"/>
        </w:rPr>
        <w:t>Restructuring and Other Charges</w:t>
      </w:r>
      <w:r>
        <w:rPr>
          <w:rFonts w:ascii="Times New Roman" w:hAnsi="Times New Roman"/>
          <w:color w:val="000000"/>
          <w:sz w:val="20"/>
        </w:rPr>
        <w:t>), the Company has determined its current cash and cash equivalents as of December 31, 2024 will be sufficient to fund its operations at the current levels for at least the next 12 months from the date of this filing. The Company expects ongoing expenses to decrease due to the decision to discontinue the Synpheny-3 clinical trial and conduct workforce reductions however, as the Company continues to review strategic alternatives, the Company will continue to incur costs and expenditures in connection with the process of evaluating strategic alternatives.</w:t>
      </w:r>
    </w:p>
    <w:p>
      <w:pPr>
        <w:pStyle w:val="TextBody"/>
        <w:bidi w:val="0"/>
        <w:spacing w:before="120" w:after="283"/>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an early-stage company, the Company is subject to a number of risks common to other life science companies,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manufacturing organizations (CMOs), the regulatory approval process, market acceptance of the Company’s products once approved, lack of marketing and sales history, dependence on key personnel and protection of proprietary technology. The Company’s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 development efforts are successful, it is uncertain when, if ever, the Company will generate revenue from product sales. The Company may never achieve profitability, and unless and until it does, it will continue to need to raise additional capital or obtain financing from other sources, such as strategic collaborations or alliances.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36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in accordance with accounting principles generally accepted in the United States (U.S.) (U.S. GAAP or GAAP).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include the accounts of Synlogic and its wholly owned subsidiaries. All intercompany accounts and transactions have been eliminated in consolidation.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accordance with GAAP requires management to make estimates and assumptions that affect the reported amounts of assets, liabilities, revenues and expenses, and related disclosure of contingent assets and liabilities at the date of the consolidated financial statements and the reported amounts of expenses during the reporting period. On an on-going basis, the Company’s management evaluates its estimates, including those related to research and development accruals and prepaids, accrued expenses, contingencies, and investments. The Company bases its estimates on historical experience and on various other assumptions that are believed to be reasonable, the results of which form the basis for making judgments about the carrying values of assets and liabilities. Actual results could differ from those estimates. Changes in estimates are reflected in reported results in the period in which they become known.</w:t>
      </w:r>
    </w:p>
    <w:p>
      <w:pPr>
        <w:pStyle w:val="TextBody"/>
        <w:bidi w:val="0"/>
        <w:spacing w:before="360" w:after="283"/>
        <w:jc w:val="left"/>
        <w:rPr>
          <w:rFonts w:ascii="Times New Roman" w:hAnsi="Times New Roman"/>
          <w:sz w:val="20"/>
        </w:rPr>
      </w:pPr>
      <w:r>
        <w:rPr>
          <w:rFonts w:ascii="Times New Roman" w:hAnsi="Times New Roman"/>
          <w:b/>
          <w:i/>
          <w:color w:val="000000"/>
          <w:sz w:val="20"/>
        </w:rPr>
        <w:t>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 instruments with a remaining maturity when purchased of three months or less to be cash equivalents. Investments qualifying as cash equivalents consist of money market funds, including money market funds held in a sweep account. Cash equivalents are stated at cost plus accrued interest, which approximates fair value. The amount of cash equivalents included in cash and cash equivalents was approximately $18.9 million and $24.0 million at December 31, 2024 and 2023,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include amounts held as cash, cash equivalents, marketable securities and restricted cash. The Company uses high quality, accredited financial institutions to maintain its balances, and accordingly, such funds are subject to minimal credit risk. The Company has not experienced any losses in such accounts and management believes that the Company is not exposed to significant credit risk due to the financial position of the depository institutions in which those deposits are held. The Company has no financial instruments with off-balance sheet risk of loss.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held restricted cash of approximately $0.05 million and $1.1 million at December 31, 2024 and 2023, respectively. Restricted cash for the year ended December 31, 2024 relates to a collateral deposit for the Company credit card. Restricted cash for the year ended December 31, 2023 related to a letter of credit to secure its lease at the 301 Binney Street facility, which was terminated in June 2024, in addition to the collateral credit card deposit. The Company has classified the deposits as long-term restricted cash on its balance sheet, in both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reported within the statement of financial position that sum to the total of the same such amounts shown in the consolidated statements of cash flows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7590" w:type="dxa"/>
        <w:jc w:val="left"/>
        <w:tblInd w:w="0" w:type="dxa"/>
        <w:tblLayout w:type="fixed"/>
        <w:tblCellMar>
          <w:top w:w="28" w:type="dxa"/>
          <w:left w:w="28" w:type="dxa"/>
          <w:bottom w:w="28" w:type="dxa"/>
          <w:right w:w="28" w:type="dxa"/>
        </w:tblCellMar>
      </w:tblPr>
      <w:tblGrid>
        <w:gridCol w:w="4771"/>
        <w:gridCol w:w="146"/>
        <w:gridCol w:w="260"/>
        <w:gridCol w:w="835"/>
        <w:gridCol w:w="146"/>
        <w:gridCol w:w="146"/>
        <w:gridCol w:w="260"/>
        <w:gridCol w:w="835"/>
        <w:gridCol w:w="1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shown in</w:t>
              <w:br/>
              <w:t>   the consolidated statement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Fair Value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is required to disclose information on all assets and liabilities reported at fair value that enables an assessment of the inputs used in determining the reported fair values. Accounting Standards Codification (ASC) Topic 820, </w:t>
      </w:r>
      <w:r>
        <w:rPr>
          <w:rFonts w:ascii="Times New Roman" w:hAnsi="Times New Roman"/>
          <w:i/>
          <w:color w:val="000000"/>
          <w:sz w:val="20"/>
        </w:rPr>
        <w:t>Fair Value Measurements and Disclosures</w:t>
      </w:r>
      <w:r>
        <w:rPr>
          <w:rFonts w:ascii="Times New Roman" w:hAnsi="Times New Roman"/>
          <w:color w:val="000000"/>
          <w:sz w:val="20"/>
        </w:rPr>
        <w:t xml:space="preserve">, establishes a fair value hierarchy for those instruments measured at fair value that distinguishes between assumptions based on market data (observable inputs) and the Company’s own assumptions (unobservable inputs). The hierarchy consists of three levels: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Utilize observable inputs such as quoted prices in active markets for identical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Utilize data points that are either directly or indirectly observable, such as quoted prices, interest rates and yield curves;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 Utilize unobservable data points in which there is little or no market data, which require the Company to develop its own assumptions for the asset or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evaluates transfers between levels at the end of each reporting period. There were no transfers of assets or liabilities between Level 1, Level 2 or Level 3 during the years ended December 31, 2024 and 2023.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Available-for-Sale Securities</w:t>
      </w:r>
    </w:p>
    <w:p>
      <w:pPr>
        <w:pStyle w:val="TextBody"/>
        <w:bidi w:val="0"/>
        <w:spacing w:before="120" w:after="283"/>
        <w:jc w:val="left"/>
        <w:rPr>
          <w:rFonts w:ascii="Times New Roman" w:hAnsi="Times New Roman"/>
          <w:sz w:val="20"/>
        </w:rPr>
      </w:pPr>
      <w:r>
        <w:rPr>
          <w:rFonts w:ascii="Times New Roman" w:hAnsi="Times New Roman"/>
          <w:color w:val="000000"/>
          <w:sz w:val="20"/>
        </w:rPr>
        <w:t>The Company classifies all of its investments as available-for-sale based upon its intent with regard to such investments. The Company classifies investments as short-term when their</w:t>
      </w:r>
      <w:r>
        <w:rPr>
          <w:rFonts w:ascii="Times New Roman" w:hAnsi="Times New Roman"/>
          <w:color w:val="FF0000"/>
          <w:sz w:val="20"/>
        </w:rPr>
        <w:t xml:space="preserve"> </w:t>
      </w:r>
      <w:r>
        <w:rPr>
          <w:rFonts w:ascii="Times New Roman" w:hAnsi="Times New Roman"/>
          <w:color w:val="000000"/>
          <w:sz w:val="20"/>
        </w:rPr>
        <w:t>remaining contractual maturities are one year or less from the balance sheet date, and as long-term when the investment has a remaining contractual maturity of more than one year from the balance sheet date. Available-for-sale securities are carried at fair value, with the unrealized gains and losses reported in other comprehensive income (loss). The amortized cost of debt securities in this category is adjusted for amortization of premiums and accretion of discounts to maturity. Such amortization is included in interest and investment income. Realized gains and losses and declines in value judged to be other than temporary on available-for-sale securities, are included in interest and investment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 of securities sold is based on the specific identification method. Interest and dividends on securities classified as available-for-sale are included in interest and investment income. To determine whether an other-than-temporary impairment exists, the Company considers whether it has the ability and intent to hold the investment until a market price recovery, and whether evidence indicating the recoverability of the cost of the investment outweighs evidence to the contrary.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including leasehold improvements, are recorded at cost and depreciated over their estimated useful lives using the straight</w:t>
        <w:noBreakHyphen/>
        <w:t>line method. Repairs and maintenance costs are expensed as incurred, whereas major improvements are capitalized as additions to property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begins at the time the asset is placed in service. Depreciation is provided over the following estimated useful lives:</w:t>
      </w:r>
    </w:p>
    <w:p>
      <w:pPr>
        <w:pStyle w:val="TextBody"/>
        <w:bidi w:val="0"/>
        <w:jc w:val="left"/>
        <w:rPr/>
      </w:pPr>
      <w:r>
        <w:rPr/>
        <w:t> </w:t>
      </w:r>
    </w:p>
    <w:tbl>
      <w:tblPr>
        <w:tblW w:w="6508" w:type="dxa"/>
        <w:jc w:val="left"/>
        <w:tblInd w:w="0" w:type="dxa"/>
        <w:tblLayout w:type="fixed"/>
        <w:tblCellMar>
          <w:top w:w="28" w:type="dxa"/>
          <w:left w:w="28" w:type="dxa"/>
          <w:bottom w:w="28" w:type="dxa"/>
          <w:right w:w="28" w:type="dxa"/>
        </w:tblCellMar>
      </w:tblPr>
      <w:tblGrid>
        <w:gridCol w:w="2701"/>
        <w:gridCol w:w="146"/>
        <w:gridCol w:w="366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and 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years</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years</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years</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Lesser of useful life or remaining lease term</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Impairment of Long</w:t>
        <w:noBreakHyphen/>
        <w:t>Lived Assets</w:t>
      </w:r>
    </w:p>
    <w:p>
      <w:pPr>
        <w:pStyle w:val="TextBody"/>
        <w:bidi w:val="0"/>
        <w:spacing w:before="120" w:after="283"/>
        <w:jc w:val="left"/>
        <w:rPr>
          <w:rFonts w:ascii="Times New Roman" w:hAnsi="Times New Roman"/>
          <w:sz w:val="20"/>
        </w:rPr>
      </w:pPr>
      <w:r>
        <w:rPr>
          <w:rFonts w:ascii="Times New Roman" w:hAnsi="Times New Roman"/>
          <w:color w:val="000000"/>
          <w:sz w:val="20"/>
        </w:rPr>
        <w:t>Long</w:t>
        <w:noBreakHyphen/>
        <w:t xml:space="preserve">lived assets are reviewed for impairment whenever events or changes in circumstances indicate that the carrying amount of the asset may not be recoverable. When such events occur, the Company compares the carrying amounts of the assets to their undiscounted expected future cash flows. If this comparison indicates that there is impairment, the amount of impairment is calculated as the difference between the carrying value and fair value of the asset. As a result of the corporate restructuring, further discussed in Note 8, </w:t>
      </w:r>
      <w:r>
        <w:rPr>
          <w:rFonts w:ascii="Times New Roman" w:hAnsi="Times New Roman"/>
          <w:i/>
          <w:color w:val="000000"/>
          <w:sz w:val="20"/>
        </w:rPr>
        <w:t>Restructuring and Other Charges</w:t>
      </w:r>
      <w:r>
        <w:rPr>
          <w:rFonts w:ascii="Times New Roman" w:hAnsi="Times New Roman"/>
          <w:color w:val="000000"/>
          <w:sz w:val="20"/>
        </w:rPr>
        <w:t>, there were various impairment charges recorded during the year ended December 31,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judgement to assess if an arrangement is a lease at contract inception. An arrangement is a lease if the contract involves the use of a distinct identified asset, the lessor does not have substantive substitution rights and the Company obtains control of the asset throughout the period by obtaining substantially all of the economic benefit of the asset and the right to direct the use of the asset. Leases classified as operating leases are included in operating lease right-of-use (ROU) assets, current operating lease liabilities and noncurrent operating lease liabilities in our consolidated balance sheets. Finance leases are included in property and equipment and finance lease obligations in our consolidated balance sheet.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ROU assets represent the right-to-use an underlying asset for the lease term and lease liabilities represent the obligation to make lease payments arising from the lease. ROU assets and lease liabilities are recognized at the lease commencement date based on the estimated present value of lease payments over the lease term. The Company utilizes its incremental borrowing rate to determine the present value of lease payments. The incremental borrowing rate is the rate incurred to borrow similar funds, on a collateralized basis, over a comparable term in a similar economic environment.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elected to account for the lease and non-lease components for leases as a single component for classes of all underlying assets and allocate all of the contract consideration to the lease component only. Lease cost for operating leases is recognized on a straight-line basis over the lease term and is included in operating expenses on the statements of operations and comprehensive loss. Variable lease payments are included in lease operating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lease term includes options to extend the lease when it is reasonably certain that option will be exercised. Leases with a term of 12 months or less are not recorded on the Company’s consolidated balance sheets.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in research and development are expensed as incurred. The Company defers and capitalizes nonrefundable advance payments made by the Company for research and development activities until the related goods are received or the related services are performed.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are comprised of costs incurred in performing research and development activities, including salary and benefits, equity-based compensation expense, laboratory supplies and other direct expenses, facilities expenses, overhead expenses, contractual services and other outside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third-party service providers’ billing terms do not coincide with the Company’s period-end, the Company is required to make estimates of its obligations to those third parties, including clinical trial costs, contractual services costs and costs for supply of its drug candidates, incurred in a given accounting period and record accruals at the end of the period. The Company bases its estimates on the completion status of the research and development programs and the associated estimate of unbilled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issued warrants either as a liability or equity in accordance with ASC 480-10, </w:t>
      </w:r>
      <w:r>
        <w:rPr>
          <w:rFonts w:ascii="Times New Roman" w:hAnsi="Times New Roman"/>
          <w:i/>
          <w:color w:val="000000"/>
          <w:sz w:val="20"/>
        </w:rPr>
        <w:t>Accounting for Certain Financial Instruments with Characteristics of both Liabilities and Equity</w:t>
      </w:r>
      <w:r>
        <w:rPr>
          <w:rFonts w:ascii="Times New Roman" w:hAnsi="Times New Roman"/>
          <w:color w:val="000000"/>
          <w:sz w:val="20"/>
        </w:rPr>
        <w:t xml:space="preserve"> (“ASC 480-10”) or ASC 815-40, </w:t>
      </w:r>
      <w:r>
        <w:rPr>
          <w:rFonts w:ascii="Times New Roman" w:hAnsi="Times New Roman"/>
          <w:i/>
          <w:color w:val="000000"/>
          <w:sz w:val="20"/>
        </w:rPr>
        <w:t>Accounting for Derivative Financial Instruments Indexed to, and Potentially Settled in, a Company’s Own Stock</w:t>
      </w:r>
      <w:r>
        <w:rPr>
          <w:rFonts w:ascii="Times New Roman" w:hAnsi="Times New Roman"/>
          <w:color w:val="000000"/>
          <w:sz w:val="20"/>
        </w:rPr>
        <w:t xml:space="preserve"> (“ASC 815-40”).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This assessment, which requires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 of professional judgment, is conducted at the time of warrant issuance and as of each subsequent quarterly period end date while the warrants are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Warrants that are equity-classified instruments and recorded in additional paid-in capital at issuance are not subject to remeasurement. The purchase warrants issued in October 2023 are liability classified and recorded at fair value using the Black-Scholes option-pricing model at issuance, with any subsequent changes in fair value recognized in the consolidated statements of operations. The Company periodically evaluates changes in facts and circumstances that could impact the classification of warrants.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was generating revenue through a collaboration and option agreement with Roche for the development and commercialization of product candidates. The Roche Collaboration and Option Agreement concluded after the last milestone was achieved by the Company in October 2023. Subsequently, Roche did not exercise its exclusive option to enter into a licensing and collaboration agreement for further development and commercialization of the product candidate.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evaluates collaboration agreements with respect to FASB ASC Topic 808, </w:t>
      </w:r>
      <w:r>
        <w:rPr>
          <w:rFonts w:ascii="Times New Roman" w:hAnsi="Times New Roman"/>
          <w:i/>
          <w:color w:val="000000"/>
          <w:sz w:val="20"/>
        </w:rPr>
        <w:t>Collaborative Arrangements</w:t>
      </w:r>
      <w:r>
        <w:rPr>
          <w:rFonts w:ascii="Times New Roman" w:hAnsi="Times New Roman"/>
          <w:color w:val="000000"/>
          <w:sz w:val="20"/>
        </w:rPr>
        <w:t>, considering the nature and contractual terms of the arrangement and the nature of its business operations to determine the classification of the transactions. When the Company is an active participant in the activity and exposed to significant risks and rewards dependent on the commercial success of the collaboration, it will record its transactions on a gross basis in the consolidated financial statements and describe the rights and obligations under the collaborative arrangement in the notes to the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five-step analysis: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analysis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enter into collaboration agreements for research and development services, under which the Company may license certain rights to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 Variable consideration is constrained until it is deemed not be at significant risk of reversal.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determining the appropriate amount of revenue to be recognized as it fulfills its obligations under each of its agreements for which the collaboration partner is also a customer,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number of performance obligations based on the determination under step (ii) above; b) the transaction price under step (iii) above; and c) the contract term and pattern of satisfaction of the performance obligations under step (v) above. The Company uses significant judgment to determine whether milestones or other variable consideration, except for royalties, should be included in the transaction price as described further below. The transaction price is allocated to the goods and services the Company expects to provide. The Company uses estimates to determine the timing of satisfaction of performance obligations, which may include the use of full-time equivalent time as a measure of satisfaction of performance obligations.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Amounts received prior to satisfying the revenue recognition criteria are recorded as deferred revenue in the Company’s consolidated balance sheets.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net of current portion. </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Licenses of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assessing whether a promise or performance obligation is distinct from the other promises, we consider factors such as the research, manufacturing and commercialization capabilities of the customer and the availability of the associated expertise in the general marketplace. In addition, we consider whether the customer can benefit from a promise for its intended purpose without the receipt of the remaining promises, whether the value of the promise is dependent on the unsatisfied promise, whether there are other vendors that could provide the remaining promise, and whether it is separately identifiable from the remaining promise. For licenses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 </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Research and Development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arrangement is determined to contain a promise or obligation for us to perform research and development services, we must determine whether these services are distinct from the other promises in the arrangement. In assessing whether the services are distinct from the other promises, we consider the capabilities of the customer to perform these same services. In addition, we consider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research and development services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The estimates we use to record revenue relating to the combined performance obligation on an over time basis, include input methods such as full-time equivalent time incurred compared to the full-time equivalent time expected to be incurred in the future to satisfy the performance obligation, which require management judgment. We evaluate the measure of progress each reporting period and, if necessary, adjust the measure of performance and related revenue recognition. With this method, we must estimate total inputs required to satisfy a performance obligation and measure efforts expended to date to determine revenue recognition. This estimate of remaining inputs is subjective, as the research is novel, and therefore efforts to be successful may be different than the estimated efforts at the balance sheet date. </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Customer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that is, the option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an alternative approach when the goods or services are both (i) similar to the original goods and services in the contract and (ii) provided in accordance with the terms of the original contract. Under this alternative, the Company allocates the total amount of consideration expected to be received from the customer to the total goods or services expected to be provided to the customer. Amounts allocated to a material right are not recognized as revenue until the option is exercised and the performance obligation is satisfied.</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Milestone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inception of each arrangement that includes milestone payments, the Company evaluates whether a significant reversal of cumulative revenue provided in conjunction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Milestone payments that are not within the control of the Company or the licensee, such as regulatory approvals, are not considered probable of being achieved until those approvals are received. For other milestones,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reversal of cumulative revenue would not occur. At the end of each subsequent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Royalties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arrangements that include sales-based royalties, including milestone payments based on a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pStyle w:val="TextBody"/>
        <w:bidi w:val="0"/>
        <w:spacing w:before="360" w:after="283"/>
        <w:jc w:val="left"/>
        <w:rPr>
          <w:rFonts w:ascii="Times New Roman" w:hAnsi="Times New Roman"/>
          <w:i/>
          <w:color w:val="000000"/>
          <w:sz w:val="20"/>
          <w:u w:val="single"/>
        </w:rPr>
      </w:pPr>
      <w:r>
        <w:rPr>
          <w:rFonts w:ascii="Times New Roman" w:hAnsi="Times New Roman"/>
          <w:i/>
          <w:color w:val="000000"/>
          <w:sz w:val="20"/>
          <w:u w:val="single"/>
        </w:rPr>
        <w:t>Contract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as an asset the incremental costs of obtaining a contract with a customer if the costs are expected to be recovered. As a practical expedient, the Company recognizes the incremental costs of obtaining a contract as an expense when incurred if the amortization period of the asset that we otherwise would have recognized is one year or less. To date, the Company has not incurred any incremental costs of obtaining a contract with a customer.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Equity</w:t>
        <w:noBreakHyphen/>
        <w:t>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measures equity-based compensation to employees, non-employees and directors based on the grant date fair value of the awards and recognizes the associated expense in the financial statements over the requisite service period of the award, which is generally the vesting period. The fair value of each option and purchase rights under the employee stock purchase plan (ESPP) is estimated on the date of grant using the Black</w:t>
        <w:noBreakHyphen/>
        <w:t>Scholes option</w:t>
        <w:noBreakHyphen/>
        <w:t>pricing model. Expected volatility for the Company’s common stock is determined based on an average of the historical volatility of the Company and the historical volatility of a peer</w:t>
        <w:noBreakHyphen/>
        <w:t>group of similar public companies. The expected term of options granted to employees is calculated using the simplified method, which represents the average of the contractual term of the option and the weighted-average vesting period of the option. The expected term of purchase rights for the ESPP is based on the duration of an offering period. The assumed dividend yield is based upon the Company’s expectation of not paying dividends in the foreseeable future. The risk</w:t>
        <w:noBreakHyphen/>
        <w:t xml:space="preserve">free interest rate is based upon the U.S. Treasury yield curve commensurate with the expected term at the time of grant or remeasurement. Forfeitures are recognized as they occur.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classifies equity-based compensation expense in its consolidated statements of operations and comprehensive loss in the same manner in which the award recipient’s payroll costs are classified or in which the award recipients’ service payments are classified.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reporting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Uncertain tax positions represent tax positions for which reserves have been established. 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be recognized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outstanding stock options and potential shares issuable under the ESPP.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enterprise about which separate discrete financial information is available for evaluation by the chief operating decision maker, or decision-making group, in deciding how to allocate resources and in assessing performance. The Company operates in one operating segment: discovery and development of Synthetic Biotics. The Company’s principal executive officer, as chief operating decision maker, manages and allocates resources to the operations of the Company on a total company basis. Prior to the corporate restructuring, all of the Company’s equipment, leasehold improvements and other fixed assets were physically located within the United States, and all agreements with its partners were denominated in U.S. dollars, except where noted.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Treasury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Treasury stock purchases are accounted for under the cost method whereby the entire cost of the acquired stock is recorded as treasury stock.</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Issued and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(FASB) or other accounting standard setting bodies that the Company adopts as of the specified effective date. Unless otherwise discussed below, recently issued pronouncements that are or will be applicable to the Company did not have, or are not expected to have, a material impact on its present or future consolidated financial statements or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Financial Accounting Standards Board (“FASB”) issued ASU 2023-07, Segment Reporting (Topic 280): Improvements to Reportable Segment Disclosures (“ASU 2023-07”). ASU 2023-07 requires disclosure of incremental segment information on an annual and interim basis. The amendments also require companies with a single reportable segment to provide all disclosures required by this amendment and all existing segment disclosures in ASC 280, Segment Reporting. The amendments are effective for fiscal years beginning after December 15, 2023, and interim periods beginning after December 15, 2024. The Company adopted ASU 2023-07, effective December 31, 2024, in these consolidated financial statements. ASU 2023-07 only impacted the disclosures and did not impact the consolidated financial statements. See Note 18, </w:t>
      </w:r>
      <w:r>
        <w:rPr>
          <w:rFonts w:ascii="Times New Roman" w:hAnsi="Times New Roman"/>
          <w:i/>
          <w:color w:val="000000"/>
          <w:sz w:val="20"/>
        </w:rPr>
        <w:t>Segment Information</w:t>
      </w:r>
      <w:r>
        <w:rPr>
          <w:rFonts w:ascii="Times New Roman" w:hAnsi="Times New Roman"/>
          <w:color w:val="000000"/>
          <w:sz w:val="20"/>
        </w:rPr>
        <w:t>, for disclosures related to the adoption of ASU 2023-07.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sz w:val="20"/>
        </w:rPr>
      </w:pPr>
      <w:r>
        <w:rPr>
          <w:rFonts w:ascii="Times New Roman" w:hAnsi="Times New Roman"/>
          <w:color w:val="000000"/>
          <w:sz w:val="20"/>
        </w:rPr>
        <w:t>The tables below present information about the Company’s assets and liabilities that are measured at fair value on a recurring basis as of December 31, 2024 and 2023 and indicate the fair value hierarchy of the valuation techniques the Company utilized to determine such fair value, as described under Note 2</w:t>
      </w:r>
      <w:r>
        <w:rPr>
          <w:rFonts w:ascii="Times New Roman" w:hAnsi="Times New Roman"/>
          <w:i/>
          <w:color w:val="000000"/>
          <w:sz w:val="20"/>
        </w:rPr>
        <w:t>,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accounts for issued warrants either as derivative liabilities or as equity instruments depending on the specific terms of the agreement. Warrants that are equity-classified instruments and recorded in additional paid-in capital at issuance are not subject to remeasurement. The purchase warrants issued in October 2023 are liability classified and recorded at fair value using the Black-Scholes option-pricing model at issuance, with any subsequent changes in fair value recognized in the consolidated statements of operations. We periodically evaluate changes in facts and circumstances that could impact the classification of warrants. None of the purchase warrants have been exercised since their issuance.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2024 and 2023, the Company has classified assets and liabilities measured at fair value on a recurring basis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11"/>
        <w:gridCol w:w="146"/>
        <w:gridCol w:w="245"/>
        <w:gridCol w:w="786"/>
        <w:gridCol w:w="146"/>
        <w:gridCol w:w="146"/>
        <w:gridCol w:w="364"/>
        <w:gridCol w:w="1169"/>
        <w:gridCol w:w="146"/>
        <w:gridCol w:w="146"/>
        <w:gridCol w:w="302"/>
        <w:gridCol w:w="972"/>
        <w:gridCol w:w="146"/>
        <w:gridCol w:w="146"/>
        <w:gridCol w:w="341"/>
        <w:gridCol w:w="1098"/>
        <w:gridCol w:w="195"/>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w:t>
              <w:br/>
              <w:t>Markets for Identical</w:t>
              <w:b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 Inputs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w:t>
              <w:br/>
              <w:t>Markets for Identical</w:t>
              <w:b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 Inputs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 (included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 and treasuries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21,047</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21,047</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Cash equivalents, prepaid expenses and other current assets, accounts payable and accrued expenses at December 31, 2024 and December 31, 2023 are carried at amounts that approximate fair value due to their short-term maturities. Finance lease obligations at December 31, 2023 approximate fair value as they bear interest at a rate approximating a market interest rate.</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tables summarize the estimated fair value of the assets presented within cash and cash equivalents measured at fair value and the gross unrealized holding gains and losses (in thousands):</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956"/>
        <w:gridCol w:w="146"/>
        <w:gridCol w:w="272"/>
        <w:gridCol w:w="873"/>
        <w:gridCol w:w="146"/>
        <w:gridCol w:w="146"/>
        <w:gridCol w:w="565"/>
        <w:gridCol w:w="930"/>
        <w:gridCol w:w="146"/>
        <w:gridCol w:w="146"/>
        <w:gridCol w:w="570"/>
        <w:gridCol w:w="936"/>
        <w:gridCol w:w="146"/>
        <w:gridCol w:w="146"/>
        <w:gridCol w:w="211"/>
        <w:gridCol w:w="676"/>
        <w:gridCol w:w="194"/>
      </w:tblGrid>
      <w:tr>
        <w:trPr/>
        <w:tc>
          <w:tcPr>
            <w:tcW w:w="3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(included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18,860</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18,860</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(included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 (included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23,960</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Assumptions Used in Determining Fair Value of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assumptions used in the Black-Scholes option-pricing model for the purchase warrants on the consolidated balance sheets at December 31, 2024 and December 31, 2023 are included below:</w:t>
      </w:r>
    </w:p>
    <w:p>
      <w:pPr>
        <w:pStyle w:val="TextBody"/>
        <w:bidi w:val="0"/>
        <w:spacing w:before="120" w:after="283"/>
        <w:jc w:val="left"/>
        <w:rPr/>
      </w:pPr>
      <w:r>
        <w:rPr/>
        <w:t> </w:t>
      </w:r>
    </w:p>
    <w:tbl>
      <w:tblPr>
        <w:tblW w:w="7210" w:type="dxa"/>
        <w:jc w:val="left"/>
        <w:tblInd w:w="0" w:type="dxa"/>
        <w:tblLayout w:type="fixed"/>
        <w:tblCellMar>
          <w:top w:w="28" w:type="dxa"/>
          <w:left w:w="28" w:type="dxa"/>
          <w:bottom w:w="28" w:type="dxa"/>
          <w:right w:w="28" w:type="dxa"/>
        </w:tblCellMar>
      </w:tblPr>
      <w:tblGrid>
        <w:gridCol w:w="3331"/>
        <w:gridCol w:w="146"/>
        <w:gridCol w:w="467"/>
        <w:gridCol w:w="1033"/>
        <w:gridCol w:w="271"/>
        <w:gridCol w:w="146"/>
        <w:gridCol w:w="467"/>
        <w:gridCol w:w="1033"/>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risk 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Strike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Available-for-Sale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the available-for-sale securities held at December 31, 2024 and 2023 (in thousands):</w:t>
      </w:r>
    </w:p>
    <w:p>
      <w:pPr>
        <w:pStyle w:val="TextBody"/>
        <w:bidi w:val="0"/>
        <w:jc w:val="left"/>
        <w:rPr/>
      </w:pPr>
      <w:r>
        <w:rPr/>
        <w:t> </w:t>
      </w:r>
    </w:p>
    <w:tbl>
      <w:tblPr>
        <w:tblW w:w="7566" w:type="dxa"/>
        <w:jc w:val="left"/>
        <w:tblInd w:w="0" w:type="dxa"/>
        <w:tblLayout w:type="fixed"/>
        <w:tblCellMar>
          <w:top w:w="28" w:type="dxa"/>
          <w:left w:w="28" w:type="dxa"/>
          <w:bottom w:w="28" w:type="dxa"/>
          <w:right w:w="28" w:type="dxa"/>
        </w:tblCellMar>
      </w:tblPr>
      <w:tblGrid>
        <w:gridCol w:w="1606"/>
        <w:gridCol w:w="146"/>
        <w:gridCol w:w="285"/>
        <w:gridCol w:w="915"/>
        <w:gridCol w:w="146"/>
        <w:gridCol w:w="146"/>
        <w:gridCol w:w="660"/>
        <w:gridCol w:w="660"/>
        <w:gridCol w:w="146"/>
        <w:gridCol w:w="146"/>
        <w:gridCol w:w="500"/>
        <w:gridCol w:w="820"/>
        <w:gridCol w:w="166"/>
        <w:gridCol w:w="146"/>
        <w:gridCol w:w="211"/>
        <w:gridCol w:w="676"/>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There were no available-for-sale securities held at December 31, 2024. The aggregate fair value of the securities in an unrealized loss position at December 31, 2023 was $5.4 million.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did not hold any securities with an other-than-temporary impairment at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realized gains and losses on the sales of investments have not been material to the Company’s consolidated statement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Assets Held for Sale,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assets held for sale are summarized as follows (in thousands):</w:t>
      </w:r>
    </w:p>
    <w:p>
      <w:pPr>
        <w:pStyle w:val="TextBody"/>
        <w:bidi w:val="0"/>
        <w:spacing w:before="120" w:after="283"/>
        <w:jc w:val="left"/>
        <w:rPr/>
      </w:pPr>
      <w:r>
        <w:rPr/>
        <w:t> </w:t>
      </w:r>
    </w:p>
    <w:tbl>
      <w:tblPr>
        <w:tblW w:w="3368" w:type="dxa"/>
        <w:jc w:val="left"/>
        <w:tblInd w:w="0" w:type="dxa"/>
        <w:tblLayout w:type="fixed"/>
        <w:tblCellMar>
          <w:top w:w="28" w:type="dxa"/>
          <w:left w:w="28" w:type="dxa"/>
          <w:bottom w:w="28" w:type="dxa"/>
          <w:right w:w="28" w:type="dxa"/>
        </w:tblCellMar>
      </w:tblPr>
      <w:tblGrid>
        <w:gridCol w:w="1936"/>
        <w:gridCol w:w="146"/>
        <w:gridCol w:w="437"/>
        <w:gridCol w:w="658"/>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the Company committed to a plan to sell its remaining lab equipment and therefore has classified the amount as assets held for sale on the consolidated balance sheet as of December 31, 2024. The assets held for sale were reported at the lower of the carrying amount or fair value, less costs to sell. During the year ended December 31, 2024, there were impairment charges of $0.8 million incurred related to the lab equipment classified as assets held for sale, which was included in restructuring and other charges. During the second quarter of 2024, the Company engaged a third party to assist with an ongoing auction of its assets held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 which resulted in proceeds of $1.3 million and a $1.2 million gain on disposal of lab equipment during the year ended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property and equipment are summarized as follows (in thousands):</w:t>
      </w:r>
    </w:p>
    <w:p>
      <w:pPr>
        <w:pStyle w:val="TextBody"/>
        <w:bidi w:val="0"/>
        <w:spacing w:before="120" w:after="283"/>
        <w:jc w:val="left"/>
        <w:rPr/>
      </w:pPr>
      <w:r>
        <w:rPr/>
        <w:t> </w:t>
      </w:r>
    </w:p>
    <w:tbl>
      <w:tblPr>
        <w:tblW w:w="4153" w:type="dxa"/>
        <w:jc w:val="left"/>
        <w:tblInd w:w="0" w:type="dxa"/>
        <w:tblLayout w:type="fixed"/>
        <w:tblCellMar>
          <w:top w:w="28" w:type="dxa"/>
          <w:left w:w="28" w:type="dxa"/>
          <w:bottom w:w="28" w:type="dxa"/>
          <w:right w:w="28" w:type="dxa"/>
        </w:tblCellMar>
      </w:tblPr>
      <w:tblGrid>
        <w:gridCol w:w="2701"/>
        <w:gridCol w:w="146"/>
        <w:gridCol w:w="244"/>
        <w:gridCol w:w="851"/>
        <w:gridCol w:w="21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and 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on property and equipment was $0.3 million and $2.0 million in 2024 and 2023, respectively</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 of the following (in thousands):</w:t>
      </w:r>
    </w:p>
    <w:p>
      <w:pPr>
        <w:pStyle w:val="TextBody"/>
        <w:bidi w:val="0"/>
        <w:jc w:val="left"/>
        <w:rPr/>
      </w:pPr>
      <w:r>
        <w:rPr/>
        <w:t> </w:t>
      </w:r>
    </w:p>
    <w:tbl>
      <w:tblPr>
        <w:tblW w:w="6750" w:type="dxa"/>
        <w:jc w:val="left"/>
        <w:tblInd w:w="0" w:type="dxa"/>
        <w:tblLayout w:type="fixed"/>
        <w:tblCellMar>
          <w:top w:w="28" w:type="dxa"/>
          <w:left w:w="28" w:type="dxa"/>
          <w:bottom w:w="28" w:type="dxa"/>
          <w:right w:w="28" w:type="dxa"/>
        </w:tblCellMar>
      </w:tblPr>
      <w:tblGrid>
        <w:gridCol w:w="3931"/>
        <w:gridCol w:w="146"/>
        <w:gridCol w:w="364"/>
        <w:gridCol w:w="731"/>
        <w:gridCol w:w="146"/>
        <w:gridCol w:w="146"/>
        <w:gridCol w:w="294"/>
        <w:gridCol w:w="80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consist of the following (in thousands):</w:t>
      </w:r>
    </w:p>
    <w:p>
      <w:pPr>
        <w:pStyle w:val="TextBody"/>
        <w:bidi w:val="0"/>
        <w:jc w:val="left"/>
        <w:rPr/>
      </w:pPr>
      <w:r>
        <w:rPr/>
        <w:t> </w:t>
      </w:r>
    </w:p>
    <w:tbl>
      <w:tblPr>
        <w:tblW w:w="5130" w:type="dxa"/>
        <w:jc w:val="left"/>
        <w:tblInd w:w="0" w:type="dxa"/>
        <w:tblLayout w:type="fixed"/>
        <w:tblCellMar>
          <w:top w:w="28" w:type="dxa"/>
          <w:left w:w="28" w:type="dxa"/>
          <w:bottom w:w="28" w:type="dxa"/>
          <w:right w:w="28" w:type="dxa"/>
        </w:tblCellMar>
      </w:tblPr>
      <w:tblGrid>
        <w:gridCol w:w="2311"/>
        <w:gridCol w:w="146"/>
        <w:gridCol w:w="294"/>
        <w:gridCol w:w="801"/>
        <w:gridCol w:w="146"/>
        <w:gridCol w:w="146"/>
        <w:gridCol w:w="294"/>
        <w:gridCol w:w="80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Restructuring and Other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 and its board of directors decided to discontinue the Synpheny-3 trial and as a result are currently evaluating strategic options for the Company with a goal to enhance stockholder value, including the possibility of a merger or sale of the Company. Due to this decision there has been an interim evaluation of impairment of long-lived and other assets which is described in detail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also announced a corporate restructuring that included a reduction in its workforce, leaving one remaining full-time employee, in addition to consultants, to, among other things, support the strategic review process and current business operations. In connection with the corporate restructuring, the Company recorded restructuring charges for severance and related costs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$6.2 million during the year ended December 31, 2024, respectively. The Company also executed consulting agreements with a select number of former employees in which their equity continues to vest under the terms of the original award. The consulting services were determined to be non-substantive and as a result, the Company has accelerated the related stock compensation expense and recorded an additional $2.4 million to stock compensation included in restructuring charges for the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corporate restructuring, during the year ended December 31, 2024, restructuring and other charges also include impairment of the right-of-use assets associated with the Company's existing leased spaces of $9.6 million. On June 26, 2024 (the “Termination Date”), the Company entered into a Lease Termination Agreement (the “Termination Agreement”) for its corporate headquarters in Cambridge, Massachusetts, with the landlord which, effective immediately, terminated the lease. In exchange for the early termination of the lease pursuant to the Termination Agreement, the Company made a total termination payment of $10.6 million, of which $1.0 million was from a letter of credit associated with the lease and classified in the consolidated balance sheets as noncurrent restricted cash at December 31, 2023. As a result of the lease termination, the Company recorded a gain on lease termination, associated with its former headquarters, of $3.2 million, for the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losses of $5.0 million, related to property and equipment primarily related to leasehold improvements in connection with the lease impairment were recorded for the year ended December 31, 2024. These charges have been offset by gains on equipment sales of $1.2 million for the year ended December 31, 2024.</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Other charges relating to the restructuring include a $5.2 million charge to impairment for prepaid research and development in relation to the Ginkgo collaboration (See Note 11, </w:t>
      </w:r>
      <w:r>
        <w:rPr>
          <w:rFonts w:ascii="Times New Roman" w:hAnsi="Times New Roman"/>
          <w:i/>
          <w:color w:val="000000"/>
          <w:sz w:val="20"/>
        </w:rPr>
        <w:t>Collaboration Agreements</w:t>
      </w:r>
      <w:r>
        <w:rPr>
          <w:rFonts w:ascii="Times New Roman" w:hAnsi="Times New Roman"/>
          <w:color w:val="000000"/>
          <w:sz w:val="20"/>
        </w:rPr>
        <w:t xml:space="preserve">: </w:t>
      </w:r>
      <w:r>
        <w:rPr>
          <w:rFonts w:ascii="Times New Roman" w:hAnsi="Times New Roman"/>
          <w:i/>
          <w:color w:val="000000"/>
          <w:sz w:val="20"/>
        </w:rPr>
        <w:t>Ginkgo Collaboration</w:t>
      </w:r>
      <w:r>
        <w:rPr>
          <w:rFonts w:ascii="Times New Roman" w:hAnsi="Times New Roman"/>
          <w:color w:val="000000"/>
          <w:sz w:val="20"/>
        </w:rPr>
        <w:t xml:space="preserve">) for the year ended December 31, 2024. Additionally, there were charges of $1.2 million recorded during the year ended December 31, 2024, respectively related to the restructuring including legal fees, banking fees and lab decommissioning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approximately $1.7 million of the total restructuring charges remain unpaid and were included in accrued restructuring charges. These charges primarily consist of personnel costs related to severance expense and retention bonuses, in addition to professional services costs.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Rights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20, 2024, the Board of Directors of the Company declared a dividend of one preferred share purchase right (a “Right”), payable on March 1, 2024, for each share of common stock of the Company outstanding on March 1, 2024 to the stockholders of record on that date and for certain warrants to purchase Common Stock outstanding on March 1, 2024. In connection with the distribution of the Rights, the Company entered into a Rights Agreement, dated as of February 20, 2024, between the Company and Equiniti Trust Company LLC, as rights agent (the "Rights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Right entitles the registered holder to purchase from the Company one one-thousandth of a share of Series A Junior Participating Preferred Stock, par value $0.001 per share, of the Company (the “Series A Preferred Stock”) at a price of $12.00 per one one-thousandth of a share of Series A Preferred Stock represented by a Right (the “Purchase Price”), subject to adjustment.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Rights were determined to have no value upon issuance and no rights were exercisable as of December 31, 2024. </w:t>
      </w:r>
    </w:p>
    <w:p>
      <w:pPr>
        <w:pStyle w:val="TextBody"/>
        <w:bidi w:val="0"/>
        <w:spacing w:before="120" w:after="283"/>
        <w:jc w:val="left"/>
        <w:rPr>
          <w:rFonts w:ascii="Times New Roman" w:hAnsi="Times New Roman"/>
          <w:sz w:val="20"/>
        </w:rPr>
      </w:pPr>
      <w:r>
        <w:rPr>
          <w:rFonts w:ascii="Times New Roman" w:hAnsi="Times New Roman"/>
          <w:i/>
          <w:color w:val="000000"/>
          <w:sz w:val="20"/>
        </w:rPr>
        <w:t>Reverse Stock Split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27, 2023, the Company effected a reverse stock split of its shares of common stock, pursuant to which every fifteen (15) shares of the its issued and outstanding common stock was automatically converted into one (1) issued and outstanding share of common stock without any change in the par value of $0.001 per share. The reverse stock split was approved by the stockholders on September 21, 2023 at a special meeting of stockholders.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October 2023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3, 2023, the Company issued and sold, through an underwritten public offering: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3,921,928</w:t>
      </w:r>
      <w:r>
        <w:rPr>
          <w:color w:val="000000"/>
        </w:rPr>
        <w:t xml:space="preserve"> </w:t>
      </w:r>
      <w:r>
        <w:rPr>
          <w:rFonts w:ascii="Times New Roman" w:hAnsi="Times New Roman"/>
          <w:color w:val="000000"/>
          <w:sz w:val="20"/>
        </w:rPr>
        <w:t>shares of its common stock at a price of $2.84</w:t>
      </w:r>
      <w:r>
        <w:rPr>
          <w:color w:val="000000"/>
        </w:rPr>
        <w:t xml:space="preserve"> </w:t>
      </w:r>
      <w:r>
        <w:rPr>
          <w:rFonts w:ascii="Times New Roman" w:hAnsi="Times New Roman"/>
          <w:color w:val="000000"/>
          <w:sz w:val="20"/>
        </w:rPr>
        <w:t xml:space="preserve">per share less underwriting discounts and commissions;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pre-funded warrants to purchase up to 3,472,435</w:t>
      </w:r>
      <w:r>
        <w:rPr>
          <w:color w:val="000000"/>
        </w:rPr>
        <w:t xml:space="preserve"> </w:t>
      </w:r>
      <w:r>
        <w:rPr>
          <w:rFonts w:ascii="Times New Roman" w:hAnsi="Times New Roman"/>
          <w:color w:val="000000"/>
          <w:sz w:val="20"/>
        </w:rPr>
        <w:t>shares of its common stock at a price of $2.839</w:t>
      </w:r>
      <w:r>
        <w:rPr>
          <w:color w:val="000000"/>
        </w:rPr>
        <w:t xml:space="preserve"> </w:t>
      </w:r>
      <w:r>
        <w:rPr>
          <w:rFonts w:ascii="Times New Roman" w:hAnsi="Times New Roman"/>
          <w:color w:val="000000"/>
          <w:sz w:val="20"/>
        </w:rPr>
        <w:t xml:space="preserve">immediately following the consummation of the offering, and;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accompanying common stock warrants to purchase up to 7,394,363</w:t>
      </w:r>
      <w:r>
        <w:rPr>
          <w:color w:val="000000"/>
        </w:rPr>
        <w:t xml:space="preserve"> </w:t>
      </w:r>
      <w:r>
        <w:rPr>
          <w:rFonts w:ascii="Times New Roman" w:hAnsi="Times New Roman"/>
          <w:color w:val="000000"/>
          <w:sz w:val="20"/>
        </w:rPr>
        <w:t>shares of its common stock at a price of $3.408</w:t>
      </w:r>
      <w:r>
        <w:rPr>
          <w:color w:val="000000"/>
        </w:rPr>
        <w:t xml:space="preserve"> </w:t>
      </w:r>
      <w:r>
        <w:rPr>
          <w:rFonts w:ascii="Times New Roman" w:hAnsi="Times New Roman"/>
          <w:color w:val="000000"/>
          <w:sz w:val="20"/>
        </w:rPr>
        <w:t xml:space="preserve">per share exercisable immediately after issuance and expires five years from the date of issuance.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share of its common stock and each pre-funded warrant was sold together with a common warrant to purchase one share of its common stock. A holder of pre-funded warrants may not exercise the warrant if the holder, together with its affiliates, would beneficially own more than 4.99% (or, upon election by a holder prior to the issuance of any warrants, 9.99%) of the number of shares of common stock outstanding immediately after giving effect to such exercise. The net proceeds to the Company from the sale of common stock and pre-funded warrants through the offering, after deducting the underwriting discounts and commissions and offering expenses payable by the Company, were approximately $19.6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common stock and pre-funded warrants met the criteria for equity classification. The purchase warrants met the definition of a derivative instrument. Accordingly, upon issuance, the purchase warrants were recorded as a liability at fair value using the Black-Scholes option-pricing model in the amount of $13.4 million. Any subsequent changes in fair value of the purchase warrants is recognized in the consolidated statements of operations. The residual proceeds were allocated between the common stock and pre-funded warrants based on their relative fair values at the time of issuance. The amount allocated to the pre-funded warrants was recorded as a component of stockholders’ equity within additional paid-in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December 31, 2024, the fair value of the purchase warrants was $4.9 million. Accordingly, a gain on remeasurement of the purchase warrant liability of $16.2 million was recorded in the year ended December 31, 2024. Subsequent to their issuance and as of December 31, 2024, 2,920,126 pre-funded warrants have been exercised. None of the purchase warrants have been exercised since their issuance.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At-the-Market (ATM) Offering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2021, the Company entered into a sales agreement with Jefferies, LLC (Jefferies) with respect to an ATM, under which the Company may offer and sell, from time to time at its sole discretion, shares of its common stock having aggregate sales proceeds of up to $50.0 million. Jefferies is not required to sell any specific amount but acts as the Company’s sales agent using commercially reasonable efforts consistent with its normal trading and sales practices. During the year ended December 31, 2024, 7,839 shares of common stock were sold pursuant to the sales agreement with Jefferies, resulting in net proceeds of approximately $0.02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Ginkgo Warrants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June 2019, the Company issued to Ginkgo Bioworks, Inc. (Ginkgo) 422,718 shares of common stock and accompanying Pre-Funded Warrants (the Pre-Funded Warrants) to purchase up to an aggregate of 169,874 shares of common stock, at a combined purchase price per share and Pre-Funded Warrant of $135. The Pre-Funded Warrants have an exercise price of $135 per share, with $134.85 of such exercise price paid at the closing of the offering. The proceeds, net of issuance costs, were approximately $79.9 million, $57.0 million related to the proceeds from sale of the common stock and $22.9 million related to the proceeds from sale of the Pre-Funded Warrants. The Pre-Funded Warrants may be exercised at any time until all of the Pre-Funded Warrants are exercised in full to the extent that, after giving effect to such issuance after exercise, Ginkgo would not beneficially own in excess of 19.99% of the number of shares of common stock outstanding immediately after giving effect to the issuance. The Pre-Funded Warrants were classified as a component of permanent equity and were recorded at the issuance date using a relative fair value allocation method. The Pre-Funded Warrants are equity classified because they are freestanding financial instruments that are legally detachable and separately exercisable from the equity instruments, are immediately exercisable, do not embody an obligation for the Company to repurchase its shares, and permit the holders to receive a fixed number of common shares upon exercise. In addition, such warrants do not provide any guarantee of value or return. In connection with the issuance to Ginkgo of common stock and Pre-Funded Warrants, the Company expanded its collaboration and entered into an agreement with Ginkgo for the research and development of engineered microbial therapeutic products. As a result of the Company's and its board of directors decision to discontinue the Synpheny-3 trial, the Company would no longer be purchasing services from Ginkgo. None of the Pre-Funded Warrants have been exercised as of December 31, 2024. (See Note 11, </w:t>
      </w:r>
      <w:r>
        <w:rPr>
          <w:rFonts w:ascii="Times New Roman" w:hAnsi="Times New Roman"/>
          <w:i/>
          <w:color w:val="000000"/>
          <w:sz w:val="20"/>
        </w:rPr>
        <w:t>Collaboration Agreements</w:t>
      </w:r>
      <w:r>
        <w:rPr>
          <w:rFonts w:ascii="Times New Roman" w:hAnsi="Times New Roman"/>
          <w:color w:val="000000"/>
          <w:sz w:val="20"/>
        </w:rPr>
        <w:t xml:space="preserve">: </w:t>
      </w:r>
      <w:r>
        <w:rPr>
          <w:rFonts w:ascii="Times New Roman" w:hAnsi="Times New Roman"/>
          <w:i/>
          <w:color w:val="000000"/>
          <w:sz w:val="20"/>
        </w:rPr>
        <w:t>Ginkgo Collaboration</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reserved for future issuance the following shares of common stock related to the potential exercise of warrants, exercise of stock options, and the employee stock purchase plan:</w:t>
      </w:r>
    </w:p>
    <w:p>
      <w:pPr>
        <w:pStyle w:val="TextBody"/>
        <w:bidi w:val="0"/>
        <w:jc w:val="left"/>
        <w:rPr/>
      </w:pPr>
      <w:r>
        <w:rPr/>
        <w:t> </w:t>
      </w:r>
    </w:p>
    <w:tbl>
      <w:tblPr>
        <w:tblW w:w="6567" w:type="dxa"/>
        <w:jc w:val="left"/>
        <w:tblInd w:w="0" w:type="dxa"/>
        <w:tblLayout w:type="fixed"/>
        <w:tblCellMar>
          <w:top w:w="28" w:type="dxa"/>
          <w:left w:w="28" w:type="dxa"/>
          <w:bottom w:w="28" w:type="dxa"/>
          <w:right w:w="28" w:type="dxa"/>
        </w:tblCellMar>
      </w:tblPr>
      <w:tblGrid>
        <w:gridCol w:w="4876"/>
        <w:gridCol w:w="203"/>
        <w:gridCol w:w="1297"/>
        <w:gridCol w:w="191"/>
      </w:tblGrid>
      <w:tr>
        <w:trPr/>
        <w:tc>
          <w:tcPr>
            <w:tcW w:w="487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under pre-funded warrants</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552,309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under purchase warrants</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7,394,363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under Ginkgo pre-funded warrants</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to purchase common stock</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0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8,347,906</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Equity</w:t>
        <w:noBreakHyphen/>
        <w:t>based Compensation and Equity Incentive Plans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Equity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currently has four active equity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2015 Equity Incentive Award Plan (2015 Plan) functions as the primary equity plan for the Company. The 2015 Plan includes an “evergreen provision” that allows for an annual increase in the number of shares of common stock available for issuance under the 2015 Plan, which annual increase will be added on the first day of each fiscal year from 2016 through 2025, inclusive, and will be equal to the lesser of (i) five percent of the shares outstanding on the last day of the immediately preceding fiscal year and (ii) such smaller number of shares as determined by the Board of Directors. On January 1, 2024, the Company added 459,307 shares to the 2015 Plan pursuant to the “evergreen provision”. The 2015 Plan provides for the granting of a variety of stock</w:t>
        <w:noBreakHyphen/>
        <w:t>based compensation awards, including stock options, stock appreciation rights, restricted stock awards, restricted stock unit awards, deferred stock awards, dividend equivalent awards, stock payment awards, performance awards and other stock</w:t>
        <w:noBreakHyphen/>
        <w:t>based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2017 Stock Incentive Plan (the 2017 Plan) provides for the grant of incentive stock options, non-qualified stock options, restricted and unrestricted stock awards and other stock-based awards.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2015 Employee Stock Purchase Plan (ESPP) allows eligible employees to purchase shares of the Company’s common stock at a discount through payroll deductions of up to 15% of their eligible compensation, subject to any plan limitations. The ESPP generally provides for set offering periods, and at the end of each offering period, employees are able to purchase shares at 85% of the lower of the fair market value of the Company’s common stock on the first trading day of the offering period or on the last trading day of the offering period. The Company suspended the ESPP in 2017. In December 2019, the Board reactivated the 2015 ESPP and approved an amendment to the ESPP to (i) reduce the permitted payroll deduction and number of shares of the Company’s common stock that a participant may purchase per calendar year and offering period under the ESPP and (ii) establish a period for enrollment for eligible participants. The reactivation of the 2015 ESPP was effective immediately. The Company’s executive officers are eligible to participate in the 2015 ESPP. The ESPP includes an “evergreen provision,” allowing for an annual increase in the number of shares of common stock available for issuance. On January 1, 2024, the Company added 91,861 shares to the ESPP pursuant to the “evergreen provision”. Due to the corporate restructuring, the purchases for the ESPP offering periods were cancelled during the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2023 Inducement Equity Incentive Award Plan (the 2023 Inducement Plan) was established as of December 8, 2023 to provide for the granting of equity awards to individuals who were not previously employees of Synlogic, or following a bona fide period of non-employment, as an inducement material to such individuals’ entering into employment with Synlogic, pursuant to Nasdaq Listing Rule 5635(c)(4). No shares were issued under the 2023 Inducement Plan during the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there were an aggregate of 714,497 shares available for future grant under the 2015 Plan and the 2017 Plan, 186,995 shares available for future grant under the ESPP, and 50,000 shares available for future grant under the 2023 Inducement Plan.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 average assumptions used in the Black-Scholes option-pricing model for stock options issued to employees and non-employees under the 2015 Plan and the 2017 Plan, during the years ended December 31, 2024 and 2023 were:</w:t>
      </w:r>
    </w:p>
    <w:p>
      <w:pPr>
        <w:pStyle w:val="TextBody"/>
        <w:bidi w:val="0"/>
        <w:jc w:val="left"/>
        <w:rPr/>
      </w:pPr>
      <w:r>
        <w:rPr/>
        <w:t> </w:t>
      </w:r>
    </w:p>
    <w:tbl>
      <w:tblPr>
        <w:tblW w:w="5737" w:type="dxa"/>
        <w:jc w:val="left"/>
        <w:tblInd w:w="0" w:type="dxa"/>
        <w:tblLayout w:type="fixed"/>
        <w:tblCellMar>
          <w:top w:w="28" w:type="dxa"/>
          <w:left w:w="28" w:type="dxa"/>
          <w:bottom w:w="28" w:type="dxa"/>
          <w:right w:w="28" w:type="dxa"/>
        </w:tblCellMar>
      </w:tblPr>
      <w:tblGrid>
        <w:gridCol w:w="3346"/>
        <w:gridCol w:w="146"/>
        <w:gridCol w:w="944"/>
        <w:gridCol w:w="166"/>
        <w:gridCol w:w="944"/>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 years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 years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summarizes stock option activity under the 2015 and 2017 Plans.</w:t>
      </w:r>
    </w:p>
    <w:p>
      <w:pPr>
        <w:pStyle w:val="TextBody"/>
        <w:bidi w:val="0"/>
        <w:jc w:val="left"/>
        <w:rPr/>
      </w:pPr>
      <w:r>
        <w:rPr/>
        <w:t> </w:t>
      </w:r>
    </w:p>
    <w:tbl>
      <w:tblPr>
        <w:tblW w:w="9153" w:type="dxa"/>
        <w:jc w:val="left"/>
        <w:tblInd w:w="0" w:type="dxa"/>
        <w:tblLayout w:type="fixed"/>
        <w:tblCellMar>
          <w:top w:w="28" w:type="dxa"/>
          <w:left w:w="28" w:type="dxa"/>
          <w:bottom w:w="28" w:type="dxa"/>
          <w:right w:w="28" w:type="dxa"/>
        </w:tblCellMar>
      </w:tblPr>
      <w:tblGrid>
        <w:gridCol w:w="4066"/>
        <w:gridCol w:w="146"/>
        <w:gridCol w:w="146"/>
        <w:gridCol w:w="841"/>
        <w:gridCol w:w="166"/>
        <w:gridCol w:w="146"/>
        <w:gridCol w:w="214"/>
        <w:gridCol w:w="582"/>
        <w:gridCol w:w="146"/>
        <w:gridCol w:w="146"/>
        <w:gridCol w:w="271"/>
        <w:gridCol w:w="675"/>
        <w:gridCol w:w="146"/>
        <w:gridCol w:w="146"/>
        <w:gridCol w:w="303"/>
        <w:gridCol w:w="822"/>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 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value</w:t>
            </w:r>
            <w:r>
              <w:rPr>
                <w:rFonts w:ascii="Times New Roman" w:hAnsi="Times New Roman"/>
                <w:color w:val="000000"/>
                <w:sz w:val="16"/>
              </w:rPr>
              <w:t> </w:t>
            </w:r>
            <w:r>
              <w:rPr>
                <w:rFonts w:ascii="Times New Roman" w:hAnsi="Times New Roman"/>
                <w:b/>
                <w:color w:val="000000"/>
                <w:sz w:val="11"/>
              </w:rPr>
              <w:t>(a)</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or expected to vest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2"/>
        </w:rPr>
        <w:t>(a)</w:t>
      </w:r>
      <w:r>
        <w:rPr>
          <w:rFonts w:ascii="Times New Roman" w:hAnsi="Times New Roman"/>
          <w:color w:val="000000"/>
          <w:sz w:val="20"/>
        </w:rPr>
        <w:t xml:space="preserve"> </w:t>
      </w:r>
      <w:r>
        <w:rPr>
          <w:rFonts w:ascii="Times New Roman" w:hAnsi="Times New Roman"/>
          <w:color w:val="000000"/>
          <w:sz w:val="18"/>
        </w:rPr>
        <w:t>The aggregate intrinsic value is calculated as the difference between the exercise price of the options and the fair market value of the underlying common stock for the options that were in the money at December 31, 2024 and 2023. There were no</w:t>
      </w:r>
      <w:r>
        <w:rPr>
          <w:rFonts w:ascii="Times New Roman" w:hAnsi="Times New Roman"/>
          <w:color w:val="000000"/>
          <w:sz w:val="20"/>
        </w:rPr>
        <w:t xml:space="preserve"> </w:t>
      </w:r>
      <w:r>
        <w:rPr>
          <w:rFonts w:ascii="Times New Roman" w:hAnsi="Times New Roman"/>
          <w:color w:val="000000"/>
          <w:sz w:val="18"/>
        </w:rPr>
        <w:t>options in the money at December 31, 2024. 512,972</w:t>
      </w:r>
      <w:r>
        <w:rPr>
          <w:rFonts w:ascii="Times New Roman" w:hAnsi="Times New Roman"/>
          <w:color w:val="000000"/>
          <w:sz w:val="20"/>
        </w:rPr>
        <w:t xml:space="preserve"> </w:t>
      </w:r>
      <w:r>
        <w:rPr>
          <w:rFonts w:ascii="Times New Roman" w:hAnsi="Times New Roman"/>
          <w:color w:val="000000"/>
          <w:sz w:val="18"/>
        </w:rPr>
        <w:t>options were in the money at December 31,</w:t>
      </w:r>
      <w:r>
        <w:rPr>
          <w:rFonts w:ascii="Times New Roman" w:hAnsi="Times New Roman"/>
          <w:color w:val="000000"/>
          <w:sz w:val="20"/>
        </w:rPr>
        <w:t xml:space="preserve"> </w:t>
      </w:r>
      <w:r>
        <w:rPr>
          <w:rFonts w:ascii="Times New Roman" w:hAnsi="Times New Roman"/>
          <w:color w:val="000000"/>
          <w:sz w:val="18"/>
        </w:rPr>
        <w:t>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grant date fair value per share of options granted during the years ended December 31, 2024 and 2023 was approximately $3.15 and $6.07, respectively. The total fair value of awards that vested during the years ended December 31, 2024 and 2023 was $1.3 million and $2.5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2024, there was approximately $0.1 million of unrecognized share-based compensation for unvested stock option grants which is expected to be recognized over a weighted average period of 1.56 years. The total unrecognized share-based compensation cost will be adjusted for actual forfeitures as they occur.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9, 2023, the Company’s board of directors approved a stock option repricing, which repriced certain outstanding stock options held by then current employees. There were 539,685 outstanding eligible stock options that were amended to reduce such exercise price to $1.85 per share, the current fair market value of the Company’s common stock on the date of the approval of the repricing. Except for the modified exercise price, all other terms and conditions of each of the eligible stock options remained in full force and effect. The repricing was recorded as a stock option modification whereby the incremental fair value of each option was determined using the Black-Scholes option-pricing model at the date of the modification, and $0.2 million was recognized related to vested options as incremental equity-based compensation expense during the year ended December 31, 2023. The Company is recognizing the remaining $0.2 million of incremental equity-based compensation expense on a straight-line basis over the remaining requisite service period of the stock options.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years ended December 31, 2024 and 2023, 362,700 and 10,803 shares of restricted common stock were granted,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restricted common stock activity:</w:t>
      </w:r>
    </w:p>
    <w:p>
      <w:pPr>
        <w:pStyle w:val="TextBody"/>
        <w:bidi w:val="0"/>
        <w:jc w:val="left"/>
        <w:rPr/>
      </w:pPr>
      <w:r>
        <w:rPr/>
        <w:t> </w:t>
      </w:r>
    </w:p>
    <w:tbl>
      <w:tblPr>
        <w:tblW w:w="5237" w:type="dxa"/>
        <w:jc w:val="left"/>
        <w:tblInd w:w="0" w:type="dxa"/>
        <w:tblLayout w:type="fixed"/>
        <w:tblCellMar>
          <w:top w:w="28" w:type="dxa"/>
          <w:left w:w="28" w:type="dxa"/>
          <w:bottom w:w="28" w:type="dxa"/>
          <w:right w:w="28" w:type="dxa"/>
        </w:tblCellMar>
      </w:tblPr>
      <w:tblGrid>
        <w:gridCol w:w="2701"/>
        <w:gridCol w:w="146"/>
        <w:gridCol w:w="146"/>
        <w:gridCol w:w="841"/>
        <w:gridCol w:w="166"/>
        <w:gridCol w:w="146"/>
        <w:gridCol w:w="242"/>
        <w:gridCol w:w="658"/>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total fair value of shares that vested during the years ended December 31, 2024 and 2023 was $0.3 million and $0.4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2024, there was approximately $0.05 million of unrecognized share-based compensation related to restricted stock awards granted, which is expected to be recognized over a weighted average period of 1.2 years. The total unrecognized share-based compensation cost will be adjusted for actual forfeitures as they occur. </w:t>
      </w:r>
    </w:p>
    <w:p>
      <w:pPr>
        <w:pStyle w:val="TextBody"/>
        <w:bidi w:val="0"/>
        <w:spacing w:before="2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ESPP is considered a compensatory plan with the related compensation expense recognized over the six-month offering periods. The compensation expense for the year ended December 31, 2024 was $(0.02) million due to the reversal of the expense as a result of the corporate restructuring and subsequent cancellation of the ESPP purchase in the first quarter of 2024. The compensation expense for the year ended December 31, 2023 was less than $0.1 million.</w:t>
      </w:r>
    </w:p>
    <w:p>
      <w:pPr>
        <w:pStyle w:val="TextBody"/>
        <w:bidi w:val="0"/>
        <w:jc w:val="left"/>
        <w:rPr/>
      </w:pPr>
      <w:r>
        <w:rPr/>
        <w:t> </w:t>
      </w:r>
    </w:p>
    <w:p>
      <w:pPr>
        <w:pStyle w:val="TextBody"/>
        <w:bidi w:val="0"/>
        <w:spacing w:before="260" w:after="283"/>
        <w:jc w:val="left"/>
        <w:rPr>
          <w:rFonts w:ascii="Times New Roman" w:hAnsi="Times New Roman"/>
          <w:b/>
          <w:i/>
          <w:color w:val="000000"/>
          <w:sz w:val="20"/>
        </w:rPr>
      </w:pPr>
      <w:r>
        <w:rPr>
          <w:rFonts w:ascii="Times New Roman" w:hAnsi="Times New Roman"/>
          <w:b/>
          <w:i/>
          <w:color w:val="000000"/>
          <w:sz w:val="20"/>
        </w:rPr>
        <w:t>Equity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recorded total equity</w:t>
        <w:noBreakHyphen/>
        <w:t xml:space="preserve">based compensation expense of approximately $3.2 million and $2.8 million, during the years ended December 31, 2024 and 2023, respectively. Equity compensation during the years ended December 31, 2024 and 2023 is derived from stock options, restricted stock awards, and the ESPP.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equity</w:t>
        <w:noBreakHyphen/>
        <w:t>based compensation expense within the Company’s consolidated statements of operations and comprehensive loss for the years ended December 31, 2024 and 2023 (in thousands):</w:t>
      </w:r>
    </w:p>
    <w:p>
      <w:pPr>
        <w:pStyle w:val="TextBody"/>
        <w:bidi w:val="0"/>
        <w:jc w:val="left"/>
        <w:rPr/>
      </w:pPr>
      <w:r>
        <w:rPr/>
        <w:t> </w:t>
      </w:r>
    </w:p>
    <w:tbl>
      <w:tblPr>
        <w:tblW w:w="6080" w:type="dxa"/>
        <w:jc w:val="left"/>
        <w:tblInd w:w="0" w:type="dxa"/>
        <w:tblLayout w:type="fixed"/>
        <w:tblCellMar>
          <w:top w:w="28" w:type="dxa"/>
          <w:left w:w="28" w:type="dxa"/>
          <w:bottom w:w="28" w:type="dxa"/>
          <w:right w:w="28" w:type="dxa"/>
        </w:tblCellMar>
      </w:tblPr>
      <w:tblGrid>
        <w:gridCol w:w="3691"/>
        <w:gridCol w:w="146"/>
        <w:gridCol w:w="233"/>
        <w:gridCol w:w="632"/>
        <w:gridCol w:w="161"/>
        <w:gridCol w:w="161"/>
        <w:gridCol w:w="233"/>
        <w:gridCol w:w="632"/>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 expense acceleration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equity</w:t>
        <w:noBreakHyphen/>
        <w:t>based compensation expense by type of award for the years ended December 31, 2024 and 2023 (in thousands):</w:t>
      </w:r>
    </w:p>
    <w:p>
      <w:pPr>
        <w:pStyle w:val="TextBody"/>
        <w:bidi w:val="0"/>
        <w:jc w:val="left"/>
        <w:rPr/>
      </w:pPr>
      <w:r>
        <w:rPr/>
        <w:t> </w:t>
      </w:r>
    </w:p>
    <w:tbl>
      <w:tblPr>
        <w:tblW w:w="4708" w:type="dxa"/>
        <w:jc w:val="left"/>
        <w:tblInd w:w="0" w:type="dxa"/>
        <w:tblLayout w:type="fixed"/>
        <w:tblCellMar>
          <w:top w:w="28" w:type="dxa"/>
          <w:left w:w="28" w:type="dxa"/>
          <w:bottom w:w="28" w:type="dxa"/>
          <w:right w:w="28" w:type="dxa"/>
        </w:tblCellMar>
      </w:tblPr>
      <w:tblGrid>
        <w:gridCol w:w="2026"/>
        <w:gridCol w:w="146"/>
        <w:gridCol w:w="231"/>
        <w:gridCol w:w="625"/>
        <w:gridCol w:w="181"/>
        <w:gridCol w:w="160"/>
        <w:gridCol w:w="231"/>
        <w:gridCol w:w="625"/>
        <w:gridCol w:w="146"/>
        <w:gridCol w:w="146"/>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Collaboration Agreements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Roche Collaboration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June 2021, the Company entered into a Pilot Collaboration and Option Agreement (the Roche Collaboration and Option Agreement) with F. Hoffmann-La Roche Ltd (Roche Basel) and Hoffmann-La Roche Inc. (Roche US, and together with Roche Basel, Roche). Under the terms of the Roche Collaboration and Option Agreement, the Company and Roche collaborated to research and pre-clinically develop Synthetic Biotics for addressing an undisclosed novel target for the treatment of inflammatory bowel disease (the Product Candidate).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Roche Collaboration and Option Agreement, Roche agreed to pay the Company, an upfront, nonrefundable technology access fee of $1.0 million, which the Company received in July 2021. In addition, the Company was eligible to receive up to $5.0 million in milestone payments upon the achievement of certain success criteria. The Company achieved all of the milestone payments and Roche paid the Company $5.0 million from September 2021 through October 2023. Following the research period, Roche held an exclusive option right (the Option) to negotiate a definitive Collaboration and License Agreement (CLA) for further development and commercialization of the Product Candidate. The Roche Collaboration and Option Agreement concluded after the last milestone was achieved by the Company in October 2023. Subsequently, Roche did not exercise its exclusive option to enter into a licensing and collaboration agreement for further development and commercialization of the product candidate.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Roche Collaboration and Option Agreement, during the term of such agreement, each party had granted to the other party a non-exclusive, non-transferrable, non-sublicensable, royalty-free right and license to certain intellectual property and know-how controlled by such party, solely as necessary for the party to perform its obligations under the Roche Collaboration and Option Agreement. The parties established a Joint Research Committee (JRC) to oversee and manage the execution of the underlying study plan for the Roche Collaboration and Option Agreement.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assessed this arrangement in accordance with ASC 606, </w:t>
      </w:r>
      <w:r>
        <w:rPr>
          <w:rFonts w:ascii="Times New Roman" w:hAnsi="Times New Roman"/>
          <w:i/>
          <w:color w:val="000000"/>
          <w:sz w:val="20"/>
        </w:rPr>
        <w:t>Revenue from Contracts with Customers,</w:t>
      </w:r>
      <w:r>
        <w:rPr>
          <w:rFonts w:ascii="Times New Roman" w:hAnsi="Times New Roman"/>
          <w:color w:val="000000"/>
          <w:sz w:val="20"/>
        </w:rPr>
        <w:t xml:space="preserve"> and concluded that the contract counterparty, Roche, is a customer. The Company identified the following material promises made by the Company to Roche at the outset of the arrangement: (1) a non-exclusive royalty-free research and development license; (2) research and development services for pre-clinical activities under the research plan; (3) implicit renewal options created by Roche’s decision not to terminate the contract; (4) the Company’s participation on the JRC; and (5) an exclusive right to negotiate a definitive CLA for further development and commercialization of the Product Candidate. The Company determined that the license and research and development activities were not distinct from one another, as the license has limited value without the performance of research and development activities. The Company’s participation on the JRC was determined to be quantitatively and qualitatively immaterial and therefore is excluded from performance obligations. As such, the Company determined that the promises associated with the license and research and development services should be combined into a single performance obligation.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evaluated the milestone payments relating to the three phases of research as defined in the research plan and the option to negotiate and enter into the CLA, to determine whether they provide Roche with any material rights. The Company concluded that the option was not issued at a significant and incremental discount, and therefore do not provide material rights. As such, they were excluded as performance obligations at the outset of the arrangement.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Based on these assessments, the Company identified one performance obligation at the outset of the Roche Collaboration and Option Agreement, which consisted of: (1) the non-exclusive license and (2) the research and development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the outset of the arrangement, the transaction price included only the $1.0 million up-front consideration received and which was allocated to the single performance obligation. The milestone payments that were received were excluded from the transaction price until each respective milestone was achieved.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 associated with performance obligations under the Roche Collaboration and Option Agreement was recognized as the research and development services were provided using an input method, according to the full-time equivalents incurred. The transfer of control occurs over time and, in management’s judgment, was the best measure of progress towards satisfying the performance obligation.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recognized $0.01 million and $3.4 million for the years ended December 31, 2024 and 2023, respectively, as collaboration revenue in the Company’s consolidated statements of operations and comprehensive loss.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Ginkgo Collaboration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2017, the Company established a technology collaboration with Ginkgo. In June 2019, in connection with the issuance to Ginkgo of an aggregate of 422,718 shares of common stock and Pre-Funded Warrants to purchase an aggregate of 169,874 common stock (See Note 9, </w:t>
      </w:r>
      <w:r>
        <w:rPr>
          <w:rFonts w:ascii="Times New Roman" w:hAnsi="Times New Roman"/>
          <w:i/>
          <w:color w:val="000000"/>
          <w:sz w:val="20"/>
        </w:rPr>
        <w:t>Stockholders' Equity</w:t>
      </w:r>
      <w:r>
        <w:rPr>
          <w:rFonts w:ascii="Times New Roman" w:hAnsi="Times New Roman"/>
          <w:color w:val="000000"/>
          <w:sz w:val="20"/>
        </w:rPr>
        <w:t>), the Company expanded its collaboration and entered into an agreement with Ginkgo for the research and development of engineered microbial therapeutic products. Under the 2019 expanded agreement, the Company made a prepayment to Ginkgo of $30.0 million for its foundry services that will be provided to the Company over an initial term of five years, which could be extended for an additional three years, subject to the satisfaction of specified conditions. Upon the expiration of such initial term and, if applicable, an additional term, any portion of the prepayment that has not been used to purchase services from Ginkgo will be retained by Ginkgo. In February 2024, the Company and its board of directors decided to discontinue the Synpheny-3 trial and significantly reduce its workforce and have made the decision to evaluate strategic options for the Company. As a result of this decision, the Company would no longer be purchasing services from Ginkgo. During the year ended December 31, 2024, the remaining $5.2 million of prepaid expenses related to this collaboration that were historically recorded in prepaid expenses and other current assets and prepaid research and development, net of current portion on the consolidated balance sheet, were recorded as restructuring and other charges on the consolidated statements of operations and comprehensive loss.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(in thousands, except for share and per share amounts):</w:t>
      </w:r>
    </w:p>
    <w:p>
      <w:pPr>
        <w:pStyle w:val="TextBody"/>
        <w:bidi w:val="0"/>
        <w:jc w:val="left"/>
        <w:rPr/>
      </w:pPr>
      <w:r>
        <w:rPr/>
        <w:t> </w:t>
      </w:r>
    </w:p>
    <w:tbl>
      <w:tblPr>
        <w:tblW w:w="8519" w:type="dxa"/>
        <w:jc w:val="left"/>
        <w:tblInd w:w="0" w:type="dxa"/>
        <w:tblLayout w:type="fixed"/>
        <w:tblCellMar>
          <w:top w:w="28" w:type="dxa"/>
          <w:left w:w="28" w:type="dxa"/>
          <w:bottom w:w="28" w:type="dxa"/>
          <w:right w:w="28" w:type="dxa"/>
        </w:tblCellMar>
      </w:tblPr>
      <w:tblGrid>
        <w:gridCol w:w="5461"/>
        <w:gridCol w:w="146"/>
        <w:gridCol w:w="211"/>
        <w:gridCol w:w="1036"/>
        <w:gridCol w:w="166"/>
        <w:gridCol w:w="146"/>
        <w:gridCol w:w="211"/>
        <w:gridCol w:w="931"/>
        <w:gridCol w:w="211"/>
      </w:tblGrid>
      <w:tr>
        <w:trPr/>
        <w:tc>
          <w:tcPr>
            <w:tcW w:w="5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12,196,209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6,502,279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Company’s potentially dilutive shares, which include purchase warrants, outstanding stock options, unvested restricted common stock and potential shares issuable under the ESPP, are considered to be common share equivalents and are only included in the calculation of diluted net loss per share when their effect is dilutive.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w:t>
      </w:r>
    </w:p>
    <w:p>
      <w:pPr>
        <w:pStyle w:val="TextBody"/>
        <w:bidi w:val="0"/>
        <w:jc w:val="left"/>
        <w:rPr/>
      </w:pPr>
      <w:r>
        <w:rPr/>
        <w:t> </w:t>
      </w:r>
    </w:p>
    <w:tbl>
      <w:tblPr>
        <w:tblW w:w="6774" w:type="dxa"/>
        <w:jc w:val="left"/>
        <w:tblInd w:w="0" w:type="dxa"/>
        <w:tblLayout w:type="fixed"/>
        <w:tblCellMar>
          <w:top w:w="28" w:type="dxa"/>
          <w:left w:w="28" w:type="dxa"/>
          <w:bottom w:w="28" w:type="dxa"/>
          <w:right w:w="28" w:type="dxa"/>
        </w:tblCellMar>
      </w:tblPr>
      <w:tblGrid>
        <w:gridCol w:w="3991"/>
        <w:gridCol w:w="146"/>
        <w:gridCol w:w="146"/>
        <w:gridCol w:w="931"/>
        <w:gridCol w:w="146"/>
        <w:gridCol w:w="146"/>
        <w:gridCol w:w="146"/>
        <w:gridCol w:w="931"/>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7,394,363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common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Potential shares issuable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7,913,412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8,062,921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years ended December 31, 2024 and 2023, the Company recorded no income tax benefits for the net operating losses incurred due to its uncertainty of reclaiming a benefit for those losses.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Deferred taxes are recognized for temporary differences between the basis of assets and liabilities for financial statement and income tax purposes. Deferred tax assets consist of the following (in thousands):</w:t>
      </w:r>
    </w:p>
    <w:p>
      <w:pPr>
        <w:pStyle w:val="TextBody"/>
        <w:bidi w:val="0"/>
        <w:jc w:val="left"/>
        <w:rPr/>
      </w:pPr>
      <w:r>
        <w:rPr/>
        <w:t> </w:t>
      </w:r>
    </w:p>
    <w:tbl>
      <w:tblPr>
        <w:tblW w:w="6509" w:type="dxa"/>
        <w:jc w:val="left"/>
        <w:tblInd w:w="0" w:type="dxa"/>
        <w:tblLayout w:type="fixed"/>
        <w:tblCellMar>
          <w:top w:w="28" w:type="dxa"/>
          <w:left w:w="28" w:type="dxa"/>
          <w:bottom w:w="28" w:type="dxa"/>
          <w:right w:w="28" w:type="dxa"/>
        </w:tblCellMar>
      </w:tblPr>
      <w:tblGrid>
        <w:gridCol w:w="3336"/>
        <w:gridCol w:w="146"/>
        <w:gridCol w:w="211"/>
        <w:gridCol w:w="841"/>
        <w:gridCol w:w="166"/>
        <w:gridCol w:w="146"/>
        <w:gridCol w:w="211"/>
        <w:gridCol w:w="841"/>
        <w:gridCol w:w="611"/>
      </w:tblGrid>
      <w:tr>
        <w:trPr/>
        <w:tc>
          <w:tcPr>
            <w:tcW w:w="3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 credit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Equity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Amortizable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Amortizable research expenditures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Gross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128,361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Gross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i/>
          <w:color w:val="000000"/>
          <w:sz w:val="19"/>
        </w:rPr>
        <w:t>Under the Tax Cuts and Jobs Act (TCJA), research and experimental (R&amp;D) expenditures are capitalized and amortized under section 174 for tax years beginning after December 31, 2021. These costs are amortized for tax purposes over 5 years since the R&amp;D was performed in the U.S. The unamortized balance of these costs is presented as a deferred tax asset in the table above.</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Management of the Company has evaluated the positive and negative evidence bearing upon the realizability of the Company’s deferred tax assets, which are comprised principally of net operating loss carryforwards, and determined that it is more likely than not that the Company will not recognize the benefits of the deferred tax assets. As a result, a full valuation allowance of approximately $134.4 million and $125.1 million was established at December 31, 2024 and 2023,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of the statutory federal income tax rate to the Company’s effective income tax rate is as follows:</w:t>
      </w:r>
    </w:p>
    <w:p>
      <w:pPr>
        <w:pStyle w:val="TextBody"/>
        <w:bidi w:val="0"/>
        <w:jc w:val="left"/>
        <w:rPr/>
      </w:pPr>
      <w:r>
        <w:rPr/>
        <w:t> </w:t>
      </w:r>
    </w:p>
    <w:tbl>
      <w:tblPr>
        <w:tblW w:w="6122" w:type="dxa"/>
        <w:jc w:val="left"/>
        <w:tblInd w:w="0" w:type="dxa"/>
        <w:tblLayout w:type="fixed"/>
        <w:tblCellMar>
          <w:top w:w="28" w:type="dxa"/>
          <w:left w:w="28" w:type="dxa"/>
          <w:bottom w:w="28" w:type="dxa"/>
          <w:right w:w="28" w:type="dxa"/>
        </w:tblCellMar>
      </w:tblPr>
      <w:tblGrid>
        <w:gridCol w:w="3406"/>
        <w:gridCol w:w="146"/>
        <w:gridCol w:w="218"/>
        <w:gridCol w:w="562"/>
        <w:gridCol w:w="440"/>
        <w:gridCol w:w="194"/>
        <w:gridCol w:w="218"/>
        <w:gridCol w:w="562"/>
        <w:gridCol w:w="376"/>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Rate</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Rate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permanent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Due to the previously disclosed purchase warrants error, as disclosed in Note 3 of the Quarterly report for the period ended September 30, 2024, the prior period reconciliation above was revised to reflect the impact of the error for the year ended December 31, 2023.</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 roll-forward of the valuation allowance for the years ended December 31, 2024 and 2023 is as follows (in thousands):</w:t>
      </w:r>
    </w:p>
    <w:p>
      <w:pPr>
        <w:pStyle w:val="TextBody"/>
        <w:bidi w:val="0"/>
        <w:jc w:val="left"/>
        <w:rPr/>
      </w:pPr>
      <w:r>
        <w:rPr/>
        <w:t> </w:t>
      </w:r>
    </w:p>
    <w:tbl>
      <w:tblPr>
        <w:tblW w:w="5459" w:type="dxa"/>
        <w:jc w:val="left"/>
        <w:tblInd w:w="0" w:type="dxa"/>
        <w:tblLayout w:type="fixed"/>
        <w:tblCellMar>
          <w:top w:w="28" w:type="dxa"/>
          <w:left w:w="28" w:type="dxa"/>
          <w:bottom w:w="28" w:type="dxa"/>
          <w:right w:w="28" w:type="dxa"/>
        </w:tblCellMar>
      </w:tblPr>
      <w:tblGrid>
        <w:gridCol w:w="2686"/>
        <w:gridCol w:w="146"/>
        <w:gridCol w:w="211"/>
        <w:gridCol w:w="841"/>
        <w:gridCol w:w="166"/>
        <w:gridCol w:w="146"/>
        <w:gridCol w:w="211"/>
        <w:gridCol w:w="84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(125,055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December 31, 2024, the Company had federal net operating loss carryforwards that may be available to reduce future taxable income of $377.2 million. Of the $377.2 million of federal net operating loss carryforwards, $62.4 million will expire on various dates from 2034 to 2037. The remaining $314.8 million of federal net operating loss carryforwards do not expire. The Company also had state net operating loss carryforwards that may be available to reduce future taxable income of $362.7 million for the period ended December 31, 2024. The state net operating loss carryforwards begin to expire in 2029. In addition, as of December 31, 2024, the Company had federal and state research and development tax credit carryforwards available to reduce future tax liabilities of $7.5 million and $4.4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Section 382 of the Internal Revenue Code of 1986 (IRC), certain substantial changes in the Company’s ownership may result in a limitation on the amount of net operating loss (NOL) carryforwards and research and development credit (R&amp;D credit) carryforwards that may be used in future years. Utilization of the NOL and R&amp;D credit carryforwards may be subject to a substantial annual limitation under Section 382 of the IRC due to ownership change limitations that have occurred previously or that could occur in the future. These ownership changes may limit the amount of NOL and R&amp;D credit carryforwards that can be utilized annually to offset future taxable income and tax. The Company has not completed a study to assess whether an ownership change has occurred, or whether there have been multiple ownership changes since its formation, due to the significant complexity and related costs associated with such a study. There could be additional ownership changes in the future that may result in additional limitations on the utilization of NOL carryforwards and credits.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required to determine whether a tax position of the Company is more likely than not to be sustained upon examination, including resolution of any related appeals of litigation processes, based on the technical merits of the position. For tax positions meeting the more likely than not threshold, the tax amount recognized in the financial statements is reduced by the largest benefit that has a greater than fifty percent likelihood of being realized upon the ultimate settlement with the relevant taxing authority. The Company has not recognized any liability for unrecognized tax benefits as of December 31, 2024. The Company’s policy is to record interest and penalties related to unrecognized tax benefits on the income tax expense line in the consolidated statement of operations. There are no interest or penalties accrued at December 31, 2024 and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files tax returns, on an entity-level basis, as prescribed by the tax laws of the jurisdictions in which it operates. In the normal course of business, the Company is subject to examination by federal and state jurisdictions, where applicable. There are currently no pending tax examinations. Tax years from 2021 to the present are open to examination under the statute. The Company’s net operating losses and other attributes generated in a closed tax year may still be adjusted to determine the amount of carryforward deduction available in an open year under examination.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 Leases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Operating Leases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301 Binney Street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2017, the Company entered into an agreement to lease approximately 41,346 square feet of laboratory and office space at 301 Binney Street in Cambridge, Massachusetts, or the Binney Street Lease. In conjunction with the lease, the Company established a letter of credit of approximately $1.0 million secured by cash balances included in 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26, 2024 (the “Termination Date”), the Company entered into a Lease Termination Agreement (the “Termination Agreement”) for its corporate headquarters in Cambridge, Massachusetts, with the landlord which, effective immediately, terminated the lease. In exchange for the early termination of the lease pursuant to the Termination Agreement, the Company made a total termination payment of $10.6 million, of which $1.0 million was from a letter of credit associated with the lease and classified in the consolidated balance sheets as noncurrent restricted cash at December 31, 2023. As a result of the lease termination, the Company recorded a gain on lease termination, associated with its former headquarters, of $3.2 million, for the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Binney Street Lease included $9.5 million of leasehold improvements, of which $2.9 million was paid by the Company and $6.6 million was landlord-funded. The Company capitalized the leasehold improvements which were included in property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equipment, net on the consolidated balance sheets and were amortized on a straight-line basis over the remaining lease term. The leasehold improvements were subsequently fully impaired in the first quarter of 2024.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Azzur Suite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year ended December 31, 2018, the Company entered into an agreement with Azzur Group, LLC (Azzur) whereby Azzur agreed to provide the Company with access to, and the use of, cleanroom space in Waltham, Massachusetts, or the Azzur Suite Lease. The Azzur Suite Lease was subsequently amended in April 2021, January 2022, November 2022 and December 2023. The Azzur Suite Lease, as amended, provided an initial rental term of 68 months, and a rental area of approximately 1,014 square feet.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corporate restructuring, the Company executed the option for early termination of the Azzur Suite Lease via written notice to Azzur and as a result the lease was terminated effective April 8, 2024. In exchange for the early termination of the lease, the Company made a total termination payment of $0.3 million which is included in restructuring and other charges on the consolidated statements of operations and other comprehensive loss. The Company also recorded a gain on lease termination, associated with the termination of the Azzur Suite Lease, of $0.04 million, for the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Leases classified as operating leases are included in operating lease ROU assets, current operating lease liabilities and noncurrent operating lease liabilities in our consolidated balance sheets. The operating lease right-of-use asset and operating lease liability represents the Binney Street Lease and the Azzur Suite Lease. Cash paid for amounts included in the present value of operating lease liabilities was $2.4 million and $5.6 million during the years ended December 31, 2024 and 2023, respectively, which is included in operating cash flows, all of which were incurred prior to the lease termination.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components of lease cost for operating leases for the years ended December 31, 2024 and 2023 were (in thousands):</w:t>
      </w:r>
    </w:p>
    <w:p>
      <w:pPr>
        <w:pStyle w:val="TextBody"/>
        <w:bidi w:val="0"/>
        <w:jc w:val="left"/>
        <w:rPr/>
      </w:pPr>
      <w:r>
        <w:rPr/>
        <w:t> </w:t>
      </w:r>
    </w:p>
    <w:tbl>
      <w:tblPr>
        <w:tblW w:w="4527" w:type="dxa"/>
        <w:jc w:val="left"/>
        <w:tblInd w:w="0" w:type="dxa"/>
        <w:tblLayout w:type="fixed"/>
        <w:tblCellMar>
          <w:top w:w="28" w:type="dxa"/>
          <w:left w:w="28" w:type="dxa"/>
          <w:bottom w:w="28" w:type="dxa"/>
          <w:right w:w="28" w:type="dxa"/>
        </w:tblCellMar>
      </w:tblPr>
      <w:tblGrid>
        <w:gridCol w:w="1756"/>
        <w:gridCol w:w="293"/>
        <w:gridCol w:w="794"/>
        <w:gridCol w:w="203"/>
        <w:gridCol w:w="203"/>
        <w:gridCol w:w="293"/>
        <w:gridCol w:w="794"/>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right-of-use asset for the operating lease is disclosed on the consolidated balance sheets.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lease cost for finance leases during the years ended December 31, 2024 and 2023, and the finance lease liability at December 31, 2024 and December 31, 2023, were not material.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 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 Employee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defined contribution 401(k) plan for eligible employees. Employees are eligible to participate in the plan beginning on their date of hire. Under the terms of the plan, employees may make voluntary contributions as a percentage of compensation. The Company started to match employee contributions effective January 1, 2019. The Company matched 50% of the employee contributions to the 401(k) plan up to a maximum of 4% of the participating employee’s eligible earnings, resulting in a maximum company match of 2% of the participating employee’s eligible earnings, and subject to certain additional statutory dollar limitations. In 2021, the Company increased the match to 50% of the employee contributions up to a maximum of 6% of the participating employee’s eligible earnings, resulting in a maximum company match of 3% of the participating employee’s eligible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earnings, and subject to certain additional statutory dollar limitations. For the years ended December 31, 2024 and 2023, the Company made $0.09 million and $0.3 million contributions to the plan,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(17) Related-Party Transactions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June 2019, the Company expanded its collaboration and entered into an agreement with Ginkgo for the research and development of engineered microbial therapeutic products. As of December 31, 2024, Ginkgo owns 422,718 shares of the Company’s outstanding common stock. See Note 11, </w:t>
      </w:r>
      <w:r>
        <w:rPr>
          <w:rFonts w:ascii="Times New Roman" w:hAnsi="Times New Roman"/>
          <w:i/>
          <w:color w:val="000000"/>
          <w:sz w:val="20"/>
        </w:rPr>
        <w:t>Collaboration Agreements: Ginkgo Collaboration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agreement the Company made a prepayment to Ginkgo of $30.0 million for its foundry services that will be provided to the Company over an initial term of five years. Upon the expiration of such initial term and, if applicable, an additional term, any portion of the prepayment that has not been used to purchase services from Ginkgo will be retained by Ginkgo. In February 2024, the Company and its board of directors decided to discontinue the Synpheny-3 trial, significantly reduce its workforce and to evaluate strategic options for the Company. As a result of this decision, the Company would no longer be purchasing services from Ginkgo. During the year ended December 31, 2024, the remaining $5.2 million of prepaid expenses related to this collaboration that were historically recorded in prepaid expenses and other current assets and prepaid research and development, net of current portion on the consolidated balance sheet, were recorded as restructuring and other charges on the consolidated statements of operations and comprehensive loss. </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(18)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segments are defined as components of an enterprise about which separate discrete financial information is available for evaluation by the chief operating decision maker (CODM) or decision-making group, in making decisions on how to allocate resources and assess performance. The principal executive officer (PEO) is the CODM. The Company operates in one operating segment; discovery and development of Synthetic Biotics.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manages and allocates resources to the operations of the Company on a total company basis by assessing the overall level of resources available and how to best deploy these resources across functions and research and development projects that are in line with long-term company-wide strategic goals. In making these decisions, the PEO uses consolidated financial information for purposes of evaluating performance, forecasting future period financial results, allocating resources and setting incentive targets. The CODM performs this assessment based on the Company's consolidated net income (loss) that is reported on the consolidated statements of operations and comprehensive loss. Through this analysis, the CODM assesses performance by comparing actual consolidated net income (loss) versus the budget, and then decides how to allocate resources to invest in the Company's research and development programs. The measure of segment assets is reported on the consolidated balance sheets as total assets. In addition, research and development, general and administrative expenses, and restructuring charges are significant segment expenses regularly provided to the PEO with the following categories: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w:t>
      </w:r>
    </w:p>
    <w:tbl>
      <w:tblPr>
        <w:tblW w:w="5216" w:type="dxa"/>
        <w:jc w:val="left"/>
        <w:tblInd w:w="0" w:type="dxa"/>
        <w:tblLayout w:type="fixed"/>
        <w:tblCellMar>
          <w:top w:w="28" w:type="dxa"/>
          <w:left w:w="28" w:type="dxa"/>
          <w:bottom w:w="28" w:type="dxa"/>
          <w:right w:w="28" w:type="dxa"/>
        </w:tblCellMar>
      </w:tblPr>
      <w:tblGrid>
        <w:gridCol w:w="2971"/>
        <w:gridCol w:w="221"/>
        <w:gridCol w:w="598"/>
        <w:gridCol w:w="153"/>
        <w:gridCol w:w="153"/>
        <w:gridCol w:w="221"/>
        <w:gridCol w:w="708"/>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Clinical research and external costs</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Facility and all other costs</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Compensation and benefits</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research and development expense</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9,154</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w:t>
      </w:r>
    </w:p>
    <w:tbl>
      <w:tblPr>
        <w:tblW w:w="5231" w:type="dxa"/>
        <w:jc w:val="left"/>
        <w:tblInd w:w="0" w:type="dxa"/>
        <w:tblLayout w:type="fixed"/>
        <w:tblCellMar>
          <w:top w:w="28" w:type="dxa"/>
          <w:left w:w="28" w:type="dxa"/>
          <w:bottom w:w="28" w:type="dxa"/>
          <w:right w:w="28" w:type="dxa"/>
        </w:tblCellMar>
      </w:tblPr>
      <w:tblGrid>
        <w:gridCol w:w="2986"/>
        <w:gridCol w:w="221"/>
        <w:gridCol w:w="598"/>
        <w:gridCol w:w="153"/>
        <w:gridCol w:w="153"/>
        <w:gridCol w:w="221"/>
        <w:gridCol w:w="708"/>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Consulting and professional services</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Compensation and benefits</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Facility and all other costs</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general and administrative expense</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Restructuring Charges</w:t>
      </w:r>
    </w:p>
    <w:tbl>
      <w:tblPr>
        <w:tblW w:w="4973" w:type="dxa"/>
        <w:jc w:val="left"/>
        <w:tblInd w:w="0" w:type="dxa"/>
        <w:tblLayout w:type="fixed"/>
        <w:tblCellMar>
          <w:top w:w="28" w:type="dxa"/>
          <w:left w:w="28" w:type="dxa"/>
          <w:bottom w:w="28" w:type="dxa"/>
          <w:right w:w="28" w:type="dxa"/>
        </w:tblCellMar>
      </w:tblPr>
      <w:tblGrid>
        <w:gridCol w:w="2731"/>
        <w:gridCol w:w="249"/>
        <w:gridCol w:w="800"/>
        <w:gridCol w:w="172"/>
        <w:gridCol w:w="172"/>
        <w:gridCol w:w="249"/>
        <w:gridCol w:w="409"/>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Facility and all other costs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Compensation and benefits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Consulting and professional services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Clinical research and external costs</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restructuring charges</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25,173</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bookmarkStart w:id="44" w:name="sybx-ex10_10.htm"/>
      <w:bookmarkStart w:id="45" w:name="kssybxex10_10"/>
      <w:bookmarkEnd w:id="44"/>
      <w:bookmarkEnd w:id="45"/>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10.10</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Synlogic Operating Company, Inc.</w:t>
      </w:r>
    </w:p>
    <w:p>
      <w:pPr>
        <w:pStyle w:val="TextBody"/>
        <w:bidi w:val="0"/>
        <w:jc w:val="center"/>
        <w:rPr>
          <w:rFonts w:ascii="Times New Roman" w:hAnsi="Times New Roman"/>
          <w:color w:val="000000"/>
          <w:sz w:val="24"/>
        </w:rPr>
      </w:pPr>
      <w:r>
        <w:rPr>
          <w:rFonts w:ascii="Times New Roman" w:hAnsi="Times New Roman"/>
          <w:color w:val="000000"/>
          <w:sz w:val="24"/>
        </w:rPr>
        <w:t>PO Box 30</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Winchester, MA 01890</w:t>
      </w:r>
    </w:p>
    <w:p>
      <w:pPr>
        <w:pStyle w:val="TextBody"/>
        <w:bidi w:val="0"/>
        <w:spacing w:before="0" w:after="240"/>
        <w:jc w:val="left"/>
        <w:rPr>
          <w:rFonts w:ascii="Times New Roman" w:hAnsi="Times New Roman"/>
          <w:sz w:val="20"/>
        </w:rPr>
      </w:pPr>
      <w:r>
        <w:rPr>
          <w:rFonts w:ascii="Times New Roman" w:hAnsi="Times New Roman"/>
          <w:color w:val="000000"/>
          <w:sz w:val="24"/>
        </w:rPr>
        <w:t>December 17, 2024</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Antoine Awad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Dear Tony,</w:t>
      </w:r>
    </w:p>
    <w:p>
      <w:pPr>
        <w:pStyle w:val="TextBody"/>
        <w:bidi w:val="0"/>
        <w:spacing w:before="0" w:after="240"/>
        <w:jc w:val="both"/>
        <w:rPr>
          <w:rFonts w:ascii="Times New Roman" w:hAnsi="Times New Roman"/>
          <w:sz w:val="20"/>
        </w:rPr>
      </w:pPr>
      <w:r>
        <w:rPr>
          <w:rFonts w:ascii="Times New Roman" w:hAnsi="Times New Roman"/>
          <w:color w:val="000000"/>
          <w:sz w:val="24"/>
        </w:rPr>
        <w:t>The purpose of this letter agreement (“Agreement”) is to confirm the terms of this separation of employment from Synlogic, Inc. (“Synlogic” or “the Company”).</w:t>
      </w:r>
      <w:r>
        <w:rPr>
          <w:rFonts w:ascii="Times New Roman" w:hAnsi="Times New Roman"/>
          <w:color w:val="000000"/>
          <w:sz w:val="16"/>
        </w:rPr>
        <w:t>1</w:t>
      </w:r>
      <w:r>
        <w:rPr>
          <w:rFonts w:ascii="Times New Roman" w:hAnsi="Times New Roman"/>
          <w:color w:val="000000"/>
          <w:sz w:val="20"/>
        </w:rPr>
        <w:t xml:space="preserve"> </w:t>
      </w:r>
      <w:r>
        <w:rPr>
          <w:rFonts w:ascii="Times New Roman" w:hAnsi="Times New Roman"/>
          <w:color w:val="000000"/>
          <w:sz w:val="24"/>
        </w:rPr>
        <w:t>The Severance Pay and Benefits described below are contingent on your agreement to and compliance with the provisions of this Agreement, as set forth below. This Agreement shall be effective on the day after you sign the same (the “Effective Date”), and the terms herein shall supersede the prior agreements entered into by you and the Company related to such subject matter, including (i) the Employment Letter Agreement dated November 28, 2018, as amended by the Promotion Letter dated July 1, 2020 and the Amendment to the Employment Letter Agreement dated December 26, 2023; (ii) the Retention Agreement dated March 1, 2024, as amended by the Amendment to the Retention Agreement dated May 31, 2024, the Amendment to the Retention Agreement dated August 8, 2024, and the Amendment to the Retention Agreement dated October 29, 2024; and (iii) the Separation Agreement dated February 26, 2024, as amended by the Amendment to the Separation Agreement dated May 29, 2024, the Amendment to the Separation Agreement dated August 5, 2024, and the Amendment to the Separation Agreement dated October 29, 2024 (the “Prior Agreements”).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Separation of Employment</w:t>
      </w:r>
      <w:r>
        <w:rPr>
          <w:rFonts w:ascii="Times New Roman" w:hAnsi="Times New Roman"/>
          <w:color w:val="000000"/>
          <w:sz w:val="24"/>
        </w:rPr>
        <w:t>. As previously communicated to you, your employment with the Company ends on 12/31/2024 (the “Separation Date”). You acknowledge that from and after the Separation Date, you have no authority to, and shall not, represent yourself as an employee or agent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Severance Pay and Benefits</w:t>
      </w:r>
      <w:r>
        <w:rPr>
          <w:rFonts w:ascii="Times New Roman" w:hAnsi="Times New Roman"/>
          <w:color w:val="000000"/>
          <w:sz w:val="24"/>
        </w:rPr>
        <w:t>. If you sign this Agreement, do not revoke your acceptance of this Agreement and otherwise comply with the terms of this Agreement, the Company will provide you with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Severance Pay in the form of a lump-sum payment equivalent to six (6) months of your base salary, or $218,856 less all tax withholdings and any other authorized deductions paid within thirty (30) days of the Separation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Health</w:t>
      </w:r>
      <w:r>
        <w:rPr>
          <w:rFonts w:ascii="Times New Roman" w:hAnsi="Times New Roman"/>
          <w:color w:val="000000"/>
          <w:sz w:val="24"/>
        </w:rPr>
        <w:t xml:space="preserve">. You will have the right to continue your participation in Synlogic’s medical and dental insurance programs through the Separation Date. You will then have the right to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Except for the obligations set forth in Section 2 which shall be solely the obligations of Synlogic, Inc., whenever the term Synlogic, Inc. is otherwise used in this Agreement (including, without limitation, Section 7), it shall be deemed to include Synlogic, Inc., and any and all of its divisions, affiliates and subsidiaries and all related entities (including investors), and its and their directors, officers, employees, agents, successors and assigns.</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continue your participation in Synlogic’s medical and dental insurance programs subject to your timely applying and being eligible for such benefits pursuant to the provisions of the Consolidated Omnibus Budget Reconciliation Act of 1985 (COBRA), subject to the requirements of COBRA and the continuation of the Company medical and dental plans by its insurance carrier. If you sign this Agreement and it becomes effective as set forth below, and elect COBRA coverage, the Company will continue to pay on your behalf the Company premium for such coverage for the lesser of the six (6) months after the Separation Date commencing January 2025, the date you become eligible for coverage under a subsequent employer’s group health benefits and the date you are no longer eligible for COBRA coverage. Your medical and dental plan contributions will be deducted from your severance pay. Thereafter, your continuation of your medical and dental insurance pursuant to the provisions of COBRA will be solely at your own cost. The “qualifying event” under COBRA shall be deemed to have commenced on the Separation Date. In the event that the Company, in connection with the winding down of its business, terminates its group health plan coverage within six (6) months of the Separation Date and you otherwise remain eligible for coverage under this Section, the Company shall provide you with a taxable lump sum payment equal to the Company’s contribution to the cost of the currently selected medical benefit option times the number of months remaining in the severance period following cessation of the Company’s group health plan coverage.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2024 Bonus</w:t>
      </w:r>
      <w:r>
        <w:rPr>
          <w:rFonts w:ascii="Times New Roman" w:hAnsi="Times New Roman"/>
          <w:color w:val="000000"/>
          <w:sz w:val="24"/>
        </w:rPr>
        <w:t>: You will be paid a lump-sum payment in an amount equal to 100% of your target 2024 bonus, less all tax withholdings and any other authorized deduction, within thirty (30) days of the Separation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u w:val="single"/>
        </w:rPr>
        <w:t>Retention Bonus</w:t>
      </w:r>
      <w:r>
        <w:rPr>
          <w:rFonts w:ascii="Times New Roman" w:hAnsi="Times New Roman"/>
          <w:color w:val="000000"/>
          <w:sz w:val="24"/>
        </w:rPr>
        <w:t>. You will be paid a lump-sum payment equivalent to seventy-five percent (75%) of your base salary for each month of service to the Company between March 1, 2024 and December 31, 2024, or $246,213 less all tax withholdings and any other authorized deduction, within thirty (30) days of the Separation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You acknowledge and agree that the Severance Pay and Benefits set forth in the sub-sections above are consistent with the provisions of the Prior Agreements, and that your signing of this Agreement is a condition precedent to the receipt of such Severance Pay and Benefits.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Equity</w:t>
      </w:r>
      <w:r>
        <w:rPr>
          <w:rFonts w:ascii="Times New Roman" w:hAnsi="Times New Roman"/>
          <w:color w:val="000000"/>
          <w:sz w:val="24"/>
        </w:rPr>
        <w:t>. Your outstanding equity awards (“Equity Grants”) shall remain subject to the original terms and conditions of such Equity Grants, including that the unvested portion of any Equity Grants will be forfeited as of the Separation Date, provided, that if you timely enter into the Consulting Agreement (defined in Section 4), you will remain eligible to continue to vest in your Equity Grants while you continue to be engaged to provide services under the Consulting Agreement. The Separation Date or, if applicable, the date of termination of Executive’s services under the Consulting Agreement, is hereinafter referred to as the “</w:t>
      </w:r>
      <w:r>
        <w:rPr>
          <w:rFonts w:ascii="Times New Roman" w:hAnsi="Times New Roman"/>
          <w:color w:val="000000"/>
          <w:sz w:val="24"/>
          <w:u w:val="single"/>
        </w:rPr>
        <w:t>Option Vesting End Date</w:t>
      </w:r>
      <w:r>
        <w:rPr>
          <w:rFonts w:ascii="Times New Roman" w:hAnsi="Times New Roman"/>
          <w:color w:val="000000"/>
          <w:sz w:val="24"/>
        </w:rPr>
        <w:t>.” You will have 90 days following the Option Vesting End Date to exercise the vested portion of your Equity Grants in accordance with the terms of the applicable Equity Grant.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Consulting</w:t>
      </w:r>
      <w:r>
        <w:rPr>
          <w:rFonts w:ascii="Times New Roman" w:hAnsi="Times New Roman"/>
          <w:color w:val="000000"/>
          <w:sz w:val="24"/>
        </w:rPr>
        <w:t>. The Company has requested that you enter into a consulting agreement, a copy of which has been provided to you along with this Agreement (the “</w:t>
      </w:r>
      <w:r>
        <w:rPr>
          <w:rFonts w:ascii="Times New Roman" w:hAnsi="Times New Roman"/>
          <w:color w:val="000000"/>
          <w:sz w:val="24"/>
          <w:u w:val="single"/>
        </w:rPr>
        <w:t>Consulting Agreement</w:t>
      </w:r>
      <w:r>
        <w:rPr>
          <w:color w:val="000000"/>
        </w:rPr>
        <w:t>”</w:t>
      </w:r>
      <w:r>
        <w:rPr>
          <w:rFonts w:ascii="Times New Roman" w:hAnsi="Times New Roman"/>
          <w:color w:val="000000"/>
          <w:sz w:val="24"/>
        </w:rPr>
        <w:t xml:space="preserve">). Provided you enter into the Consulting Agreement simultaneously with this Agreement and provide the services set forth in the Consulting Agreement, you will continue to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vest in the Equity Grants in accordance with their terms through the date on which you or the Company terminates your consulting services in accordance with the terms of the Consulting Agreement (which date will become the Option Vesting End Date under Section 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Acknowledgements</w:t>
      </w:r>
      <w:r>
        <w:rPr>
          <w:rFonts w:ascii="Times New Roman" w:hAnsi="Times New Roman"/>
          <w:color w:val="000000"/>
          <w:sz w:val="24"/>
        </w:rPr>
        <w:t>. You acknowledge and agree that the Severance Pay and Benefits to be provided to you are not intended to, and shall not constitute, a severance plan and shall confer no benefit on anyone other than the Company and you. You further acknowledge that except for any unpaid regular wages (including accrued and unused vacation) earned through the Separation Date, which shall be paid on or around the Separation Date, you have been paid and provided all wages, vacation pay, holiday pay, bonus, business expenses, and any other form of compensation or benefit that may be due to you now or which would have become due in the future in connection with your employment or separation of employment with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u w:val="single"/>
        </w:rPr>
        <w:t>Return of Property, Confidentiality, Non-Disparagement</w:t>
      </w:r>
      <w:r>
        <w:rPr>
          <w:rFonts w:ascii="Times New Roman" w:hAnsi="Times New Roman"/>
          <w:color w:val="000000"/>
          <w:sz w:val="24"/>
        </w:rPr>
        <w:t>. You expressly acknowledge and agree to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That you will abide by any and all obligations contained in the Non-Competition, Non-Solicitation, Invention and Non-Disclosure Agreement that you entered into in connection with Employment Letter Agreement dated November 28, 2018 between you and the Company and any terms of the Prior Agreements (copies of which can be provided to you), which survive the termination of the Prior Agreements. The forgoing obligations and terms are hereby incorporated by reference, which shall survive the signing of this Agreement, and you hereby affirm that you will comply with such obligations and terms. You further agree that you will keep all confidential information and trade secrets of the Company confidential, and that you will abide by any and all common law and/or statutory obligations relating to protection and non-disclosure of the Company’s trade secrets and/or confidential and proprietary documents and information. Consistent with applicable law, the Company is providing you with the notice of immunity set forth in </w:t>
      </w:r>
      <w:r>
        <w:rPr>
          <w:rFonts w:ascii="Times New Roman" w:hAnsi="Times New Roman"/>
          <w:color w:val="000000"/>
          <w:sz w:val="24"/>
          <w:u w:val="single"/>
        </w:rPr>
        <w:t>Exhibit B</w:t>
      </w:r>
      <w:r>
        <w:rPr>
          <w:rFonts w:ascii="Times New Roman" w:hAnsi="Times New Roman"/>
          <w:color w:val="000000"/>
          <w:sz w:val="24"/>
        </w:rPr>
        <w:t>, which is a part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limiting the foregoing obligations, that by the Separation Date, you will promptly return to the Company all the Company documents (and any copies) and property (including all electronically stored information) regardless of where such documents, information or property is maintained. You acknowledge and agree that you shall not maintain any copies or duplicates of such documents or information. You further acknowledge that if you were to use or disclose any of the information reflected in such items, that this would cause immediate, substantial and irreparable harm to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That all information relating in any way to the negotiation and terms of this Agreement (except for your obligations under Section 5(i) above), including the amount of financial consideration provided for in this Agreement, shall be held confidential by you and shall not be publicized or disclosed to any person (other than an immediate family member, legal counsel, or financial advisor, provided that any such individual to whom disclosure is made agrees to be bound by these confidentiality obligations), business entity, or as otherwise mandated by state or federal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That you will not make any oral or written statements (including on any social media or other similar platform) that are professionally or personally disparaging about, or adverse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interests of the Company (including its officers, directors, employees and consultants) including, but not limited to, any statements that disparage any person, product, service, finances, financial condition, capability or any other aspect of the business of the Company, and that you will not engage in any conduct which could reasonably be expected to harm professionally or personally the reputation of the Company (including its officers, directors, employees and consultants).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That the Severance Pay and Benefits being offered are based on your representations that you have not engaged in any fraudulent or unlawful conduct, and that you have fully disclosed to the Company all material information relating to your job duties for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That in the event of your breach of any of your agreements set forth in this Section 5 the Company would suffer substantial irreparable harm and that the Company would not have an adequate remedy at law for such breach. In recognition of the foregoing, you agree that in the event of a breach or threatened breach of any of these covenants, in addition to such other remedies as the Company may have at law, without posting any bond or security, the Company shall be entitled to seek and obtain equitable relief, in the form of specific performance, or temporary, preliminary or permanent injunctive relief, or any other equitable remedy which then may be available. The seeking of such injunction or order shall not affect the Company’s right to seek and obtain damages or other equitable relief on account of any such actual or threatened breach. You further agree that the Company shall be entitled to its costs and fees, including attorneys’ fees, incurred by it should it prevail in enforcing and provision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Cooperation/Transition of Duties</w:t>
      </w:r>
      <w:r>
        <w:rPr>
          <w:rFonts w:ascii="Times New Roman" w:hAnsi="Times New Roman"/>
          <w:color w:val="000000"/>
          <w:sz w:val="24"/>
        </w:rPr>
        <w:t>. You agree that during the Severance Period you will make yourself reasonably available to the Company, upon reasonable notice, either by email, telephone or, if the Company believes necessary, in person to assist the Company in any matter relating to the services performed by you during your employment with the Company including, but not limited, transitioning your duties to others at the Company. You further agree that during this period of time and thereafter you will cooperate fully with the Company in the defense or prosecution of any claims or actions now in existence or which may be brought or threatened in the future against or on behalf of the Company, including any claim or action against its directors, officers and employees. Your cooperation in connection with such claims or actions shall include, your being available, within reason given the constraints of future employment or job search activities, to meet with the Company to prepare for any proceeding, to provide truthful affidavits and/or testimony, to assist with any audit, inspection, proceeding or other inquiry, and to act as a witness in connection with any litigation or other legal proceeding affecting the Company. You further agree that should an individual representing a party adverse to the business or legal interests of the Company (including, without limitation, anyone threatening any form of legal action against the Company) contact you (directly or indirectly), you will promptly (within 48 hours) inform the Company of that fact. Nothing herein shall be construed to prohibit or prevent you from cooperating with any government investigation (including maintaining the confidentiality of such investigation if required by the government), nor shall any such cooperation be deemed to be a violation of your obligations of non-disparagement set forth in Section 5(iv)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4"/>
          <w:u w:val="single"/>
        </w:rPr>
        <w:t>Release of Claims</w:t>
      </w:r>
      <w:r>
        <w:rPr>
          <w:rFonts w:ascii="Times New Roman" w:hAnsi="Times New Roman"/>
          <w:color w:val="000000"/>
          <w:sz w:val="24"/>
        </w:rPr>
        <w:t xml:space="preserve">. You hereby acknowledge and agree that by signing this Agreement, you are waiving your right to assert any Claim (as defined below) against Synlogic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arising from acts or omissions that occurred on or before the Separation Date or the Effective Date, whichever is later. Please note definition of Synlogic contained in footnote 1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Your waiver and release is intended to bar any form of legal claim, lawsuit, charge, complaint or any other form of action (jointly referred to as “Claims”) against the Company seeking money or any other form of relief, including but not limited to equitable relief (whether declaratory, injunctive or otherwise), damages or any other form of monetary recovery (including but not limited to back pay, front pay, compensatory damages, emotional distress damages, punitive damages, attorneys’ fees and any other costs). You understand that there could be unknown or unanticipated Claims resulting from your employment with the Company and the termination of your employment, and you agree that such Claims are included in this waiver and release. You specifically waive and release the Company from any Claims arising from, related to or predicated on the Prior Agreements, your employment relationship with the Company or the termination of your employment, including without limitation Claims under any statute, ordinance, regulation, executive order, common law, constitution and/or other source of law of any state, country and/or locality (collectively and individually referred to as “Law”), including but not limited to the United States, the Commonwealth of Massachusetts, and/or any other state or locality where you worked for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limiting the foregoing general waiver and release, except for Claims resulting from the failure of the Company to perform its obligations under this Agreement, you specifically waive and release the Company from any Claims arising from or related to your employment relationship with the Company or the termination thereof, including without limitation: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Claims under any Law concerning discrimination, harassment, retaliation, or other fair employment practices, including, but not limited to the Massachusetts Anti-Discrimination and Anti-Harassment Law (M.G.L. c. 151B), the Massachusetts Sexual Harassment Law (M.G.L. c. 214, § 1C), the Massachusetts Equal Pay Act (M.G.L. c. 149, § 105A), the Massachusetts Civil Rights Act (M.G.L. c. 12, §§ 11H, 11I), the Massachusetts Equal Rights Act (M.G.L. c. 93, §§ 102, 103), the Age Discrimination in Employment Act (29 U.S.C. § 621 </w:t>
      </w:r>
      <w:r>
        <w:rPr>
          <w:rFonts w:ascii="Times New Roman" w:hAnsi="Times New Roman"/>
          <w:i/>
          <w:color w:val="000000"/>
          <w:sz w:val="24"/>
        </w:rPr>
        <w:t>et seq</w:t>
      </w:r>
      <w:r>
        <w:rPr>
          <w:rFonts w:ascii="Times New Roman" w:hAnsi="Times New Roman"/>
          <w:color w:val="000000"/>
          <w:sz w:val="24"/>
        </w:rPr>
        <w:t xml:space="preserve">.), Title VII of the Civil Rights Act of 1964 (42 U.S.C. § 2000e </w:t>
      </w:r>
      <w:r>
        <w:rPr>
          <w:rFonts w:ascii="Times New Roman" w:hAnsi="Times New Roman"/>
          <w:i/>
          <w:color w:val="000000"/>
          <w:sz w:val="24"/>
        </w:rPr>
        <w:t>et seq</w:t>
      </w:r>
      <w:r>
        <w:rPr>
          <w:rFonts w:ascii="Times New Roman" w:hAnsi="Times New Roman"/>
          <w:color w:val="000000"/>
          <w:sz w:val="24"/>
        </w:rPr>
        <w:t xml:space="preserve">.), 42 U.S.C. § 1981, the Civil Rights Act of 1991, Section 1981 of the U.S.C. Title 42, the Americans with Disabilities Act (42 U.S.C. § 12101 </w:t>
      </w:r>
      <w:r>
        <w:rPr>
          <w:rFonts w:ascii="Times New Roman" w:hAnsi="Times New Roman"/>
          <w:i/>
          <w:color w:val="000000"/>
          <w:sz w:val="24"/>
        </w:rPr>
        <w:t>et</w:t>
      </w:r>
      <w:r>
        <w:rPr>
          <w:color w:val="000000"/>
        </w:rPr>
        <w:t xml:space="preserve"> </w:t>
      </w:r>
      <w:r>
        <w:rPr>
          <w:rFonts w:ascii="Times New Roman" w:hAnsi="Times New Roman"/>
          <w:i/>
          <w:color w:val="000000"/>
          <w:sz w:val="24"/>
        </w:rPr>
        <w:t>seq</w:t>
      </w:r>
      <w:r>
        <w:rPr>
          <w:rFonts w:ascii="Times New Roman" w:hAnsi="Times New Roman"/>
          <w:color w:val="000000"/>
          <w:sz w:val="24"/>
        </w:rPr>
        <w:t xml:space="preserve">.), the Occupational Safety and Health Act, 29 U.S.C. §651 </w:t>
      </w:r>
      <w:r>
        <w:rPr>
          <w:rFonts w:ascii="Times New Roman" w:hAnsi="Times New Roman"/>
          <w:i/>
          <w:color w:val="000000"/>
          <w:sz w:val="24"/>
        </w:rPr>
        <w:t>et seq</w:t>
      </w:r>
      <w:r>
        <w:rPr>
          <w:rFonts w:ascii="Times New Roman" w:hAnsi="Times New Roman"/>
          <w:color w:val="000000"/>
          <w:sz w:val="24"/>
        </w:rPr>
        <w:t>. each as they may have been amended through the Separation Date or the Effective Date, whichever is later.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Claims under any Law relating to wages, hours, whistleblowing, leaves of absences or any other terms and conditions of employment, including but not limited to the Family and Medical Leave Act of 1993 (29 U.S.C. § 2601 </w:t>
      </w:r>
      <w:r>
        <w:rPr>
          <w:rFonts w:ascii="Times New Roman" w:hAnsi="Times New Roman"/>
          <w:i/>
          <w:color w:val="000000"/>
          <w:sz w:val="24"/>
        </w:rPr>
        <w:t>et seq</w:t>
      </w:r>
      <w:r>
        <w:rPr>
          <w:rFonts w:ascii="Times New Roman" w:hAnsi="Times New Roman"/>
          <w:color w:val="000000"/>
          <w:sz w:val="24"/>
        </w:rPr>
        <w:t xml:space="preserve">.), the Emergency Family and Medical Leave Expansion Act (Pub. L. No. 116-127, § 3101, 134 Stat. 178, 189); the Emergency Paid Sick Leave Act (Pub. L. No. 116-127, § 5101, 134 Stat. 178, 195), the Employee Retirement Income Security Act (ERISA), the Fair Labor Standards Act, the Worker Adjustment and Retraining Notification (WARN) Act, the National Labor Relations Act (NLRA), the American Rescue Plan Act of 2021, the Massachusetts Payment of Wages Law (Massachusetts General Laws Chapter 149, §§ 148, 150), Massachusetts General Laws Chapter 149 in its entirety, Massachusetts General Laws Chapter 151 in its entirety (including but not limited to the minimum wage and overtime provisions), the Massachusetts Paid Family Medical Leave Act (M.G.L. c. 175M </w:t>
      </w:r>
      <w:r>
        <w:rPr>
          <w:rFonts w:ascii="Times New Roman" w:hAnsi="Times New Roman"/>
          <w:i/>
          <w:color w:val="000000"/>
          <w:sz w:val="24"/>
        </w:rPr>
        <w:t>et seq</w:t>
      </w:r>
      <w:r>
        <w:rPr>
          <w:rFonts w:ascii="Times New Roman" w:hAnsi="Times New Roman"/>
          <w:color w:val="000000"/>
          <w:sz w:val="24"/>
        </w:rPr>
        <w:t xml:space="preserve">.), each as they may have been amended through the Separation Date or the Effective Date, whichever is later.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You specifically acknowledge that you are waiving any Claims for unpaid wages under these and other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Claims under any local, state or federal common law theory including, without limitation, any Claim for breach of contract, ownership of inventions or any other intellectual property, implied contract, misrepresentation (intentional or negligent), fraud, promissory estoppel, unjust enrichment, quantum meruit, defamation (libel or slander), or any other Claim sounding in contract or tort.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Claims arising under the Company’s policies or benefit plans.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Claims arising under any other Law or constitution.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this Section shall not release Synlogic from any obligation expressly set forth in this Agreement. You acknowledge and agree that, but for providing this waiver and release, you would not be receiving the Severance Pay and Benefits provided for in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color w:val="000000"/>
          <w:sz w:val="24"/>
          <w:u w:val="single"/>
        </w:rPr>
        <w:t>OWBPA</w:t>
      </w:r>
      <w:r>
        <w:rPr>
          <w:rFonts w:ascii="Times New Roman" w:hAnsi="Times New Roman"/>
          <w:color w:val="000000"/>
          <w:sz w:val="24"/>
        </w:rPr>
        <w:t>. Because you are at least forty (40) years of age, you have specific rights under the federal Age Discrimination in Employment Act (“ADEA”) and Older Workers Benefit Protection Act (“OWBPA”), which prohibit discrimination on the basis of age. The release in Section 7 is intended to release any Claim you may have against Synlogic alleging discrimination on the basis of age under the ADEA, OWBPA, and other Laws. Notwithstanding anything to the contrary in this Agreement, the release in Section 7 does not cover rights or Claims under the ADEA that arise after the date you sign this Agreement or the Effective Date, whichever is later.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Further, it is the Company’s desire and intent to make certain that you fully understand the provisions and effects of this Agreement. To that end, the Company hereby advises you in writing to consult with legal counsel prior to signing this Agreement for the purpose of reviewing the terms of this Agreement. Also, because you are at least age 40, and consistent with the provisions of the OWBPA, the Company is providing you with over twenty-one (21) days from the date you are provided this Agreement to consider and accept the terms of this Agreement by signing below and returning it to Mary Beth Dooley, Head of Finance at marybeth@synlogictx.com or returning it to Synlogic, PO Box 30, Winchester, MA 01890 c/o Mary Beth Dooley, Head of Finance, and notifying Mary Beth Dooley by email that it has been sent by hard copy. You further agree that any changes to this Agreement will not restart the running of this twenty-one (21) day period. In addition, you may rescind your assent to this Agreement if, within seven (7) days after you sign this Agreement, you deliver a notice of rescission to Synlogic. To be effective, such rescission must be hand delivered or postmarked within the seven (7) day period and sent by certified mail, return receipt requested, to Mary Beth Dooley at Synlogic at the above referenced address.</w:t>
      </w:r>
    </w:p>
    <w:p>
      <w:pPr>
        <w:pStyle w:val="TextBody"/>
        <w:bidi w:val="0"/>
        <w:spacing w:before="0" w:after="240"/>
        <w:jc w:val="both"/>
        <w:rPr>
          <w:rFonts w:ascii="Times New Roman" w:hAnsi="Times New Roman"/>
          <w:sz w:val="20"/>
        </w:rPr>
      </w:pPr>
      <w:r>
        <w:rPr>
          <w:rFonts w:ascii="Times New Roman" w:hAnsi="Times New Roman"/>
          <w:color w:val="000000"/>
          <w:sz w:val="24"/>
        </w:rPr>
        <w:t>Also, consistent with the provisions of state and federal discrimination laws (the “Discrimination Laws”), nothing in the general waiver and release set forth in Section 7 above shall be deemed to prohibit you from challenging the validity of this release under the Discrimination Laws or from filing a charge or complaint of age or other related discrimination with the Equal Employment Opportunity Commission (“EEOC”) or similar state agency, or from participating in any investigation or proceeding conducted by the EEOC or such state agency.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However, the release in Section 7 does prohibit you from seeking or receiving monetary damages or other individual-specific relief in connection with any such charge or complaint of age or other work-related discrimination. Further, nothing in this Agreement shall be deemed to limit Synlogic’s right to seek immediate dismissal of such charge or complaint on the basis that your signing of this Agreement constitutes a full release of any individual rights under the Discrimination Laws, or Synlogic’s right to seek restitution or other legal remedies to the extent permitted by law of the economic benefits provided to you under this Agreement in the event that you successfully challenge the validity of this release and prevail in any claim under the Discrimination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4"/>
          <w:u w:val="single"/>
        </w:rPr>
        <w:t>Consequences of Breach</w:t>
      </w:r>
      <w:r>
        <w:rPr>
          <w:rFonts w:ascii="Times New Roman" w:hAnsi="Times New Roman"/>
          <w:color w:val="000000"/>
          <w:sz w:val="24"/>
        </w:rPr>
        <w:t>. In addition to any other remedies set forth in this Agreement, a breach by you of any of your obligations set forth in this Agreement shall constitute a material breach of this Agreement and, in addition to any other legal or equitable remedy available to Synlogic, shall entitle Synlogic to cease any further payment of the Severance Pay and Benefits, and to recover any Severance Pay or Benefits or its support for other benefits already provided to you. Regardless of any such breach, your release set forth in Section 7 above shall remain in full force and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u w:val="single"/>
        </w:rPr>
        <w:t>Entire Agreement/Choice of Law/Enforceability/Jury Waiver/Successors and Assigns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expressly provided in this Agreement, this Agreement supersedes any and all other prior oral and/or written agreements, including the Prior Agreements, and sets forth the entire agreement between you and Synlogic. No variations or modifications hereof shall be deemed valid unless reduced to writing and signed by the parties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shall be governed by the law of the state where you reside on the date you sign this Agreement, without giving effect to conflict of law principles.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Both parties further agree that any action, demand, claim or counterclaim relating to this Agreement shall be resolved by a judge alone, and both parties hereby waive and forever renounce the right to a trial before a civil jury.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your release of Claims pursuant to Section 7 is determined to be unenforceable in whole or part, the Company will have the option, in its sole discretion, to either (a) declare the entire Agreement null and void and require you to refund the Severance Pay and Benefits provided for in this Agreement; or (b) enforce the portions of the Agreement found not to be unenforceable. In the event that any other provision of this Agreement is determined to be unenforceable in whole or part, the remainder of the Agreement shall be enforced in full.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shall inure to the benefit of Synlogic and any of its successors and assigns.</w:t>
      </w:r>
    </w:p>
    <w:p>
      <w:pPr>
        <w:pStyle w:val="TextBody"/>
        <w:bidi w:val="0"/>
        <w:spacing w:before="0" w:after="240"/>
        <w:jc w:val="both"/>
        <w:rPr>
          <w:rFonts w:ascii="Times New Roman" w:hAnsi="Times New Roman"/>
          <w:sz w:val="20"/>
        </w:rPr>
      </w:pPr>
      <w:r>
        <w:rPr>
          <w:rFonts w:ascii="Times New Roman" w:hAnsi="Times New Roman"/>
          <w:b/>
          <w:color w:val="000000"/>
          <w:sz w:val="24"/>
        </w:rPr>
        <w:t>It is Synlogic’s desire and intent to make certain that you fully understand the provisions and effects of this Agreement. By executing this Agreement, you are acknowledging (a) that you have been afforded sufficient time to understand the terms and effects of this Agreement and to consult with legal counsel, (b) that your agreements and obligations hereunder are made voluntarily, knowingly and without duress, and (c) that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neither Synlogic nor its agents or representatives have made any representations inconsistent with the provisions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If you agree to the terms of this Agreement, please sign and return the enclosed copy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Very truly yours,</w:t>
      </w:r>
    </w:p>
    <w:p>
      <w:pPr>
        <w:pStyle w:val="TextBody"/>
        <w:bidi w:val="0"/>
        <w:spacing w:before="0" w:after="360"/>
        <w:jc w:val="left"/>
        <w:rPr/>
      </w:pPr>
      <w:r>
        <w:rPr/>
        <w:t> </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Synlogic, Inc. Accepted and Agreed To:</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Peter Barrett</w:t>
      </w:r>
      <w:r>
        <w:rPr>
          <w:rFonts w:ascii="Times New Roman" w:hAnsi="Times New Roman"/>
          <w:color w:val="000000"/>
          <w:sz w:val="20"/>
        </w:rPr>
        <w:t xml:space="preserve"> </w:t>
      </w:r>
      <w:r>
        <w:rPr>
          <w:rFonts w:ascii="Times New Roman" w:hAnsi="Times New Roman"/>
          <w:color w:val="000000"/>
          <w:sz w:val="24"/>
          <w:u w:val="single"/>
        </w:rPr>
        <w:t>/s/ Tony Awad</w:t>
      </w:r>
    </w:p>
    <w:p>
      <w:pPr>
        <w:pStyle w:val="TextBody"/>
        <w:bidi w:val="0"/>
        <w:jc w:val="left"/>
        <w:rPr>
          <w:rFonts w:ascii="Times New Roman" w:hAnsi="Times New Roman"/>
          <w:color w:val="000000"/>
          <w:sz w:val="24"/>
        </w:rPr>
      </w:pPr>
      <w:r>
        <w:rPr>
          <w:rFonts w:ascii="Times New Roman" w:hAnsi="Times New Roman"/>
          <w:color w:val="000000"/>
          <w:sz w:val="24"/>
        </w:rPr>
        <w:t>Peter Barrett, Chair</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Dated: 12/17/2024 Dated: 12/17/2024</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4" w:space="0" w:color="000000"/>
              <w:left w:val="single" w:sz="24" w:space="0" w:color="000000"/>
              <w:bottom w:val="single" w:sz="24" w:space="0" w:color="000000"/>
              <w:right w:val="single" w:sz="24" w:space="0" w:color="000000"/>
            </w:tcBorders>
            <w:tcMar>
              <w:left w:w="108" w:type="dxa"/>
              <w:right w:w="108" w:type="dxa"/>
            </w:tcMar>
            <w:vAlign w:val="center"/>
          </w:tcPr>
          <w:p>
            <w:pPr>
              <w:pStyle w:val="TableContents"/>
              <w:bidi w:val="0"/>
              <w:spacing w:before="0" w:after="240"/>
              <w:jc w:val="both"/>
              <w:rPr>
                <w:rFonts w:ascii="Times New Roman" w:hAnsi="Times New Roman"/>
                <w:sz w:val="24"/>
              </w:rPr>
            </w:pPr>
            <w:r>
              <w:rPr>
                <w:rFonts w:ascii="Times New Roman" w:hAnsi="Times New Roman"/>
                <w:b/>
                <w:color w:val="000000"/>
                <w:sz w:val="24"/>
              </w:rPr>
              <w:t>COBRA ELECTION (</w:t>
            </w:r>
            <w:r>
              <w:rPr>
                <w:rFonts w:ascii="Times New Roman" w:hAnsi="Times New Roman"/>
                <w:b/>
                <w:color w:val="000000"/>
                <w:sz w:val="24"/>
                <w:u w:val="single"/>
              </w:rPr>
              <w:t>please check one</w:t>
            </w:r>
            <w:r>
              <w:rPr>
                <w:rFonts w:ascii="Times New Roman" w:hAnsi="Times New Roman"/>
                <w:color w:val="000000"/>
                <w:sz w:val="24"/>
              </w:rPr>
              <w:t xml:space="preserve"> – </w:t>
            </w:r>
            <w:r>
              <w:rPr>
                <w:rFonts w:ascii="Times New Roman" w:hAnsi="Times New Roman"/>
                <w:b/>
                <w:color w:val="000000"/>
                <w:sz w:val="24"/>
              </w:rPr>
              <w:t>you may always change your status)</w:t>
            </w:r>
          </w:p>
          <w:p>
            <w:pPr>
              <w:pStyle w:val="TableContents"/>
              <w:bidi w:val="0"/>
              <w:spacing w:before="120" w:after="283"/>
              <w:ind w:left="489" w:right="0" w:hanging="490"/>
              <w:jc w:val="both"/>
              <w:rPr/>
            </w:pPr>
            <w:r>
              <w:rPr/>
              <w:t>☒</w:t>
            </w:r>
            <w:r>
              <w:rPr>
                <w:color w:val="000000"/>
              </w:rPr>
              <w:t xml:space="preserve"> </w:t>
            </w:r>
            <w:r>
              <w:rPr>
                <w:rFonts w:ascii="Times New Roman" w:hAnsi="Times New Roman"/>
                <w:color w:val="000000"/>
                <w:sz w:val="24"/>
              </w:rPr>
              <w:t>I plan to register for company-supported COBRA medical benefits through Wageworks (</w:t>
            </w:r>
            <w:r>
              <w:rPr>
                <w:rFonts w:ascii="Times New Roman" w:hAnsi="Times New Roman"/>
                <w:i/>
                <w:color w:val="000000"/>
                <w:sz w:val="24"/>
              </w:rPr>
              <w:t>applicable deductions for the severance period will be deducted from the lump sum severance payment</w:t>
            </w:r>
            <w:r>
              <w:rPr>
                <w:rFonts w:ascii="Times New Roman" w:hAnsi="Times New Roman"/>
                <w:color w:val="000000"/>
                <w:sz w:val="24"/>
              </w:rPr>
              <w:t>)</w:t>
            </w:r>
          </w:p>
          <w:p>
            <w:pPr>
              <w:pStyle w:val="TableContents"/>
              <w:bidi w:val="0"/>
              <w:spacing w:before="120" w:after="283"/>
              <w:ind w:left="489" w:right="0" w:hanging="490"/>
              <w:jc w:val="both"/>
              <w:rPr/>
            </w:pPr>
            <w:r>
              <w:rPr/>
              <w:t>☐</w:t>
            </w:r>
            <w:r>
              <w:rPr>
                <w:color w:val="000000"/>
              </w:rPr>
              <w:t xml:space="preserve"> </w:t>
            </w:r>
            <w:r>
              <w:rPr>
                <w:rFonts w:ascii="Times New Roman" w:hAnsi="Times New Roman"/>
                <w:color w:val="000000"/>
                <w:sz w:val="24"/>
              </w:rPr>
              <w:t>I plan to decline the company-supported COBRA medical benefits (</w:t>
            </w:r>
            <w:r>
              <w:rPr>
                <w:rFonts w:ascii="Times New Roman" w:hAnsi="Times New Roman"/>
                <w:i/>
                <w:color w:val="000000"/>
                <w:sz w:val="24"/>
              </w:rPr>
              <w:t>no deductions will be made</w:t>
            </w:r>
            <w:r>
              <w:rPr>
                <w:rFonts w:ascii="Times New Roman" w:hAnsi="Times New Roman"/>
                <w:color w:val="000000"/>
                <w:sz w:val="24"/>
              </w:rPr>
              <w:t>)</w:t>
            </w:r>
          </w:p>
          <w:p>
            <w:pPr>
              <w:pStyle w:val="TableContents"/>
              <w:bidi w:val="0"/>
              <w:spacing w:before="0" w:after="283"/>
              <w:jc w:val="left"/>
              <w:rPr/>
            </w:pPr>
            <w:r>
              <w:rPr/>
              <w:t> </w:t>
            </w:r>
          </w:p>
        </w:tc>
      </w:tr>
    </w:tbl>
    <w:p>
      <w:pPr>
        <w:pStyle w:val="TextBody"/>
        <w:bidi w:val="0"/>
        <w:spacing w:before="0" w:after="48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A – Consulting Agreement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(see attached)</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B – Notice of Immunity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required by law, the Company hereby notifies you of the following provisions of the Defend Trade Secrets Act of 2016.</w:t>
      </w:r>
    </w:p>
    <w:p>
      <w:pPr>
        <w:pStyle w:val="TextBody"/>
        <w:bidi w:val="0"/>
        <w:spacing w:before="0" w:after="240"/>
        <w:jc w:val="both"/>
        <w:rPr>
          <w:rFonts w:ascii="Times New Roman" w:hAnsi="Times New Roman"/>
          <w:smallCaps/>
          <w:color w:val="000000"/>
          <w:sz w:val="24"/>
        </w:rPr>
      </w:pPr>
      <w:r>
        <w:rPr>
          <w:rFonts w:ascii="Times New Roman" w:hAnsi="Times New Roman"/>
          <w:smallCaps/>
          <w:color w:val="000000"/>
          <w:sz w:val="24"/>
        </w:rPr>
        <w:t>Immunity from Liability for Confidential Disclosure of a Trade Secret to the Government or in a Court Filing—</w:t>
      </w:r>
    </w:p>
    <w:p>
      <w:pPr>
        <w:pStyle w:val="TextBody"/>
        <w:bidi w:val="0"/>
        <w:jc w:val="both"/>
        <w:rPr>
          <w:rFonts w:ascii="Times New Roman" w:hAnsi="Times New Roman"/>
          <w:sz w:val="20"/>
        </w:rPr>
      </w:pPr>
      <w:r>
        <w:rPr>
          <w:rFonts w:ascii="Times New Roman" w:hAnsi="Times New Roman"/>
          <w:color w:val="000000"/>
          <w:sz w:val="24"/>
        </w:rPr>
        <w:t xml:space="preserve">(1) </w:t>
      </w:r>
      <w:r>
        <w:rPr>
          <w:rFonts w:ascii="Times New Roman" w:hAnsi="Times New Roman"/>
          <w:smallCaps/>
          <w:color w:val="000000"/>
          <w:sz w:val="24"/>
        </w:rPr>
        <w:t>Immunity</w:t>
      </w:r>
      <w:r>
        <w:rPr>
          <w:rFonts w:ascii="Times New Roman" w:hAnsi="Times New Roman"/>
          <w:color w:val="000000"/>
          <w:sz w:val="24"/>
        </w:rPr>
        <w:t>.—An individual shall not be held criminally or civilly liable under any Federal or State trade secret law for the disclosure of a trade secret that—</w:t>
      </w:r>
    </w:p>
    <w:p>
      <w:pPr>
        <w:pStyle w:val="TextBody"/>
        <w:bidi w:val="0"/>
        <w:jc w:val="both"/>
        <w:rPr>
          <w:rFonts w:ascii="Times New Roman" w:hAnsi="Times New Roman"/>
          <w:color w:val="000000"/>
          <w:sz w:val="24"/>
        </w:rPr>
      </w:pPr>
      <w:r>
        <w:rPr>
          <w:rFonts w:ascii="Times New Roman" w:hAnsi="Times New Roman"/>
          <w:color w:val="000000"/>
          <w:sz w:val="24"/>
        </w:rPr>
        <w:t>(A) is made –</w:t>
      </w:r>
    </w:p>
    <w:p>
      <w:pPr>
        <w:pStyle w:val="TextBody"/>
        <w:bidi w:val="0"/>
        <w:jc w:val="both"/>
        <w:rPr>
          <w:rFonts w:ascii="Times New Roman" w:hAnsi="Times New Roman"/>
          <w:color w:val="000000"/>
          <w:sz w:val="24"/>
        </w:rPr>
      </w:pPr>
      <w:r>
        <w:rPr>
          <w:rFonts w:ascii="Times New Roman" w:hAnsi="Times New Roman"/>
          <w:color w:val="000000"/>
          <w:sz w:val="24"/>
        </w:rPr>
        <w:t>(i) in confidence to a Federal, State, or local government official, either directly or indirectly, or to an attorney; and</w:t>
      </w:r>
    </w:p>
    <w:p>
      <w:pPr>
        <w:pStyle w:val="TextBody"/>
        <w:bidi w:val="0"/>
        <w:jc w:val="both"/>
        <w:rPr>
          <w:rFonts w:ascii="Times New Roman" w:hAnsi="Times New Roman"/>
          <w:color w:val="000000"/>
          <w:sz w:val="24"/>
        </w:rPr>
      </w:pPr>
      <w:r>
        <w:rPr>
          <w:rFonts w:ascii="Times New Roman" w:hAnsi="Times New Roman"/>
          <w:color w:val="000000"/>
          <w:sz w:val="24"/>
        </w:rPr>
        <w:t>(ii) solely for the purpose of reporting or investigating a suspected violation of law; or</w:t>
      </w:r>
    </w:p>
    <w:p>
      <w:pPr>
        <w:pStyle w:val="TextBody"/>
        <w:bidi w:val="0"/>
        <w:jc w:val="both"/>
        <w:rPr>
          <w:rFonts w:ascii="Times New Roman" w:hAnsi="Times New Roman"/>
          <w:color w:val="000000"/>
          <w:sz w:val="24"/>
        </w:rPr>
      </w:pPr>
      <w:r>
        <w:rPr>
          <w:rFonts w:ascii="Times New Roman" w:hAnsi="Times New Roman"/>
          <w:color w:val="000000"/>
          <w:sz w:val="24"/>
        </w:rPr>
        <w:t>(B) is made in a complaint or other document filed in a lawsuit or other proceeding, if such filing is made under seal.</w:t>
      </w:r>
    </w:p>
    <w:p>
      <w:pPr>
        <w:pStyle w:val="TextBody"/>
        <w:bidi w:val="0"/>
        <w:jc w:val="both"/>
        <w:rPr>
          <w:rFonts w:ascii="Times New Roman" w:hAnsi="Times New Roman"/>
          <w:sz w:val="20"/>
        </w:rPr>
      </w:pPr>
      <w:r>
        <w:rPr>
          <w:rFonts w:ascii="Times New Roman" w:hAnsi="Times New Roman"/>
          <w:color w:val="000000"/>
          <w:sz w:val="24"/>
        </w:rPr>
        <w:t xml:space="preserve">(2) </w:t>
      </w:r>
      <w:r>
        <w:rPr>
          <w:rFonts w:ascii="Times New Roman" w:hAnsi="Times New Roman"/>
          <w:smallCaps/>
          <w:color w:val="000000"/>
          <w:sz w:val="24"/>
        </w:rPr>
        <w:t>Use of Trade Secret Information in Anti-Retaliation Lawsuit</w:t>
      </w:r>
      <w:r>
        <w:rPr>
          <w:rFonts w:ascii="Times New Roman" w:hAnsi="Times New Roman"/>
          <w:color w:val="000000"/>
          <w:sz w:val="20"/>
        </w:rPr>
        <w:t>—</w:t>
      </w:r>
      <w:r>
        <w:rPr>
          <w:rFonts w:ascii="Times New Roman" w:hAnsi="Times New Roman"/>
          <w:color w:val="000000"/>
          <w:sz w:val="24"/>
        </w:rPr>
        <w:t>An individual who files a lawsuit for retaliation by an employer for reporting a suspected violation of law may disclose the trade secret to the attorney of the individual and use the trade secret information in the court proceeding, if the individual—</w:t>
      </w:r>
    </w:p>
    <w:p>
      <w:pPr>
        <w:pStyle w:val="TextBody"/>
        <w:bidi w:val="0"/>
        <w:jc w:val="both"/>
        <w:rPr>
          <w:rFonts w:ascii="Times New Roman" w:hAnsi="Times New Roman"/>
          <w:color w:val="000000"/>
          <w:sz w:val="24"/>
        </w:rPr>
      </w:pPr>
      <w:r>
        <w:rPr>
          <w:rFonts w:ascii="Times New Roman" w:hAnsi="Times New Roman"/>
          <w:color w:val="000000"/>
          <w:sz w:val="24"/>
        </w:rPr>
        <w:t>(A) files any document containing the trade secret under seal; and</w:t>
      </w:r>
    </w:p>
    <w:p>
      <w:pPr>
        <w:pStyle w:val="TextBody"/>
        <w:bidi w:val="0"/>
        <w:jc w:val="both"/>
        <w:rPr>
          <w:rFonts w:ascii="Times New Roman" w:hAnsi="Times New Roman"/>
          <w:color w:val="000000"/>
          <w:sz w:val="24"/>
        </w:rPr>
      </w:pPr>
      <w:r>
        <w:rPr>
          <w:rFonts w:ascii="Times New Roman" w:hAnsi="Times New Roman"/>
          <w:color w:val="000000"/>
          <w:sz w:val="24"/>
        </w:rPr>
        <w:t>(B) does not disclose the trade secret, except pursuant to court order.</w:t>
      </w:r>
    </w:p>
    <w:p>
      <w:pPr>
        <w:pStyle w:val="TextBody"/>
        <w:bidi w:val="0"/>
        <w:spacing w:before="0" w:after="20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bookmarkStart w:id="46" w:name="sybx-ex10_11.htm"/>
      <w:bookmarkStart w:id="47" w:name="kssybxex10_11"/>
      <w:bookmarkEnd w:id="46"/>
      <w:bookmarkEnd w:id="47"/>
      <w:r>
        <w:rPr/>
        <w:t> </w:t>
      </w:r>
      <w:r>
        <w:br w:type="page"/>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10.11</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CONSULTING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Consulting Agreement (“Agreement”) is entered into as of January 1, 2025 between Synlogic Operating Company, Inc., having offices at PO Box 30, Winchester, MA 01890 (“</w:t>
      </w:r>
      <w:r>
        <w:rPr>
          <w:rFonts w:ascii="Times New Roman" w:hAnsi="Times New Roman"/>
          <w:color w:val="000000"/>
          <w:sz w:val="24"/>
          <w:u w:val="single"/>
        </w:rPr>
        <w:t>Synlogic</w:t>
      </w:r>
      <w:r>
        <w:rPr>
          <w:rFonts w:ascii="Times New Roman" w:hAnsi="Times New Roman"/>
          <w:color w:val="000000"/>
          <w:sz w:val="20"/>
        </w:rPr>
        <w:t xml:space="preserve">” </w:t>
      </w:r>
      <w:r>
        <w:rPr>
          <w:rFonts w:ascii="Times New Roman" w:hAnsi="Times New Roman"/>
          <w:color w:val="000000"/>
          <w:sz w:val="24"/>
        </w:rPr>
        <w:t>or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Tony Awad (the “</w:t>
      </w:r>
      <w:r>
        <w:rPr>
          <w:rFonts w:ascii="Times New Roman" w:hAnsi="Times New Roman"/>
          <w:color w:val="000000"/>
          <w:sz w:val="24"/>
          <w:u w:val="single"/>
        </w:rPr>
        <w:t>Consultant</w:t>
      </w:r>
      <w:r>
        <w:rPr>
          <w:rFonts w:ascii="Times New Roman" w:hAnsi="Times New Roman"/>
          <w:color w:val="000000"/>
          <w:sz w:val="20"/>
        </w:rPr>
        <w:t>”</w:t>
      </w:r>
      <w:r>
        <w:rPr>
          <w:rFonts w:ascii="Times New Roman" w:hAnsi="Times New Roman"/>
          <w:color w:val="000000"/>
          <w:sz w:val="24"/>
        </w:rPr>
        <w:t>). The Company desires to retain the Consultant as an independent contractor to perform consulting and other project-based services for the Company and the Consultant is willing to perform such services, on the terms described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consideration of the mutual promises contained herein, the parties agree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rPr>
        <w:t>Services and Compensation</w:t>
      </w:r>
      <w:r>
        <w:rPr>
          <w:rFonts w:ascii="Times New Roman" w:hAnsi="Times New Roman"/>
          <w:color w:val="000000"/>
          <w:sz w:val="24"/>
        </w:rPr>
        <w:t>. Consultant agrees to perform for the Company the services described in Exhibit A as requested by the Company from time to time (the “</w:t>
      </w:r>
      <w:r>
        <w:rPr>
          <w:rFonts w:ascii="Times New Roman" w:hAnsi="Times New Roman"/>
          <w:color w:val="000000"/>
          <w:sz w:val="24"/>
          <w:u w:val="single"/>
        </w:rPr>
        <w:t>Services</w:t>
      </w:r>
      <w:r>
        <w:rPr>
          <w:color w:val="000000"/>
        </w:rPr>
        <w:t>”</w:t>
      </w:r>
      <w:r>
        <w:rPr>
          <w:rFonts w:ascii="Times New Roman" w:hAnsi="Times New Roman"/>
          <w:color w:val="000000"/>
          <w:sz w:val="24"/>
        </w:rPr>
        <w:t>), and the Company agrees to pay the Consultant the compensation described in Exhibit A for the Consultant’s performance of the Services. If not specified on Exhibit A, the scope, timing, duration, and site of performance of said Services shall be mutually and reasonably agreed to in writing by the Company and the Consultant and are subject to change upon the express prior written agreement of both parties. Consultant will make reasonable, good faith efforts to provide the Services in a timely and professional manner consistent with industry practices. With respect to those projects having a specific, mutually-agreed upon deadline, Consultant will exercise reasonable diligence and make good faith efforts to provide the Services by the stated deadline.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rPr>
        <w:t>Confidentiality</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pPr>
      <w:r>
        <w:rPr>
          <w:rFonts w:ascii="Times New Roman" w:hAnsi="Times New Roman"/>
          <w:b/>
          <w:color w:val="000000"/>
          <w:sz w:val="24"/>
        </w:rPr>
        <w:t>Definitions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color w:val="000000"/>
        </w:rPr>
        <w:t>“</w:t>
      </w:r>
      <w:r>
        <w:rPr>
          <w:rFonts w:ascii="Times New Roman" w:hAnsi="Times New Roman"/>
          <w:color w:val="000000"/>
          <w:sz w:val="24"/>
          <w:u w:val="single"/>
        </w:rPr>
        <w:t>Confidential Information</w:t>
      </w:r>
      <w:r>
        <w:rPr>
          <w:color w:val="000000"/>
        </w:rPr>
        <w:t xml:space="preserve">” </w:t>
      </w:r>
      <w:r>
        <w:rPr>
          <w:rFonts w:ascii="Times New Roman" w:hAnsi="Times New Roman"/>
          <w:color w:val="000000"/>
          <w:sz w:val="24"/>
        </w:rPr>
        <w:t>means, without limitation, all data, information, technology, documents, reports, samples and specimens relating to the Company or its plans, ideas, concepts, strategies, inventions, products, product concepts, technologies, methods, business, equity ownership, financing, financial, marketing, scientific, business, marketing, financial or legal research, non-clinical, clinical or regulatory affairs, manufacturing processes and procedures, or those of any other third party, from whom the Company receives information on a confidential basis, in any form, including without limitation whether written, electronic, graphic or oral, furnished to Consultant by or on behalf of the Company, either directly or indirectly, or obtained, developed, or observed by Consultant while providing services hereunder, and the Services to be provided by Consultant hereunder, whether or not labeled “Confidential”. Confidential Information does not include (i) information that is now in the public domain or subsequently enters the public domain and is generally available without fault on the part of Consultant; (ii) information that is presently known to Consultant from Consultant’s own sources as evidenced by Consultant’s prior written records; or (iii) information disclosed to Consultant by a third party legally and contractually entitled to make such disclosures, except that irrespective of (i) - (iii) Confidential Information includes all scientific, technical, financial, or business information owned, possessed, used by or relating to the Company, or that of a third party, that is included or to be included in a patent or trademark application during the time period prior to publication of the patent or trademark application.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color w:val="000000"/>
        </w:rPr>
        <w:t>“</w:t>
      </w:r>
      <w:r>
        <w:rPr>
          <w:rFonts w:ascii="Times New Roman" w:hAnsi="Times New Roman"/>
          <w:color w:val="000000"/>
          <w:sz w:val="24"/>
          <w:u w:val="single"/>
        </w:rPr>
        <w:t>Company Property</w:t>
      </w:r>
      <w:r>
        <w:rPr>
          <w:color w:val="000000"/>
        </w:rPr>
        <w:t xml:space="preserve">” </w:t>
      </w:r>
      <w:r>
        <w:rPr>
          <w:rFonts w:ascii="Times New Roman" w:hAnsi="Times New Roman"/>
          <w:color w:val="000000"/>
          <w:sz w:val="24"/>
        </w:rPr>
        <w:t>means all materials (including, without limitation, documents, drawings, models, apparatus, sketches, designs, lists, reports, tables, analysis, work product made under this Agreement, all other tangible media of expression), equipment, documents, and other property furnished to Consultant by Company, whether delivered to Consultant by Company or made or generated by Consultant under this Agreement are the sole and exclusive property of Company or Company’s suppliers or customers, and Consultant hereby does and will assign to Company all rights, title and interest Consultant may have or acquire in the Company Property.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color w:val="000000"/>
        </w:rPr>
        <w:t>“</w:t>
      </w:r>
      <w:r>
        <w:rPr>
          <w:rFonts w:ascii="Times New Roman" w:hAnsi="Times New Roman"/>
          <w:color w:val="000000"/>
          <w:sz w:val="24"/>
          <w:u w:val="single"/>
        </w:rPr>
        <w:t>Inventions</w:t>
      </w:r>
      <w:r>
        <w:rPr>
          <w:color w:val="000000"/>
        </w:rPr>
        <w:t xml:space="preserve">” </w:t>
      </w:r>
      <w:r>
        <w:rPr>
          <w:rFonts w:ascii="Times New Roman" w:hAnsi="Times New Roman"/>
          <w:color w:val="000000"/>
          <w:sz w:val="24"/>
        </w:rPr>
        <w:t>means all copyrights and copyrightable material, notes, records, drawings, designs, inventions, ideas, discoveries, data, conceptions, processes, protocols, enhancements, modifications, know-how, improvements, developments, trade secrets’ data and information of every kind and description conceived, generated, made, discovered, developed, used, or reduced to practice by Company or Consultant, solely or in collaboration with others,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0" w:after="240"/>
        <w:jc w:val="both"/>
        <w:rPr/>
      </w:pPr>
      <w:r>
        <w:rPr>
          <w:rFonts w:ascii="Times New Roman" w:hAnsi="Times New Roman"/>
          <w:b/>
          <w:color w:val="000000"/>
          <w:sz w:val="24"/>
        </w:rPr>
        <w:t>Nonuse and Nondisclosure</w:t>
      </w:r>
      <w:r>
        <w:rPr>
          <w:rFonts w:ascii="Times New Roman" w:hAnsi="Times New Roman"/>
          <w:color w:val="000000"/>
          <w:sz w:val="24"/>
        </w:rPr>
        <w:t>. Consultant will not, during or subsequent to the term of this Agreement, (i) use the Confidential Information, Company Property or Inventions for any purpose whatsoever other than the performance of the Services on behalf of the Company or (ii) disclose the Confidential Information, Company Property or Inventions to any third party. Consultant agrees that, as between the Company and Consultant, all Confidential Information, Company Property and Inventions will remain the sole property of the Company. Consultant also agrees to take all necessary and reasonable precautions to prevent any unauthorized disclosure of such Confidential Information, Company Property or Inventions. Without the prior written approval from an authorized representative of the Company, Consultant may not disclose the existence or the terms of this Agreement to third parties. Anything to the contrary notwithstanding, Consultant may disclose Confidential Information to the extent such disclosure is required by a court of competent jurisdiction pursuant to a legal action and provided that Consultant promptly notifies the Company of such requirement prior to such disclosure and cooperates with Company in the event Company elects to contest such order by legal action. Consultant acknowledges that the use or disclosure of Confidential Information, Company Property or Inventions without the Company’s express written permission from an authorized representative of the Company will cause the Company irreparable harm and that any material breach or threatened material breach of this Agreement by Consultant will entitle the Company to seek injunctive relief and reasonable attorneys’ fees, in addition to any other legal remedies available to it, in any court of competent jurisdiction.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0" w:after="240"/>
        <w:jc w:val="both"/>
        <w:rPr/>
      </w:pPr>
      <w:r>
        <w:rPr>
          <w:rFonts w:ascii="Times New Roman" w:hAnsi="Times New Roman"/>
          <w:b/>
          <w:color w:val="000000"/>
          <w:sz w:val="24"/>
        </w:rPr>
        <w:t>Third Party Confidential Information</w:t>
      </w:r>
      <w:r>
        <w:rPr>
          <w:rFonts w:ascii="Times New Roman" w:hAnsi="Times New Roman"/>
          <w:color w:val="000000"/>
          <w:sz w:val="24"/>
        </w:rPr>
        <w:t>. Consultant recognizes that the Company has received and in the future may receive from third parties, their confidential or proprietary information subject to a duty on the Company’s part to maintain the confidentiality of such information and to use it only for certain limited purposes. Consultant agrees that, during the Term of this Agreement and thereafter, Consultant owes the Company and such third parties a duty to hold all such confidential or proprietary information in the strictest confidence and not to disclose it to any person, firm or entity or to use it except as necessary in carrying out the Services for the Company consistent with the Company’s agreement with such third party, unless otherwise authorized by such third party.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w:t>
      </w:r>
    </w:p>
    <w:p>
      <w:pPr>
        <w:pStyle w:val="TextBody"/>
        <w:bidi w:val="0"/>
        <w:spacing w:before="0" w:after="240"/>
        <w:jc w:val="both"/>
        <w:rPr/>
      </w:pPr>
      <w:r>
        <w:rPr>
          <w:rFonts w:ascii="Times New Roman" w:hAnsi="Times New Roman"/>
          <w:b/>
          <w:color w:val="000000"/>
          <w:sz w:val="24"/>
        </w:rPr>
        <w:t>Return of Materials</w:t>
      </w:r>
      <w:r>
        <w:rPr>
          <w:rFonts w:ascii="Times New Roman" w:hAnsi="Times New Roman"/>
          <w:color w:val="000000"/>
          <w:sz w:val="24"/>
        </w:rPr>
        <w:t>. At any time upon the Company’s request, Consultant will deliver to the Company all of the Company’s property, equipment and documents, together with all copies thereof, that were previously given to Consultant, including but not limited to all electronically stored confidential and/or nonpublic information, passwords to access such property, or Confidential Information that Consultant may have in Consultant’s possession or control, and Consultant agrees to certify in writing that Consultant has fully complied with this obligation.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rPr>
        <w:t>Ownership</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w:t>
      </w:r>
    </w:p>
    <w:p>
      <w:pPr>
        <w:pStyle w:val="TextBody"/>
        <w:bidi w:val="0"/>
        <w:spacing w:before="0" w:after="240"/>
        <w:jc w:val="both"/>
        <w:rPr/>
      </w:pPr>
      <w:r>
        <w:rPr>
          <w:rFonts w:ascii="Times New Roman" w:hAnsi="Times New Roman"/>
          <w:b/>
          <w:color w:val="000000"/>
          <w:sz w:val="24"/>
        </w:rPr>
        <w:t>Assignment</w:t>
      </w:r>
      <w:r>
        <w:rPr>
          <w:rFonts w:ascii="Times New Roman" w:hAnsi="Times New Roman"/>
          <w:color w:val="000000"/>
          <w:sz w:val="24"/>
        </w:rPr>
        <w:t>. Consultant agrees that all Inventions, are, as between the Company and Consultant, the sole and exclusive property of the Company. Consultant agrees to disclose such Inventions promptly to the Company and hereby assigns, and agrees to assign, all of Consultant’s right, title and interest in and to any such Inventions promptly to the Company without royalty or any other consideration and to execute all applications, assignments or other instruments reasonably requested by the Company in order for the Company to establish the Company’s ownership of such Inventions and to obtain whatever protection for such Inventions, including copyright and patent rights in any and all countries on such Inventions as the Company shall designate.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3.2</w:t>
      </w:r>
    </w:p>
    <w:p>
      <w:pPr>
        <w:pStyle w:val="TextBody"/>
        <w:bidi w:val="0"/>
        <w:spacing w:before="0" w:after="240"/>
        <w:jc w:val="both"/>
        <w:rPr/>
      </w:pPr>
      <w:r>
        <w:rPr>
          <w:rFonts w:ascii="Times New Roman" w:hAnsi="Times New Roman"/>
          <w:b/>
          <w:color w:val="000000"/>
          <w:sz w:val="24"/>
        </w:rPr>
        <w:t>Further Assurances</w:t>
      </w:r>
      <w:r>
        <w:rPr>
          <w:rFonts w:ascii="Times New Roman" w:hAnsi="Times New Roman"/>
          <w:color w:val="000000"/>
          <w:sz w:val="24"/>
        </w:rPr>
        <w:t>. Consultant agrees to assist the Company, or its designee, in every reasonable way to secure the Company’s rights in Inventions and any copyrights, patents or other intellectual property rights relating to all Inventions in any and all countries, including the disclosure to the Company of all pertinent information and data with respect to all Inventions, the execution of all applications, specifications, oaths, assignments and all other instruments that the Company may deem necessary in order to apply for and obtain such rights and in order to assign and convey to the Company, its successors, assigns and nominees the sole and exclusive right, title and interest in and to all Inventions, and any copyrights, patents, or other intellectual property rights relating to all Inventions. Consultant also agrees that Consultant’s obligation to execute or cause to be executed any such instrument or papers shall continue after the termination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3.3</w:t>
      </w:r>
    </w:p>
    <w:p>
      <w:pPr>
        <w:pStyle w:val="TextBody"/>
        <w:bidi w:val="0"/>
        <w:spacing w:before="0" w:after="240"/>
        <w:jc w:val="both"/>
        <w:rPr/>
      </w:pPr>
      <w:r>
        <w:rPr>
          <w:rFonts w:ascii="Times New Roman" w:hAnsi="Times New Roman"/>
          <w:b/>
          <w:color w:val="000000"/>
          <w:sz w:val="24"/>
        </w:rPr>
        <w:t>Pre-Existing Materials</w:t>
      </w:r>
      <w:r>
        <w:rPr>
          <w:rFonts w:ascii="Times New Roman" w:hAnsi="Times New Roman"/>
          <w:color w:val="000000"/>
          <w:sz w:val="24"/>
        </w:rPr>
        <w:t>. Subject to Section 3.1, Consultant agrees that if, in the course of performing the Services, Consultant incorporates into any Invention or utilizes in the performance of the Services any pre-existing invention, discovery, original works of authorship, development, improvements, trade secret, concept, or other proprietary information or intellectual property right owned by Consultant or in which Consultant has an interest (“Prior Inventions”), (i) Consultant will provide the Company with prior written notice and (ii)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 Consultant will not incorporate any invention, improvement, development, concept, discovery, work of authorship or other proprietary information owned by any third party into any Invention without Company’s express prior written permission from an authorized representative of the Company.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3.4</w:t>
      </w:r>
    </w:p>
    <w:p>
      <w:pPr>
        <w:pStyle w:val="TextBody"/>
        <w:bidi w:val="0"/>
        <w:spacing w:before="0" w:after="240"/>
        <w:jc w:val="both"/>
        <w:rPr/>
      </w:pPr>
      <w:r>
        <w:rPr>
          <w:rFonts w:ascii="Times New Roman" w:hAnsi="Times New Roman"/>
          <w:b/>
          <w:color w:val="000000"/>
          <w:sz w:val="24"/>
        </w:rPr>
        <w:t>Attorney-in-Fact</w:t>
      </w:r>
      <w:r>
        <w:rPr>
          <w:rFonts w:ascii="Times New Roman" w:hAnsi="Times New Roman"/>
          <w:color w:val="000000"/>
          <w:sz w:val="24"/>
        </w:rPr>
        <w:t>. Consultant agrees that, if the Company is unable because of Consultant’s unavailability, dissolution, mental or physical incapacity, or for any other reason, to secure Consultant’s signature for the purpose of applying for or pursuing any application for any United States or foreign patents, mask work or copyright registrations covering the Inventions assigned to the Company in Section 3.1, then Consultant hereby irrevocably designates and appoints the Company and its duly authorized officers and agents as Consultant’s agent and attorney-in-fact, to act for and on Consultant’s behalf to execute and file any such applications and to do all other lawfully permitted acts only to further the prosecution and issuance of patents, copyright and mask work registrations with the same legal force and effect as if executed by Consultant.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3.5</w:t>
      </w:r>
    </w:p>
    <w:p>
      <w:pPr>
        <w:pStyle w:val="TextBody"/>
        <w:bidi w:val="0"/>
        <w:spacing w:before="0" w:after="240"/>
        <w:jc w:val="both"/>
        <w:rPr/>
      </w:pPr>
      <w:r>
        <w:rPr>
          <w:rFonts w:ascii="Times New Roman" w:hAnsi="Times New Roman"/>
          <w:b/>
          <w:color w:val="000000"/>
          <w:sz w:val="24"/>
        </w:rPr>
        <w:t>Works Made for Hire</w:t>
      </w:r>
      <w:r>
        <w:rPr>
          <w:rFonts w:ascii="Times New Roman" w:hAnsi="Times New Roman"/>
          <w:color w:val="000000"/>
          <w:sz w:val="24"/>
        </w:rPr>
        <w:t>. Consultant agrees that all products, results, materials or deliverables arising from or made in the performance of the Services (the “Work”) are specially ordered and commissioned by the Company, constitute “Works Made for Hire” as defined by the copyright laws of the United States, and are the exclusive property of the Company. The Work, including all concepts, ideas, copy, sketches, art-work, drawings, electronic files, products, documents, and written materials related to the Services, at all stages of development or completion, will become and remain sole and exclusive property of Company. At Company’s sole and absolute discretion, Company may make any changes in, deletions from, or additions to the Work. Company is not under any obligation to use the Work or derivative materials. If for any reason the Work, or any part thereof, would not be considered a work made for hire or is determined at any time not to be a work made for hire under applicable law, Consultant hereby irrevocably transfers and assigns to Company all right, title and interest therein, including all copyrights as well as renewals and extensions thereto.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3.6</w:t>
      </w:r>
    </w:p>
    <w:p>
      <w:pPr>
        <w:pStyle w:val="TextBody"/>
        <w:bidi w:val="0"/>
        <w:spacing w:before="0" w:after="240"/>
        <w:jc w:val="both"/>
        <w:rPr/>
      </w:pPr>
      <w:r>
        <w:rPr>
          <w:rFonts w:ascii="Times New Roman" w:hAnsi="Times New Roman"/>
          <w:b/>
          <w:color w:val="000000"/>
          <w:sz w:val="24"/>
        </w:rPr>
        <w:t>Moral Rights</w:t>
      </w:r>
      <w:r>
        <w:rPr>
          <w:rFonts w:ascii="Times New Roman" w:hAnsi="Times New Roman"/>
          <w:color w:val="000000"/>
          <w:sz w:val="24"/>
        </w:rPr>
        <w:t>. Any assignment to the Company of Inventions includes all rights of attribution, paternity, integrity, modification, disclosure and withdrawal, and any other rights throughout the world that may be known as or referred to as “moral rights,” “artist’s rights,” “droit moral,” or the like (collectively, “Moral Rights”). To the extent that Moral Rights cannot be assigned under applicable law, Consultant hereby waives and agrees not to enforce any and all Moral Rights, including, without limitation, any limitation on subsequent modification, to the extent permitted under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3.7</w:t>
      </w:r>
    </w:p>
    <w:p>
      <w:pPr>
        <w:pStyle w:val="TextBody"/>
        <w:bidi w:val="0"/>
        <w:spacing w:before="0" w:after="240"/>
        <w:jc w:val="both"/>
        <w:rPr/>
      </w:pPr>
      <w:r>
        <w:rPr>
          <w:rFonts w:ascii="Times New Roman" w:hAnsi="Times New Roman"/>
          <w:b/>
          <w:color w:val="000000"/>
          <w:sz w:val="24"/>
        </w:rPr>
        <w:t>Reports and Maintenance of Records</w:t>
      </w:r>
      <w:r>
        <w:rPr>
          <w:rFonts w:ascii="Times New Roman" w:hAnsi="Times New Roman"/>
          <w:color w:val="000000"/>
          <w:sz w:val="24"/>
        </w:rPr>
        <w:t xml:space="preserve">. Consultant agrees that Consultant will periodically keep the Company advised as to Consultant’s progress in performing the Services under this Agreement. Consultant further agrees that Consultant will, upon request of the Company, prepare written reports with respect to such progress. The Company and Consultant agree that the reasonable time expended in preparing such written reports will be considered time devoted to the performance of the Services. Consultant agrees to keep and maintain all materials and other data and documentation obtained or generated by Consultant in the course of preparing for and providing the Services, including all computerized records and files. Consultant agrees to maintain adequate, current, accurate, and authentic written records of all Inventions made by Consultant (solely or jointly with others) during the term of this Agreement, and for a period of three (3) years thereafter. The records will be in the form of notes, sketches, drawings, electronic files, reports, or any other format that is customary in the industry and/or otherwise specified by the Company. Such records are and remain the sole property of the Company at all times and upon written instruction of the Company, all records will, at Company’s option, either be (a) delivered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Company or to its designee, or (b) disposed of, unless such records are otherwise required to be stored or maintained by Consultant as a matter of law or regulation. In no event will Consultant dispose of any such records without first giving Company sixty (60) days’ prior written notice of Consultant’s intent to do so. Consultant may, however, retain copies of any records as are reasonably necessary for regulatory or insurance purposes, subject to Consultant’s obligation of confidentiality.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rPr>
        <w:t>Representations and Warranties</w:t>
      </w:r>
      <w:r>
        <w:rPr>
          <w:rFonts w:ascii="Times New Roman" w:hAnsi="Times New Roman"/>
          <w:color w:val="000000"/>
          <w:sz w:val="24"/>
        </w:rPr>
        <w:t>. Consultant represents and warrants to the Company that Consultant is legally able to enter into this Agreement and that Consultant’s execution, delivery and performance of this Agreement will not and does not conflict with any agreement, arrangement or understanding, written or oral, to which Consultant is a party or by which Consultant is bound, including Consultant’s other contracts for services or employment. Consultant further represents and warrants that Consultant has no agreements, relationships, or commitments to any other person or entity that conflict with the provisions of this Agreement, Consultant’s obligations to the Company under this Agreement, and/or Consultant’s ability to perform the Services. Consultant will not enter into any such conflicting agreement during the term of this Agreement. Consultant represents and warrants that they have not been debarred or subject to debarment proceedings under the Federal Food, Drug, and Cosmetic Act, nor any other federal or state regulation.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4"/>
        </w:rPr>
        <w:t>Term and Termination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5.1</w:t>
      </w:r>
    </w:p>
    <w:p>
      <w:pPr>
        <w:pStyle w:val="TextBody"/>
        <w:bidi w:val="0"/>
        <w:spacing w:before="0" w:after="240"/>
        <w:jc w:val="both"/>
        <w:rPr/>
      </w:pPr>
      <w:r>
        <w:rPr>
          <w:rFonts w:ascii="Times New Roman" w:hAnsi="Times New Roman"/>
          <w:b/>
          <w:color w:val="000000"/>
          <w:sz w:val="24"/>
        </w:rPr>
        <w:t>Term</w:t>
      </w:r>
      <w:r>
        <w:rPr>
          <w:rFonts w:ascii="Times New Roman" w:hAnsi="Times New Roman"/>
          <w:color w:val="000000"/>
          <w:sz w:val="24"/>
        </w:rPr>
        <w:t>. The term of this Agreement (the “</w:t>
      </w:r>
      <w:r>
        <w:rPr>
          <w:rFonts w:ascii="Times New Roman" w:hAnsi="Times New Roman"/>
          <w:color w:val="000000"/>
          <w:sz w:val="24"/>
          <w:u w:val="single"/>
        </w:rPr>
        <w:t>Term</w:t>
      </w:r>
      <w:r>
        <w:rPr>
          <w:color w:val="000000"/>
        </w:rPr>
        <w:t>”</w:t>
      </w:r>
      <w:r>
        <w:rPr>
          <w:rFonts w:ascii="Times New Roman" w:hAnsi="Times New Roman"/>
          <w:color w:val="000000"/>
          <w:sz w:val="24"/>
        </w:rPr>
        <w:t>) shall commence on the date indicated on the first page of this Agreement (the “</w:t>
      </w:r>
      <w:r>
        <w:rPr>
          <w:rFonts w:ascii="Times New Roman" w:hAnsi="Times New Roman"/>
          <w:color w:val="000000"/>
          <w:sz w:val="24"/>
          <w:u w:val="single"/>
        </w:rPr>
        <w:t>Effective Date</w:t>
      </w:r>
      <w:r>
        <w:rPr>
          <w:color w:val="000000"/>
        </w:rPr>
        <w:t>”</w:t>
      </w:r>
      <w:r>
        <w:rPr>
          <w:rFonts w:ascii="Times New Roman" w:hAnsi="Times New Roman"/>
          <w:color w:val="000000"/>
          <w:sz w:val="24"/>
        </w:rPr>
        <w:t>), and shall remain in full force and effect until termination as provided in Section 5.2.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5.2</w:t>
      </w:r>
    </w:p>
    <w:p>
      <w:pPr>
        <w:pStyle w:val="TextBody"/>
        <w:bidi w:val="0"/>
        <w:spacing w:before="0" w:after="240"/>
        <w:jc w:val="both"/>
        <w:rPr/>
      </w:pPr>
      <w:r>
        <w:rPr>
          <w:rFonts w:ascii="Times New Roman" w:hAnsi="Times New Roman"/>
          <w:b/>
          <w:color w:val="000000"/>
          <w:sz w:val="24"/>
        </w:rPr>
        <w:t>Termination</w:t>
      </w:r>
      <w:r>
        <w:rPr>
          <w:rFonts w:ascii="Times New Roman" w:hAnsi="Times New Roman"/>
          <w:color w:val="000000"/>
          <w:sz w:val="24"/>
        </w:rPr>
        <w:t>. The Company and Consultant may terminate this Agreement by giving thirty (30) days prior written notice to the other party or immediately in the case of material breach.</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5.3</w:t>
      </w:r>
    </w:p>
    <w:p>
      <w:pPr>
        <w:pStyle w:val="TextBody"/>
        <w:bidi w:val="0"/>
        <w:spacing w:before="0" w:after="240"/>
        <w:jc w:val="both"/>
        <w:rPr/>
      </w:pPr>
      <w:r>
        <w:rPr>
          <w:rFonts w:ascii="Times New Roman" w:hAnsi="Times New Roman"/>
          <w:b/>
          <w:color w:val="000000"/>
          <w:sz w:val="24"/>
        </w:rPr>
        <w:t>Survival</w:t>
      </w:r>
      <w:r>
        <w:rPr>
          <w:rFonts w:ascii="Times New Roman" w:hAnsi="Times New Roman"/>
          <w:color w:val="000000"/>
          <w:sz w:val="24"/>
        </w:rPr>
        <w:t>. Upon termination of this Agreement, all rights and duties of the Company and Consultant toward each other shall cease except: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Consultant will terminate all Services in progress in an orderly manner as soon as practical and in accordance with a schedule agreed to by the Company, unless the Company specifies in the notice of termination that Services in progress should be completed, (b) Consultant will deliver to Company all Confidential Information, any materials in Consultant’s possession or control relating to the Services, and all deliverables made through expiration or termination, (c) Company will pay, within thirty (30) days after the effective date of termination, all amounts owing to Consultant for Services completed and accepted by the Company prior to the termination date and related expenses, if any, submitted in accordance with the Company’s policies and in accordance with the provisions of Section 1 of this Agreement, (d) Consultant will promptly refund to Company any monies paid by Company in advance for Services not rendered,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Sections 2, 3, 4, 5.3, 6, 8, 9, and 10 shall survive expiration or termination for any reason of this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4"/>
        </w:rPr>
        <w:t>Independent Contractor; Benefits; Taxes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w:t>
      </w:r>
    </w:p>
    <w:p>
      <w:pPr>
        <w:pStyle w:val="TextBody"/>
        <w:bidi w:val="0"/>
        <w:spacing w:before="0" w:after="240"/>
        <w:jc w:val="both"/>
        <w:rPr/>
      </w:pPr>
      <w:r>
        <w:rPr>
          <w:rFonts w:ascii="Times New Roman" w:hAnsi="Times New Roman"/>
          <w:b/>
          <w:color w:val="000000"/>
          <w:sz w:val="24"/>
        </w:rPr>
        <w:t>Independent Contractor</w:t>
      </w:r>
      <w:r>
        <w:rPr>
          <w:rFonts w:ascii="Times New Roman" w:hAnsi="Times New Roman"/>
          <w:color w:val="000000"/>
          <w:sz w:val="24"/>
        </w:rPr>
        <w:t>. It is the express intention of the Company and Consultant that Consultant performs the Services as an independent contractor to the Company, and nothing in this Agreement should be construed to create a partnership, joint venture or employer-employee relationship. Consultant (a) is not the agent of the Company and (b) is not authorized to make any representation, contract, or commitment on behalf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6.2</w:t>
      </w:r>
    </w:p>
    <w:p>
      <w:pPr>
        <w:pStyle w:val="TextBody"/>
        <w:bidi w:val="0"/>
        <w:spacing w:before="0" w:after="240"/>
        <w:jc w:val="both"/>
        <w:rPr/>
      </w:pPr>
      <w:r>
        <w:rPr>
          <w:rFonts w:ascii="Times New Roman" w:hAnsi="Times New Roman"/>
          <w:b/>
          <w:color w:val="000000"/>
          <w:sz w:val="24"/>
        </w:rPr>
        <w:t>Benefits</w:t>
      </w:r>
      <w:r>
        <w:rPr>
          <w:rFonts w:ascii="Times New Roman" w:hAnsi="Times New Roman"/>
          <w:color w:val="000000"/>
          <w:sz w:val="24"/>
        </w:rPr>
        <w:t>. The Company and Consultant agree that Consultant will receive no Company-sponsored benefits from the Company. If Consultant is reclassified by a state or federal agency or court as the Company’s employee, Consultant will become a reclassified employee and will receive no benefits from the Company, except those mandated by state or federal law, even if by the terms of the Company’s benefit plans or programs of the Company in effect at the time of such reclassification, Consultant would otherwise be eligible for such benefits.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6.3</w:t>
      </w:r>
    </w:p>
    <w:p>
      <w:pPr>
        <w:pStyle w:val="TextBody"/>
        <w:bidi w:val="0"/>
        <w:spacing w:before="0" w:after="240"/>
        <w:jc w:val="both"/>
        <w:rPr/>
      </w:pPr>
      <w:r>
        <w:rPr>
          <w:rFonts w:ascii="Times New Roman" w:hAnsi="Times New Roman"/>
          <w:b/>
          <w:color w:val="000000"/>
          <w:sz w:val="24"/>
        </w:rPr>
        <w:t>Taxes and Withholdings</w:t>
      </w:r>
      <w:r>
        <w:rPr>
          <w:rFonts w:ascii="Times New Roman" w:hAnsi="Times New Roman"/>
          <w:color w:val="000000"/>
          <w:sz w:val="24"/>
        </w:rPr>
        <w:t>. The Company shall not be responsible for paying any federal, state or local taxes on compensation, and Consultant shall be solely responsible for the payment thereof. The Company may, however, report payments made to Consultant hereunder to tax authorities and shall inform Consultant of such actions. Consultant agrees to accept exclusive liability for complying with all applicable state and federal laws, including laws governing self-employed individuals, if applicable, such as laws related to payment of taxes, social security, disability, and other contributions based on fees paid to Consultant under this Agreement. The Company will not withhold or make payments for social security, unemployment insurance or disability insurance contributions, or obtain workers’ compensation insurance on Consultant’s behalf. Consultant hereby agrees to indemnify and defend the Company against any and all such taxes or contributions, including penalties and interest. Consultant agrees to provide proof of payment of appropriate taxes on any fees paid to Consultant under this Agreement upon reasonable request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4"/>
        </w:rPr>
        <w:t>Indemnification</w:t>
      </w:r>
      <w:r>
        <w:rPr>
          <w:rFonts w:ascii="Times New Roman" w:hAnsi="Times New Roman"/>
          <w:color w:val="000000"/>
          <w:sz w:val="24"/>
        </w:rPr>
        <w:t>. Consultant agrees to indemnify and hold harmless the Company and its directors, officers and employees from and against all claims, demands, losses, damages, liabilities, costs and expenses whatsoever, including without limitation attorneys’ fees and other legal expenses, arising directly or indirectly from or in connection with (i) any grossly negligent or intentionally wrongful act of Consultant or Consultant’s assistants, employees or agents, (ii) any breach by Consultant or Consultant’s assistants, employees or agents of any of the covenants contained in this Agreement, (iii) any material failure of Consultant to perform the Services in accordance with all applicable laws, rules and regulations, or (iv) any violation or claimed violation of a third party’s rights resulting in whole or in part from the Company’s use of the work product of Consultant under this Agreement and for which Consultant deliberately misrepresented to the Company the status of third party rights.</w:t>
      </w:r>
    </w:p>
    <w:p>
      <w:pPr>
        <w:pStyle w:val="TextBody"/>
        <w:bidi w:val="0"/>
        <w:spacing w:before="0" w:after="240"/>
        <w:jc w:val="both"/>
        <w:rPr>
          <w:rFonts w:ascii="Times New Roman" w:hAnsi="Times New Roman"/>
          <w:sz w:val="20"/>
        </w:rPr>
      </w:pPr>
      <w:r>
        <w:rPr>
          <w:rFonts w:ascii="Times New Roman" w:hAnsi="Times New Roman"/>
          <w:color w:val="000000"/>
          <w:sz w:val="24"/>
        </w:rPr>
        <w:t>The Company shall defend, indemnify and hold Consultant harmless from and against any and all claims, demands, losses, damages, liabilities, settlement amounts, costs and expenses whatsoever (including without limitation reasonable attorneys’ fees and costs and including, without limitation, product liability claims) arising from or relating to any claim, action or proceeding made or brought against Consultant or the Company as a result of, or associated with,</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Consultant’s Services unless such liability arises from Consultant’s or Consultant’s assistants’, employees’ or agents’ gross negligence or intentional misconduct.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Non-Disclosure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w:t>
      </w:r>
    </w:p>
    <w:p>
      <w:pPr>
        <w:pStyle w:val="TextBody"/>
        <w:bidi w:val="0"/>
        <w:spacing w:before="0" w:after="240"/>
        <w:jc w:val="both"/>
        <w:rPr/>
      </w:pPr>
      <w:r>
        <w:rPr>
          <w:rFonts w:ascii="Times New Roman" w:hAnsi="Times New Roman"/>
          <w:b/>
          <w:color w:val="000000"/>
          <w:sz w:val="24"/>
        </w:rPr>
        <w:t>Non-Disclosure</w:t>
      </w:r>
      <w:r>
        <w:rPr>
          <w:rFonts w:ascii="Times New Roman" w:hAnsi="Times New Roman"/>
          <w:color w:val="000000"/>
          <w:sz w:val="24"/>
        </w:rPr>
        <w:t>. Consultant agrees that without the prior written consent of the Company, Consultant will not intentionally generate any publicity, news release or other announcement concerning the engagement of Consultant hereunder or the services to be performed by Consultant hereunder or otherwise utilize the name of the Company or any of its affiliates for any advertising or promotional purposes.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part of this Section 8 should be determined by a court of competent jurisdiction to be unreasonable in duration, geographic area, or scope, then you and the Company hereby agree that this Section 8 is intended to and shall extend only for such period of time, in such area and with respect to such activities as are determined to be reasonable.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4"/>
        </w:rPr>
        <w:t>Voluntary Nature of Agreement</w:t>
      </w:r>
      <w:r>
        <w:rPr>
          <w:rFonts w:ascii="Times New Roman" w:hAnsi="Times New Roman"/>
          <w:color w:val="000000"/>
          <w:sz w:val="24"/>
        </w:rPr>
        <w:t>. Consultant acknowledges and agrees that Consultant is executing this Agreement voluntarily and without any duress or undue influence by the Company or anyone else. Consultant further acknowledges and agrees that Consultant has carefully read this Agreement and has asked any questions needed to understand the terms, consequences and binding effect of this Agreement and fully understand it to his or her satisfaction. Finally, Consultant agrees that Consultant has been provided an opportunity to seek the advice of an attorney of its choice before signing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color w:val="000000"/>
          <w:sz w:val="24"/>
        </w:rPr>
        <w:t>Miscellaneous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w:t>
      </w:r>
    </w:p>
    <w:p>
      <w:pPr>
        <w:pStyle w:val="TextBody"/>
        <w:bidi w:val="0"/>
        <w:spacing w:before="0" w:after="240"/>
        <w:jc w:val="both"/>
        <w:rPr/>
      </w:pPr>
      <w:r>
        <w:rPr>
          <w:rFonts w:ascii="Times New Roman" w:hAnsi="Times New Roman"/>
          <w:b/>
          <w:color w:val="000000"/>
          <w:sz w:val="24"/>
        </w:rPr>
        <w:t>Governing Law</w:t>
      </w:r>
      <w:r>
        <w:rPr>
          <w:rFonts w:ascii="Times New Roman" w:hAnsi="Times New Roman"/>
          <w:color w:val="000000"/>
          <w:sz w:val="24"/>
        </w:rPr>
        <w:t>. This Agreement will be interpreted and construed in accordance with the laws of the Commonwealth of Massachusetts, without regard to conflict of law principles. All disputes arising out of this Agreement will be subject to the exclusive jurisdiction and venue of the state and federal courts located in Suffolk County, Massachusetts and each party hereby consents to the personal jurisdiction thereof.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w:t>
      </w:r>
    </w:p>
    <w:p>
      <w:pPr>
        <w:pStyle w:val="TextBody"/>
        <w:bidi w:val="0"/>
        <w:spacing w:before="0" w:after="240"/>
        <w:jc w:val="both"/>
        <w:rPr/>
      </w:pPr>
      <w:r>
        <w:rPr>
          <w:rFonts w:ascii="Times New Roman" w:hAnsi="Times New Roman"/>
          <w:b/>
          <w:color w:val="000000"/>
          <w:sz w:val="24"/>
        </w:rPr>
        <w:t>Assignability</w:t>
      </w:r>
      <w:r>
        <w:rPr>
          <w:rFonts w:ascii="Times New Roman" w:hAnsi="Times New Roman"/>
          <w:color w:val="000000"/>
          <w:sz w:val="24"/>
        </w:rPr>
        <w:t>. Except as otherwise provided in this Agreement, Consultant may not sell, assign or delegate any rights or obligations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10.3</w:t>
      </w:r>
    </w:p>
    <w:p>
      <w:pPr>
        <w:pStyle w:val="TextBody"/>
        <w:bidi w:val="0"/>
        <w:spacing w:before="0" w:after="240"/>
        <w:jc w:val="both"/>
        <w:rPr/>
      </w:pPr>
      <w:r>
        <w:rPr>
          <w:rFonts w:ascii="Times New Roman" w:hAnsi="Times New Roman"/>
          <w:b/>
          <w:color w:val="000000"/>
          <w:sz w:val="24"/>
        </w:rPr>
        <w:t>Entire Agreement</w:t>
      </w:r>
      <w:r>
        <w:rPr>
          <w:rFonts w:ascii="Times New Roman" w:hAnsi="Times New Roman"/>
          <w:color w:val="000000"/>
          <w:sz w:val="24"/>
        </w:rPr>
        <w:t>. This Agreement constitutes the entire agreement between the parties with respect to the subject matter of this Agreement and supersedes all prior written and oral agreements between the parties regarding the subject matter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10.4</w:t>
      </w:r>
    </w:p>
    <w:p>
      <w:pPr>
        <w:pStyle w:val="TextBody"/>
        <w:bidi w:val="0"/>
        <w:spacing w:before="0" w:after="240"/>
        <w:jc w:val="both"/>
        <w:rPr/>
      </w:pPr>
      <w:r>
        <w:rPr>
          <w:rFonts w:ascii="Times New Roman" w:hAnsi="Times New Roman"/>
          <w:b/>
          <w:color w:val="000000"/>
          <w:sz w:val="24"/>
        </w:rPr>
        <w:t>Headings</w:t>
      </w:r>
      <w:r>
        <w:rPr>
          <w:rFonts w:ascii="Times New Roman" w:hAnsi="Times New Roman"/>
          <w:color w:val="000000"/>
          <w:sz w:val="24"/>
        </w:rPr>
        <w:t>. Headings are used in this Agreement for reference only and shall not be considered when interpreting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10.5</w:t>
      </w:r>
    </w:p>
    <w:p>
      <w:pPr>
        <w:pStyle w:val="TextBody"/>
        <w:bidi w:val="0"/>
        <w:spacing w:before="0" w:after="240"/>
        <w:jc w:val="both"/>
        <w:rPr/>
      </w:pPr>
      <w:r>
        <w:rPr>
          <w:rFonts w:ascii="Times New Roman" w:hAnsi="Times New Roman"/>
          <w:b/>
          <w:color w:val="000000"/>
          <w:sz w:val="24"/>
        </w:rPr>
        <w:t>Notices</w:t>
      </w:r>
      <w:r>
        <w:rPr>
          <w:rFonts w:ascii="Times New Roman" w:hAnsi="Times New Roman"/>
          <w:color w:val="000000"/>
          <w:sz w:val="24"/>
        </w:rPr>
        <w:t xml:space="preserve">. Any notice or other communication required or permitted by this Agreement to be given to a party shall be in writing. All notices shall be given (i) by delivery in person (ii) by a nationally recognized next day courier service, (iii) by first class, registered or certified mail, postage prepaid, (iv) by facsimile (with receipt of confirmation of complete transmission) or (v) by electronic mail, to the business address of the party specified in this Agreement or such other address as either party may specify in writing or at such other address or facsimile number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e-mail address as the party may have previously specified by like notice. For purposes of clarification, it is not intended that day-to-day communications of information and required reports would require confirmation by national overnight courier or hand for delivery on the next Business Day. If by mail, delivery shall be deemed effective 3 business days after mailing in accordance with this Section 10.5.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the Company, to:</w:t>
      </w:r>
    </w:p>
    <w:p>
      <w:pPr>
        <w:pStyle w:val="TextBody"/>
        <w:bidi w:val="0"/>
        <w:jc w:val="both"/>
        <w:rPr>
          <w:rFonts w:ascii="Times New Roman" w:hAnsi="Times New Roman"/>
          <w:sz w:val="20"/>
        </w:rPr>
      </w:pPr>
      <w:r>
        <w:rPr>
          <w:rFonts w:ascii="Times New Roman" w:hAnsi="Times New Roman"/>
          <w:color w:val="000000"/>
          <w:sz w:val="24"/>
        </w:rPr>
        <w:t>Synlogic Operating Company, Inc.</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Attention: Legal</w:t>
      </w:r>
    </w:p>
    <w:p>
      <w:pPr>
        <w:pStyle w:val="TextBody"/>
        <w:bidi w:val="0"/>
        <w:jc w:val="both"/>
        <w:rPr>
          <w:rFonts w:ascii="Times New Roman" w:hAnsi="Times New Roman"/>
          <w:color w:val="000000"/>
          <w:sz w:val="24"/>
        </w:rPr>
      </w:pPr>
      <w:r>
        <w:rPr>
          <w:rFonts w:ascii="Times New Roman" w:hAnsi="Times New Roman"/>
          <w:color w:val="000000"/>
          <w:sz w:val="24"/>
        </w:rPr>
        <w:t>PO Box 30</w:t>
      </w:r>
    </w:p>
    <w:p>
      <w:pPr>
        <w:pStyle w:val="TextBody"/>
        <w:bidi w:val="0"/>
        <w:jc w:val="both"/>
        <w:rPr>
          <w:rFonts w:ascii="Times New Roman" w:hAnsi="Times New Roman"/>
          <w:color w:val="000000"/>
          <w:sz w:val="24"/>
        </w:rPr>
      </w:pPr>
      <w:r>
        <w:rPr>
          <w:rFonts w:ascii="Times New Roman" w:hAnsi="Times New Roman"/>
          <w:color w:val="000000"/>
          <w:sz w:val="24"/>
        </w:rPr>
        <w:t>Winchester, MA 01890</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Consultant, to the address for notice on the signature page to this Agreement or, if no such address is provided, to the last address of Consultant provided by Consultant to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10.6</w:t>
      </w:r>
    </w:p>
    <w:p>
      <w:pPr>
        <w:pStyle w:val="TextBody"/>
        <w:bidi w:val="0"/>
        <w:spacing w:before="0" w:after="240"/>
        <w:jc w:val="both"/>
        <w:rPr/>
      </w:pPr>
      <w:r>
        <w:rPr>
          <w:rFonts w:ascii="Times New Roman" w:hAnsi="Times New Roman"/>
          <w:b/>
          <w:color w:val="000000"/>
          <w:sz w:val="24"/>
        </w:rPr>
        <w:t>Nature of Services</w:t>
      </w:r>
      <w:r>
        <w:rPr>
          <w:rFonts w:ascii="Times New Roman" w:hAnsi="Times New Roman"/>
          <w:color w:val="000000"/>
          <w:sz w:val="24"/>
        </w:rPr>
        <w:t>. The Company acknowledges that Consultant’s role is advisory in nature. The Company is therefore free, in its sole discretion to accept, modify, or reject Consultant’s recommendations or any work product resulting from the provision of Services as described herein. The Company shall be solely responsible for the consequences, direct or indirect, of any such decision by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10.7</w:t>
      </w:r>
    </w:p>
    <w:p>
      <w:pPr>
        <w:pStyle w:val="TextBody"/>
        <w:bidi w:val="0"/>
        <w:spacing w:before="0" w:after="240"/>
        <w:jc w:val="both"/>
        <w:rPr/>
      </w:pPr>
      <w:r>
        <w:rPr>
          <w:rFonts w:ascii="Times New Roman" w:hAnsi="Times New Roman"/>
          <w:b/>
          <w:color w:val="000000"/>
          <w:sz w:val="24"/>
        </w:rPr>
        <w:t>Amendments; Waiver</w:t>
      </w:r>
      <w:r>
        <w:rPr>
          <w:rFonts w:ascii="Times New Roman" w:hAnsi="Times New Roman"/>
          <w:color w:val="000000"/>
          <w:sz w:val="24"/>
        </w:rPr>
        <w:t>. No modification of or amendment to this Agreement, or any waiver of any rights under this Agreement, will be effective unless in writing and signed by Consultant and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10.8</w:t>
      </w:r>
    </w:p>
    <w:p>
      <w:pPr>
        <w:pStyle w:val="TextBody"/>
        <w:bidi w:val="0"/>
        <w:spacing w:before="0" w:after="240"/>
        <w:jc w:val="both"/>
        <w:rPr/>
      </w:pPr>
      <w:r>
        <w:rPr>
          <w:rFonts w:ascii="Times New Roman" w:hAnsi="Times New Roman"/>
          <w:b/>
          <w:color w:val="000000"/>
          <w:sz w:val="24"/>
        </w:rPr>
        <w:t>Further Assurances</w:t>
      </w:r>
      <w:r>
        <w:rPr>
          <w:rFonts w:ascii="Times New Roman" w:hAnsi="Times New Roman"/>
          <w:color w:val="000000"/>
          <w:sz w:val="24"/>
        </w:rPr>
        <w:t>. Consultant agrees, upon request, to execute and deliver any further documents or instruments necessary or desirable to carry out the purposes or intent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10.9</w:t>
      </w:r>
    </w:p>
    <w:p>
      <w:pPr>
        <w:pStyle w:val="TextBody"/>
        <w:bidi w:val="0"/>
        <w:spacing w:before="0" w:after="240"/>
        <w:jc w:val="both"/>
        <w:rPr/>
      </w:pPr>
      <w:r>
        <w:rPr>
          <w:rFonts w:ascii="Times New Roman" w:hAnsi="Times New Roman"/>
          <w:b/>
          <w:color w:val="000000"/>
          <w:sz w:val="24"/>
        </w:rPr>
        <w:t>Severability</w:t>
      </w:r>
      <w:r>
        <w:rPr>
          <w:rFonts w:ascii="Times New Roman" w:hAnsi="Times New Roman"/>
          <w:color w:val="000000"/>
          <w:sz w:val="24"/>
        </w:rPr>
        <w:t>. If any provision of this Agreement is found to be illegal or unenforceable, the other provisions shall remain effective and enforceable to the greatest extent permitted by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10.10</w:t>
      </w:r>
    </w:p>
    <w:p>
      <w:pPr>
        <w:pStyle w:val="TextBody"/>
        <w:bidi w:val="0"/>
        <w:spacing w:before="0" w:after="240"/>
        <w:jc w:val="both"/>
        <w:rPr/>
      </w:pPr>
      <w:r>
        <w:rPr>
          <w:rFonts w:ascii="Times New Roman" w:hAnsi="Times New Roman"/>
          <w:b/>
          <w:color w:val="000000"/>
          <w:sz w:val="24"/>
        </w:rPr>
        <w:t>Counterparts and Facsimiles</w:t>
      </w:r>
      <w:r>
        <w:rPr>
          <w:rFonts w:ascii="Times New Roman" w:hAnsi="Times New Roman"/>
          <w:color w:val="000000"/>
          <w:sz w:val="24"/>
        </w:rPr>
        <w:t>. This Agreement may be executed in one or more counterparts, each of which shall be deemed an original, but all of which taken together shall constitute one and the same instrument. Signature pages received by facsimile or electronic mail shall be deemed original signatures for all purposes.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the parties hereto have executed this Consulting Agreement as of the Effective Date.</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SYNLOGIC OPERATING COMPANY, INC.</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Tony Awad </w:t>
      </w:r>
      <w:r>
        <w:rPr>
          <w:rFonts w:ascii="Times New Roman" w:hAnsi="Times New Roman"/>
          <w:color w:val="000000"/>
          <w:sz w:val="24"/>
        </w:rPr>
        <w:t xml:space="preserve">By: </w:t>
      </w:r>
      <w:r>
        <w:rPr>
          <w:rFonts w:ascii="Times New Roman" w:hAnsi="Times New Roman"/>
          <w:color w:val="000000"/>
          <w:sz w:val="24"/>
          <w:u w:val="single"/>
        </w:rPr>
        <w:t xml:space="preserve">/s/ Peter Barrett </w:t>
      </w:r>
    </w:p>
    <w:p>
      <w:pPr>
        <w:pStyle w:val="TextBody"/>
        <w:bidi w:val="0"/>
        <w:jc w:val="left"/>
        <w:rPr>
          <w:rFonts w:ascii="Times New Roman" w:hAnsi="Times New Roman"/>
          <w:sz w:val="20"/>
        </w:rPr>
      </w:pPr>
      <w:r>
        <w:rPr>
          <w:rFonts w:ascii="Times New Roman" w:hAnsi="Times New Roman"/>
          <w:color w:val="000000"/>
          <w:sz w:val="24"/>
        </w:rPr>
        <w:t xml:space="preserve">Title: Principal Consultant Name: </w:t>
      </w:r>
      <w:r>
        <w:rPr>
          <w:rFonts w:ascii="Times New Roman" w:hAnsi="Times New Roman"/>
          <w:color w:val="000000"/>
          <w:sz w:val="24"/>
          <w:u w:val="single"/>
        </w:rPr>
        <w:t xml:space="preserve">Peter Barrett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Title: Chair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EXHIBIT 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SERVICES AND COMPENSATION</w:t>
      </w:r>
    </w:p>
    <w:p>
      <w:pPr>
        <w:pStyle w:val="TextBody"/>
        <w:bidi w:val="0"/>
        <w:spacing w:before="0" w:after="240"/>
        <w:jc w:val="both"/>
        <w:rPr>
          <w:rFonts w:ascii="Times New Roman" w:hAnsi="Times New Roman"/>
          <w:sz w:val="20"/>
        </w:rPr>
      </w:pPr>
      <w:r>
        <w:rPr>
          <w:rFonts w:ascii="Times New Roman" w:hAnsi="Times New Roman"/>
          <w:b/>
          <w:color w:val="000000"/>
          <w:sz w:val="24"/>
        </w:rPr>
        <w:t>1. Services.</w:t>
      </w:r>
      <w:r>
        <w:rPr>
          <w:rFonts w:ascii="Times New Roman" w:hAnsi="Times New Roman"/>
          <w:color w:val="000000"/>
          <w:sz w:val="20"/>
        </w:rPr>
        <w:t xml:space="preserve"> </w:t>
      </w:r>
      <w:r>
        <w:rPr>
          <w:rFonts w:ascii="Times New Roman" w:hAnsi="Times New Roman"/>
          <w:color w:val="000000"/>
          <w:sz w:val="24"/>
        </w:rPr>
        <w:t>The Services shall include, but shall not be limited to, the following operational activities, as requested by the Company:</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 assistance with the Company’s transition from ceasing business operations to preparing organization for wind down, sale, or other outcome as determined by the Company’s Board of Directors;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 projects to be determined by mutual agreement between Consultant and an authorized officer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manner and means that Consultant chooses to complete the Services are in Consultant’s sole discretion and control. Consultant agrees to provide his own equipment, tools, and other materials at his own expense; however, the Company will make its facilities and equipment available to Consultant when necessary.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 Contact. Consultant’s principal Company contact: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Name: Mary Beth Dooley</w:t>
      </w:r>
    </w:p>
    <w:p>
      <w:pPr>
        <w:pStyle w:val="TextBody"/>
        <w:bidi w:val="0"/>
        <w:spacing w:before="0" w:after="240"/>
        <w:jc w:val="both"/>
        <w:rPr>
          <w:rFonts w:ascii="Times New Roman" w:hAnsi="Times New Roman"/>
          <w:sz w:val="20"/>
        </w:rPr>
      </w:pPr>
      <w:r>
        <w:rPr>
          <w:rFonts w:ascii="Times New Roman" w:hAnsi="Times New Roman"/>
          <w:color w:val="000000"/>
          <w:sz w:val="24"/>
        </w:rPr>
        <w:t>Email: marybeth@synlogictx.com</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 Compensation.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Company will pay Consultant a consulting fee of three-hundred and fifty dollars ($350) per hour during the Term. Time for travel will be compensated at half the hourly consulting rate per hour. The Consulting fee shall be payable monthly upon 30 days of the Company receiving an invoice from Consultant detailing the Services provided and, if paid hourly, the time spent providing such Services, and all of which fees shall be net of any applicable withholding taxes.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Company will reimburse Consultant for all reasonable out-of-pocket expenses, including non-local travel, incurred by Consultant in performing the Services pursuant to this Agreement upon submission of supporting documentation reasonably acceptable to the Company; provided that Consultant receives express prior written consent from the Company’s Principal Executive Officer prior to incurring any expenses in excess of five-hundred dollars ($500).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Treatment of Equity:</w:t>
      </w:r>
    </w:p>
    <w:p>
      <w:pPr>
        <w:pStyle w:val="TextBody"/>
        <w:bidi w:val="0"/>
        <w:spacing w:before="0" w:after="240"/>
        <w:jc w:val="both"/>
        <w:rPr>
          <w:rFonts w:ascii="Times New Roman" w:hAnsi="Times New Roman"/>
          <w:sz w:val="20"/>
        </w:rPr>
      </w:pPr>
      <w:r>
        <w:rPr>
          <w:rFonts w:ascii="Times New Roman" w:hAnsi="Times New Roman"/>
          <w:color w:val="000000"/>
          <w:sz w:val="24"/>
        </w:rPr>
        <w:t>(i) The Consultant’s current Equity Grants will continue to vest during the consulting period according to the applicable vesting schedule set forth in the original grant agreements, but shall otherwise remain subject to the original terms and conditions of such Equity Grants. Any unvested equity upon the termination of this Agreement will be forfeited. The term “Equity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Grants” shall mean all previous grants to the Consultant of (i) shares of Restricted Stock and (ii) grants of stock options (the “Options”) to purchase common stock of the Company, par value $0.001 per share (“Common Stock”), in each case which are subject to time-based vesting as set forth in the applicable Restricted Stock or Option agreement(s).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Vested Portion of Options: The Company and the Consultant hereby agree that Options are amended on the Effective Date to provide that the portions of such Options which are vested (the “Vested Options”) shall continue to be outstanding (regardless of the fact that the Consultant shall no longer be an employee of the Company as of the Effective Date) so long as this Agreement remains in effect and the Consultant maintains a service relationship with the Company pursuant to the Agreement and shall not terminate until the Agreement is terminated under Section 5 of the Agreement (but in no event shall such Vested Options remain outstanding later than the original expiration dates thereof).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The Company and the Consultant hereby agree that the Equity Grants are further amended effective on the Effective Date as follows: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Consultant shall have 90 days following such termination of this Agreement in which to exercise any Options which are vested as of the termination date, after which 90- day period any unexercised stock options shall be forfeited to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 vesting schedule of the unvested portion of the Equity Grant shall not be modified.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No further grants of equity will be made to Consultant.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The Consultant acknowledges that any outstanding Options may be treated as non-qualified stock options for tax purposes.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This Agreement shall amend the Equity Grant in accordance with applicable sections of the Company’s 2015 Equity Incentive Award Plan and Company’s 2017 Stock Incentive Plan. The provisions of the Equity Grant, including without limitation the expiration dates of the Options, which are not amended or terminated hereby shall remain in effect unchanged. The Consultant acknowledges and agrees that they have no rights with respect to any equity grants made or promised to the Consultant by the Company prior to the Effective Date other than any rights with respect to the Vested Portion, and the Unvested Portion of the Equity Grant.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 The Company shall have the authority and shall withhold a portion of the Restricted Stock upon vesting and sell such shares on the Consultant’s behalf to satisfy all applicable tax obligations.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 Notwithstanding the foregoing, upon the earlier of (a) the filing of a certificate of corporate dissolution with the Delaware Secretary of State or (b) the closing of a Change in Control, the Unvested Portion of each Equity Grant shall accelerate and become fully vested.</w:t>
      </w:r>
    </w:p>
    <w:p>
      <w:pPr>
        <w:pStyle w:val="TextBody"/>
        <w:bidi w:val="0"/>
        <w:spacing w:before="0" w:after="240"/>
        <w:jc w:val="left"/>
        <w:rPr>
          <w:rFonts w:ascii="Times New Roman" w:hAnsi="Times New Roman"/>
          <w:sz w:val="20"/>
        </w:rPr>
      </w:pPr>
      <w:r>
        <w:rPr>
          <w:rFonts w:ascii="Times New Roman" w:hAnsi="Times New Roman"/>
          <w:color w:val="000000"/>
          <w:sz w:val="24"/>
        </w:rPr>
        <w:t>(vii) “Change of Control” shall mean the (i) the sale of the Company by merger in which the shareholders of the Company in their capacity as such no longer own a majority of the outstanding equity securities of the Company (or its successor); (ii) any sale of all or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substantially all of the assets or capital stock of the Company (other than in a spin-off or similar transaction); or (iii) any other acquisition of the business of the Company, as determined by the Company’s Board of Directors in their sole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All payments and benefits provided for under this Agreement are intended to be exempt from or otherwise comply with the requirements of Section 409A of the Internal Revenue Code of 1986, as amended, and the regulations and guidance thereunder (together, “Section 409A”) so that none of the payments to be provided hereunder will be subject to the additional tax imposed under Section 409A, and any ambiguities or ambiguous terms herein will be interpreted to be exempt or so comply. Each payment and benefit payable under this Agreement is intended to constitute a separate payment for purposes of Section 1.409A-2(b)(2) of the Treasury Regulations.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8" w:name="sybx-ex10_12.htm"/>
      <w:bookmarkStart w:id="49" w:name="kssybxex10_12"/>
      <w:bookmarkEnd w:id="48"/>
      <w:bookmarkEnd w:id="49"/>
      <w:r>
        <w:rPr>
          <w:rFonts w:ascii="Times New Roman" w:hAnsi="Times New Roman"/>
          <w:b/>
          <w:color w:val="000000"/>
          <w:sz w:val="24"/>
        </w:rPr>
        <w:t>Exhibit 10.12</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Synlogic, Inc.</w:t>
      </w:r>
    </w:p>
    <w:p>
      <w:pPr>
        <w:pStyle w:val="TextBody"/>
        <w:bidi w:val="0"/>
        <w:jc w:val="center"/>
        <w:rPr>
          <w:rFonts w:ascii="Times New Roman" w:hAnsi="Times New Roman"/>
          <w:color w:val="000000"/>
          <w:sz w:val="24"/>
        </w:rPr>
      </w:pPr>
      <w:r>
        <w:rPr>
          <w:rFonts w:ascii="Times New Roman" w:hAnsi="Times New Roman"/>
          <w:color w:val="000000"/>
          <w:sz w:val="24"/>
        </w:rPr>
        <w:t>PO Box 30</w:t>
      </w:r>
    </w:p>
    <w:p>
      <w:pPr>
        <w:pStyle w:val="TextBody"/>
        <w:bidi w:val="0"/>
        <w:jc w:val="center"/>
        <w:rPr>
          <w:rFonts w:ascii="Times New Roman" w:hAnsi="Times New Roman"/>
          <w:color w:val="000000"/>
          <w:sz w:val="24"/>
        </w:rPr>
      </w:pPr>
      <w:r>
        <w:rPr>
          <w:rFonts w:ascii="Times New Roman" w:hAnsi="Times New Roman"/>
          <w:color w:val="000000"/>
          <w:sz w:val="24"/>
        </w:rPr>
        <w:t>Winchester, MA 01890</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Mary Beth Dooley</w:t>
      </w:r>
    </w:p>
    <w:p>
      <w:pPr>
        <w:pStyle w:val="TextBody"/>
        <w:bidi w:val="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i/>
          <w:color w:val="000000"/>
          <w:sz w:val="24"/>
        </w:rPr>
        <w:t>Re: Amended Employment Letter Agreement</w:t>
      </w:r>
      <w:r>
        <w:rPr>
          <w:rFonts w:ascii="Times New Roman" w:hAnsi="Times New Roman"/>
          <w:color w:val="000000"/>
          <w:sz w:val="20"/>
        </w:rPr>
        <w:t xml:space="preserve"> </w:t>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Dear Mary Beth,</w:t>
      </w:r>
    </w:p>
    <w:p>
      <w:pPr>
        <w:pStyle w:val="TextBody"/>
        <w:bidi w:val="0"/>
        <w:spacing w:before="0" w:after="240"/>
        <w:jc w:val="both"/>
        <w:rPr>
          <w:rFonts w:ascii="Times New Roman" w:hAnsi="Times New Roman"/>
          <w:sz w:val="20"/>
        </w:rPr>
      </w:pPr>
      <w:r>
        <w:rPr>
          <w:rFonts w:ascii="Times New Roman" w:hAnsi="Times New Roman"/>
          <w:color w:val="000000"/>
          <w:sz w:val="24"/>
        </w:rPr>
        <w:t>I am pleased to provide you with the amended terms and conditions of your continued employment by Synlogic, Inc. a Delaware corporation (hereinafter referred to collectively with its subsidiaries as the “Company”). This Amended Employment Letter Agreement (this “Agreement”) will supersede the terms of each and every one of the Prior Agreements (as that term is defined in Section 7(a) below).</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Position. Effective as of January 1, 2025, your position will be Principal Executive Officer and Principal Financial Officer of the Company reporting to the Company’s Board of Directors (the “Board”). In addition to performing duties and responsibilities associated with the position of Principal Executive Officer and Principal Financial Officer, from time to time the Board may assign you other related duties and responsibilities consistent with such position.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Nature of Relationship; Status.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provision of this Agreement shall be construed to create an express or implied employment contract for a specific period of time. Either you or the Company may terminate the employment relationship at any time and for any reason upon written notice to the other party as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You will be expected to devote the necessary full-time business time and energies to the business and affairs of the Company in order to perform your duties, and you shall perform the foregoing services at the principal office of the Company, or at any other location mutually agreed upon by you and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Compensation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Base Salary. Your base salary will be at the rate of $325,000 per annum, less applicable payroll and withholding taxes, which shall be prorated for any partial year, month or week.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2024 Annual Bonus. The Company will pay you for 2024 your target annual bonus of $97,500, an amount equal to 30% of your base salary, less applicable payroll and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withholding taxes. The Company will pay your 2024 annual bonus when such bonuses are paid to other executives at the Company and no later than March 15, 2025. You will not be eligible for any annual bonus for 2025 or any subsequent year.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Retention Bonus. You will be eligible for a bonus in an amount equal to seventy-five percent (75%) of your base salary for each month of service to the Company between March 1, 2024 and the month in which the Company consummates a Change in Control, provided you remain employed through such date, and if earlier, the month in which the Company terminates your employment without Cause or you resign your employment with Good Reason under Section 6(c) of this Agreement, in each case subject your entering into a Separation Agreement in accordance with Section 6(d) of this Agreement (the “Retention Bonus”). The Retention Bonus will be paid in accordance with the terms of Section 6(c), less applicable payroll and withholding taxes. If the Company terminates your employment for Cause pursuant to Section 6(a), you resign your employment pursuant to Section 6(b) prior to the date the Company consummates a Change in Control, or if you do not timely sign a Separation Agreement, you will forfeit your right to the Retention Bonus. For purposes of this Section, “Change in Control” means a transaction or a series of related transactions in which: (i) all or substantially all of the assets of the Company are transferred to any “person” or “group” (as such terms are defined in Section 13(d)(3) and 14(d)(2) of the Securities Exchange Act of 1934, as amended (the “Exchange Act”)); (ii) any person or group, other than a person or group who prior to such acquisition is a “beneficial owner” (as defined in Rules 13d-3 and 13d-5 under the Exchange Act), directly or indirectly, of any of the Company’s equity, becomes the “beneficial owner”, directly or indirectly, of the Company’s outstanding equity representing more than 50% of the total voting power of the Company’s then-outstanding equity; or (iii) the Company undergoes a merger, reorganization or other consolidation in which the holders of the outstanding equity of the Company immediately prior to such merger, reorganization or consolidation directly or indirectly own less than 50% of the surviving entity’s voting power immediately after the transaction, provided further that the transaction or transactions meet all of the requirements set forth in Treasury Regulation §1.409A-3(i)(5)(v).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Expenses. You will be entitled to reimbursement for all ordinary and reasonable out-of-pocket business expenses that are reasonably incurred by you in furtherance of the Company’s business, following submission of reasonably detailed receipts. </w:t>
      </w:r>
    </w:p>
    <w:p>
      <w:pPr>
        <w:pStyle w:val="TextBody"/>
        <w:bidi w:val="0"/>
        <w:spacing w:before="0" w:after="240"/>
        <w:jc w:val="both"/>
        <w:rPr>
          <w:rFonts w:ascii="Times New Roman" w:hAnsi="Times New Roman"/>
          <w:sz w:val="20"/>
        </w:rPr>
      </w:pPr>
      <w:r>
        <w:rPr>
          <w:rFonts w:ascii="Times New Roman" w:hAnsi="Times New Roman"/>
          <w:color w:val="000000"/>
          <w:sz w:val="24"/>
        </w:rPr>
        <w:t>(e) Equity. This Agreement shall amend the Equity Grants in accordance with applicable sections of the Company’s 2015 Equity Incentive Award Plan and Company’s 2017 Stock Incentive Plan. The term “Equity Grants” shall mean all previous grants to you of (i) shares of Restricted Stock and (ii) grants of stock options (the “Options”) to purchase common stock of the Company, par value $0.001 per share (“Common Stock”), in each case which are subject to time-based vesting as set forth in the applicable Restricted Stock or Option agreement(s). The provisions of the Equity Grant, including without limitation the expiration dates of the Options, which are not amended or terminated hereby shall remain in effect unchanged. You acknowledge and agree that you have no rights with respect to any equity grants promised to you by the Company prior to the effective date hereof other than any rights with respect to the Equity Grants. The Company and you agree that the Equity Grants are amended as of the effective date hereof as follows: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(i) You shall have ninety (90) days following a termination of this Agreement in which to exercise any Options which are vested as of the termination date, after such ninety-day (90-day) period any unexercised Options shall be forfeited to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Company shall have the authority and shall withhold a portion of the Restricted Stock upon vesting and sell such shares on the employee’s behalf to satisfy all applicable tax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Upon the earlier of (A) the filing of a certificate of corporate dissolution with the Delaware Secretary of State, (B) the closing of a Change in Control or (C) the termination of your employment by the Company without Cause or your resignation with Good Reason under Section 6(c) of this Agreement, the unvested portion of each Equity Grant shall accelerate and become fully vested and exercisable in accordance with the terms of the applicable award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Benefits.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Vacation. You will be eligible for vacation, pursuant to the Company’s flexible vacation policy, set forth in the Company’s employee handbook.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Benefits. You will be eligible to participate in the benefits provided by the Company to its employees. Where any particular benefit is governed by a formal plan document, your eligibility and coverage will be determined by such document, and the Company may change its benefit offerings from time to time in its discretion to meet its business needs. The Company retains the right to change, add or cease any particular benefit.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rPr>
        <w:t>Confidentiality, Inventions and Non-Solicitation. You acknowledge that your Non-Solicitation, Invention and Non-Disclosure Agreement executed by you on April 11, 2018 survives the termination of the Prior Agreements and remains in full force and effect (the “Restrictive Covenant Agreement”).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Termination and Severance. Your employment may be terminated by you or the Company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may terminate your employment for “Cause” (as defined below) upon written notice to you effective immediately, in which case you will not be entitled to receive any form of payment other than your earned compensation through your date of separation and reimbursable expenses;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you may terminate your employment voluntarily other than for “Good Reason” (as defined below) upon at least thirty (30) days’ prior written notice to the Company, in which case you will not be entitled to receive any form of payment other than your earned compensation through your date of separation and reimbursable expenses;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 the Company may terminate your employment other than for “Cause” upon written notice to you and (ii) you may terminate your employment voluntarily for “Good Reason” upon at least thirty (30) days’ prior written notice to the Company, whereupon, in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case subject to and conditioned upon your execution, delivery and non-revocation to the Company of the “Separation Agreement required under Section 6(d), the Company will: (A) pay you salary continuation payments at your then Base Salary rate for a period of nine (9) months (the “Severance Period”) following the termination of your employment, in accordance with the Company’s regularly established payroll procedure (the “Severance Payments”), (B) provided you are eligible for and timely elect to continue receiving group medical insurance pursuant to the “COBRA” law, continue to pay the share of the premium for health coverage that is paid by the Company for active and similarly-situated employees who receive the same type of coverage until the earlier of (i) the last day of the Severance Period, or (ii) the date on which you become eligible for healthcare insurance with a subsequent employer, unless the Company’s provision of such COBRA payments will violate the nondiscrimination requirements of applicable law, in which case this benefit will not apply, and (C) if not yet payable under Section 3(b) due to the Company’s consummation of a Change in Control, the Company will pay you the Retention Bonus. To the extent applicable, the Severance Payments, “COBRA” payments and Retention Bonus (if due) will commence (or, in the case of the lump-sum payment, be paid) within sixty (60) days after your termination following the date on which the Separation Agreement becomes enforceable in accordance with Section 6(d), and once they commence, will include any unpaid amounts accrued from the date of your termination; provided, that, if such sixty (60) day period spans two calendar years, then such payments in any event will commence, or if applicable, be paid in the new calendar year.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Payment of the Retention Bonus under Section 3(b) and the severance benefits provided for in Section 6(c) shall be conditioned on your executing and delivering to the Company a separation agreement, which will contain among other obligations, your full general release of all claims you may have against the Company, its affiliates and subsidiaries and each of their respective directors, officers, employees and agents and confidentiality/non-disparagement and non-compete provisions in a form and manner satisfactory to the Company (the “Separation Agreement”) within sixty (60) days following the date your employment terminates or if the Retention Bonus is earned prior to the date your employment terminates due to the Company’s consummation of a Change in Control, within sixty (60) days following the closing date of the Change in Control. The Separation Agreement must become enforceable and irrevocable on or before the sixtieth (60</w:t>
      </w:r>
      <w:r>
        <w:rPr>
          <w:rFonts w:ascii="Times New Roman" w:hAnsi="Times New Roman"/>
          <w:color w:val="000000"/>
          <w:sz w:val="16"/>
        </w:rPr>
        <w:t>th</w:t>
      </w:r>
      <w:r>
        <w:rPr>
          <w:rFonts w:ascii="Times New Roman" w:hAnsi="Times New Roman"/>
          <w:color w:val="000000"/>
          <w:sz w:val="24"/>
        </w:rPr>
        <w:t>) day following the date of termination of your employment or the Change in Control, as applicable. If you fail to execute, or subsequently revoke, the Separation Agreement, you will not be eligible to receive the Retention Bonus or the severance benefits. For clarity, if the Company consummates a Change in Control prior to the date your employment terminates, your severance benefits provided for in Section 6(c) will be predicated on your delivering a new Separation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 purposes of this letter, “Cause” means (i) your conviction of a felony, your plea of guilty or “no contest” to a felony, or your confession of guilt to a felony, in each case whether or not in connection with the performance of your duties to the Company, (ii) any act or omission by you which constitutes willful misconduct or negligence that results in loss, damage or injury to the Company or its prospects, including, but not limited to (A) disloyalty, dishonesty or a breach of fiduciary duty to the Company or its shareholders, (B) theft, fraud, embezzlement or other illegal conduct, or (C) deliberate disregard of a rule or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policy of the Company, (iii) your failure, refusal or unwillingness to perform, to the reasonable satisfaction of the Board or Company, determined in good faith, any duty or responsibility assigned to you in connection with the performance of your duties hereunder, which failure of performance continues for a period of more than two weeks after written notice thereof has been provided to you by the Company or the Board, such notice to set forth in reasonable detail the nature of such failure of performance, or (iv) the material breach by you of any of the provisions of this Agreement or the Restrictive Covenant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purposes of this letter, “Good Reason” means, in the context of your resignation from your employment position with the Company: (i) a change in the principal location at which you provide services to the Company beyond fifty (50) miles from Cambridge, MA; (ii) a reduction in your compensation or a material reduction in your benefits, except such a reduction in connection with a general reduction in compensation or other benefits of all senior executives of the Company; (iii) a material breach of this Agreement by the Company; or (iv) a failure by the Company to obtain the assumption of this letter by any successor to the Company. In order to resign for Good Reason, you must (x) provide written notice to the Board within thirty (30) days after the first occurrence of the event giving rise to Good Reason setting forth the basis for your resignation, (y) allow the Company at least thirty (30) days from receipt of such written notice to cure such event, and (z) if such event is not reasonably cured within such period, resign from all positions you then hold with the Company effective not later than thirty (30) days after the expiration of the thirty (30) day cure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of your death or permanent disability (as defined below) while you are employed by the Company, your employment hereunder shall immediately and automatically terminate and the Company shall pay to you or your personal representative or designated beneficiary or, if no beneficiary has been designated by you, to your estate, any earned and unpaid base salary, pro-rated through the date of your death or permanent disability. For purposes of this letter, “Permanent Disability” shall mean your inability, due to physical or mental illness or disease, to perform the functions then performed by you for one hundred eighty (180) consecutive days, accompanied by the likelihood, in the opinion of a physician chosen by the Company and reasonably acceptable to you, that you will be unable to perform such functions within the reasonably foreseeable future; provided that the foregoing definition shall not include a disability for which the Company is required to provide reasonable accommodation pursuant to the Americans with Disabilities Act or other similar statute or regulation.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time for payment, or schedule for payment, of any severance payments due hereunder may not be accelerated, except as provided for in the Treasury Regulations promulgated under Section 409A of the Internal Revenue Code of 1986 (the “Code”), or any law replacing or superseding such Section or regulations. Any termination of your employment triggering payment of benefits under Section 6(c) must constitute a “separation from service” under Section 409A(a)(2)(A)(i) of the Code and Treasury Regulation §1.409A-1(h) before distribution of such benefits can commence. In the case that you are deemed a “specified employee” (as defined in Section 409A(2)(B)(i) of the Code), no severance payments (including the Retention Bonus) may be made earlier than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date which is six (6) months after the termination of employment hereunder (or, if earlier, the date of your death) if and to the extent required by applicable law or other rules of any stock exchange upon which any of shares of the Company’s capital stock are then traded. It is intended that each installment of the payments and benefits provided under Section 6(c) are to be treated as a separate “payment” for purposes of Section 409A of the Code. In particular, the installment severance payments set forth in Section 6(c) shall be divided into two portions. That number of installments commencing on the first payment date set forth in Section 6(c) of this Agreement that are in the aggregate less than two times the applicable compensation limit under Section 401(a)(17) of the Code for the year in which your employment termination occurs (provided the termination of your employment is also a separation from service) shall be payable in accordance with Treasury Regulation §1.409A-1(b)(9)(iii) as an involuntary separation plan. The remainder of the installments shall be paid in accordance with Section 6(c)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General.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Entire Agreement. This letter, together with the Restrictive Covenant Agreement, will constitute our entire agreement as to your employment by or consultancy for the Company and will supersede any prior agreements or understandings, whether in writing or oral, including the following agreements between you and the Company: (i) the Employment Letter Agreement dated April 5, 2018, as amended by the Promotion Letter dated October 24, 2018 and the Appointment as Head of Finance dated November 21, 2023; (ii) the Separation Agreement dated February 16, 2024, as amended by the Amendment to the Separation Agreement dated June 28, 2024, the Amendment to the Separation Agreement dated August 5, 2024, and the Amendment to the Separation Agreement dated October 30, 2024; and (iii) the Retention Bonus Agreement dated March 1, 2024, as amended by the Amendment to the Retention Agreement dated June 28, 2024, the Amendment to the Retention Agreement dated August 5, 2024, and the Amendment to the Retention Agreement dated October 30, 2024 ((i)(ii) and (iii), the “Prior Agreements”).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Limited Release. You agree and acknowledge that by signing this Agreement, and for other good and valuable consideration provided for in this Agreement, you are waiving and releasing your right to assert any form of legal claim against the Company whatsoever for any alleged action, inaction or circumstance existing, arising from or predicated on the Prior Agreements and you have no claim against the Company and/or any of their respective officers, employees and shareholders in respect of any cause, matter or thing whatsoever (including, without limitation, claims in respect of breach of contract, expenses, remuneration, pensions or loans, whether present, future, actual, contingent or otherwise) existing, arising from or predicated on the Prior Agreements, provided, however, that you are not waiving (i) rights that cannot be released as a matter of law; (ii) your right to enforce this Agreement; (iii) your right to current vested benefits under a pension or welfare plan sponsored by the Company; or (iv) your right to currently due, but unpaid base salary.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Notices. All notices, requests, consents and other communications hereunder will be in writing, will be addressed to the receiving party’s address set forth above or to such other address as a party may designate by notice hereunder, and will be either (i) delivered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hand, (ii) sent by overnight courier, (iii) sent by registered mail, return receipt requested, postage prepaid (iv) sent by facsimile, electronic mail or electronic PDF transmission, in each case with confirmation retained. All notices, requests, consents and other communications hereunder will be deemed to have been given either (i) if by hand, at the time of the delivery thereof to the receiving party at the address of such party set forth above, (ii) if sent by overnight courier, on the next business day following the day such notice is delivered to the courier service, (iii) if sent by registered mail, on the fifth business day following the day such mailing is made or (iv) when confirmation is received, if sent by facsimile or electronic transmission.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Modifications and Amendments. The terms and provisions of this letter may be modified or amended only by written agreement executed by the parties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Waivers and Consents. The terms and provisions of this letter may be waived, or consent for the departure therefrom granted, only by written document executed by the party entitled to the benefits of such terms or provisions. No such waiver or consent will be deemed to be or will constitute a waiver or consent with respect to any other terms or provisions of this letter, whether or not similar. Each such waiver or consent will be effective only in the specific instance and for the purpose for which it was given, and will not constitute a continuing waiver or consent.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Assignment. The Company may assign its rights and obligations hereunder to any person or entity that succeeds to all or substantially all of the Company’s business or that aspect of the Company’s business in which you are principally involved. You may not assign your rights and obligations under this letter without the prior written consent of the Company and any such attempted assignment by you without the prior written consent of the Company will be void.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Benefit. All statements, representations, warranties, covenants and agreements in this letter will be binding on the parties hereto and will inure to the benefit of the respective successors and permitted assigns of each party hereto. Nothing in this letter will be construed to create any rights or obligations except between the Company and you, and no person or entity other than the Company will be regarded as a third party beneficiary of this letter.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Governing Law. This letter and the rights and obligations of the parties hereunder will be construed in accordance with and governed by the law of The Commonwealth of Massachusetts, without giving effect to the conflict of law principles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Jurisdiction, Venue and Service of Process. Any legal action or proceeding with respect to this letter will be brought in the courts of The Commonwealth of Massachusetts (or, if appropriate, a federal court located within The Commonwealth of Massachusetts). By execution and delivery of this letter, each of the parties hereto accepts for itself and in respect of its property, generally and unconditionally, the exclusive jurisdiction of the aforesaid courts.</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WAIVER OF JURY TRIAL. ANY ACTION, DEMAND, CLAIM OR COUNTERCLAIM ARISING UNDER OR RELATING TO THIS AGREEMENT WILL BE RESOLVED BY A JUDGE ALONE AND EACH OF THE COMPANY AND YOU WAIVE ANY RIGHT TO A JURY TRIAL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Counterparts. This letter may be executed in two or more counterparts, and by different parties hereto on separate counterparts, each of which will be deemed an original, but all of which together will constitute one and the same instrument.</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Sincerely,</w:t>
      </w:r>
    </w:p>
    <w:p>
      <w:pPr>
        <w:pStyle w:val="TextBody"/>
        <w:bidi w:val="0"/>
        <w:jc w:val="left"/>
        <w:rPr>
          <w:rFonts w:ascii="Times New Roman" w:hAnsi="Times New Roman"/>
          <w:color w:val="000000"/>
          <w:sz w:val="24"/>
        </w:rPr>
      </w:pPr>
      <w:r>
        <w:rPr>
          <w:rFonts w:ascii="Times New Roman" w:hAnsi="Times New Roman"/>
          <w:color w:val="000000"/>
          <w:sz w:val="24"/>
        </w:rPr>
        <w:t>SYNLOGIC, INC.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SYNLOGIC OPERATING COMPANY, INC.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w:t>
      </w:r>
    </w:p>
    <w:p>
      <w:pPr>
        <w:pStyle w:val="TextBody"/>
        <w:bidi w:val="0"/>
        <w:spacing w:before="0" w:after="24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 xml:space="preserve">/s/ Peter Barrett 12/19/2024 </w:t>
      </w:r>
    </w:p>
    <w:p>
      <w:pPr>
        <w:pStyle w:val="TextBody"/>
        <w:bidi w:val="0"/>
        <w:jc w:val="left"/>
        <w:rPr>
          <w:rFonts w:ascii="Times New Roman" w:hAnsi="Times New Roman"/>
          <w:color w:val="000000"/>
          <w:sz w:val="24"/>
        </w:rPr>
      </w:pPr>
      <w:r>
        <w:rPr>
          <w:rFonts w:ascii="Times New Roman" w:hAnsi="Times New Roman"/>
          <w:color w:val="000000"/>
          <w:sz w:val="24"/>
        </w:rPr>
        <w:t>Peter Barrett</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Chair</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Accepted and Approved:</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 xml:space="preserve">/s/ Mary Beth Dooley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Mary Beth Dooley</w:t>
      </w:r>
    </w:p>
    <w:p>
      <w:pPr>
        <w:pStyle w:val="TextBody"/>
        <w:bidi w:val="0"/>
        <w:spacing w:before="0" w:after="240"/>
        <w:jc w:val="both"/>
        <w:rPr>
          <w:rFonts w:ascii="Times New Roman" w:hAnsi="Times New Roman"/>
          <w:sz w:val="20"/>
        </w:rPr>
      </w:pPr>
      <w:r>
        <w:rPr>
          <w:rFonts w:ascii="Times New Roman" w:hAnsi="Times New Roman"/>
          <w:color w:val="000000"/>
          <w:sz w:val="24"/>
        </w:rPr>
        <w:t>Date:</w:t>
      </w:r>
      <w:r>
        <w:rPr>
          <w:rFonts w:ascii="Times New Roman" w:hAnsi="Times New Roman"/>
          <w:color w:val="000000"/>
          <w:sz w:val="20"/>
          <w:u w:val="single"/>
        </w:rPr>
        <w:t xml:space="preserve"> </w:t>
      </w:r>
      <w:r>
        <w:rPr>
          <w:rFonts w:ascii="Times New Roman" w:hAnsi="Times New Roman"/>
          <w:color w:val="000000"/>
          <w:sz w:val="24"/>
          <w:u w:val="single"/>
        </w:rPr>
        <w:t xml:space="preserve">12/19/2024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FFFFFF"/>
          <w:sz w:val="18"/>
        </w:rPr>
        <w:t>DOCPROPERTY DOCXDOCID DMS=IManage Format=&lt;&lt;NUM&gt;&gt;v.&lt;&lt;VER&gt;&gt; \* MERGEFORMAT</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4"/>
        </w:rPr>
      </w:pPr>
      <w:bookmarkStart w:id="50" w:name="sybx-ex19_1.htm"/>
      <w:bookmarkStart w:id="51" w:name="kssybxex19_1"/>
      <w:bookmarkEnd w:id="50"/>
      <w:bookmarkEnd w:id="51"/>
      <w:r>
        <w:rPr>
          <w:rFonts w:ascii="Times New Roman" w:hAnsi="Times New Roman"/>
          <w:b/>
          <w:color w:val="000000"/>
          <w:sz w:val="24"/>
        </w:rPr>
        <w:t>Exhibit 19.1</w:t>
      </w:r>
      <w:r>
        <w:br w:type="page"/>
      </w:r>
    </w:p>
    <w:p>
      <w:pPr>
        <w:pStyle w:val="TextBody"/>
        <w:bidi w:val="0"/>
        <w:spacing w:before="0" w:after="240"/>
        <w:jc w:val="center"/>
        <w:rPr/>
      </w:pPr>
      <w:r>
        <w:rPr/>
        <w:drawing>
          <wp:inline distT="0" distB="0" distL="0" distR="0">
            <wp:extent cx="1914525" cy="714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43"/>
                    <a:stretch>
                      <a:fillRect/>
                    </a:stretch>
                  </pic:blipFill>
                  <pic:spPr bwMode="auto">
                    <a:xfrm>
                      <a:off x="0" y="0"/>
                      <a:ext cx="1914525" cy="714375"/>
                    </a:xfrm>
                    <a:prstGeom prst="rect">
                      <a:avLst/>
                    </a:prstGeom>
                  </pic:spPr>
                </pic:pic>
              </a:graphicData>
            </a:graphic>
          </wp:inline>
        </w:drawing>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INSIDER TRADING POLICY</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Updated June 2023</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1.</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BACKGROUND AND PURPOSE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Why Have We Adopted This Policy?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federal securities laws prohibit any member of the Board of Directors (a “Director”) or employee of the Company (including its subsidiaries) from purchasing or selling Company securities on the basis of material non-public information concerning the Company, or from tipping material non-public information to others. These laws impose severe sanctions on individuals who violate them. In addition, the SEC has the authority to impose large fines on the Company and on the Company’s Directors, executive officers and controlling stockholders if the Company’s employees engage in insider trading and the Company has failed to take appropriate steps to prevent it (so-called “controlling person” liability).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insider trading policy is being adopted in light of these legal requirements, and with the goal of helping:</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prevent inadvertent violations of the insider trading laws;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avoid embarrassing proxy disclosure of reporting violations by persons subject to Section 16 of the Securities Exchange Act of 1934 (the “Exchange Act”);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avoid even the appearance of impropriety on the part of those employed by, or associated with, the Company;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protect the Company from controlling person liability;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protect the reputation of the Company, its Directors and its employees.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detailed below, this policy applies to family members and certain other persons and entities with whom Directors, employees, and consultants have relationships. However, nothing in this policy is applicable to transactions by the Company itself.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What Type of Information Is “Material”?</w:t>
      </w:r>
    </w:p>
    <w:p>
      <w:pPr>
        <w:pStyle w:val="TextBody"/>
        <w:bidi w:val="0"/>
        <w:spacing w:before="0" w:after="240"/>
        <w:jc w:val="left"/>
        <w:rPr>
          <w:rFonts w:ascii="Times New Roman" w:hAnsi="Times New Roman"/>
          <w:sz w:val="20"/>
        </w:rPr>
      </w:pPr>
      <w:r>
        <w:rPr>
          <w:rFonts w:ascii="Times New Roman" w:hAnsi="Times New Roman"/>
          <w:color w:val="000000"/>
          <w:sz w:val="24"/>
        </w:rPr>
        <w:t>Information concerning the Company is considered material if there is a substantial likelihood that a reasonable stockholder would consider the information important in making an investment decision with respect to the Company’s securities. Stated another way, there must be a substantial likelihood that a reasonable stockholder would view the information as having significantly altered the “total mix” of information available about the Company. Material</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information can include positive or negative information about the Company. Information concerning any of the following subjects, or the Company’s plans with respect to any of these subjects, would often be considered material:</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Company’s revenues or earnings;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information related to the results of clinical trials;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communications sent to or received from the U.S. Food and Drug Administration or the European Medicines Agency or other similar regulatory agencies;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negotiation or execution of any significant new agreement, or changes to an existing agreement;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significant merger or acquisition involving the Company;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change in control of the Company;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significant change in the management or the Board of Directors of the Company;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significant cybersecurity incident;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public or private sale of a significant amount of securities of the Company;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Company’s decision to commence or terminate the payment of cash dividends;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establishment of a stock repurchase program;</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stock split;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default on outstanding debt or preferred stock;</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bankruptcy filing;</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new product release or a significant development, invention or discovery;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loss, delay or gain of a significant contract, sale or order or other important development regarding customers or suppliers;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 conclusion by the Company or a notification from its independent auditor that any of the Company’s previously issued financial statements should no longer be relied upon;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change in the Company’s independent auditor; or</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other items that require the filing of a Current Report on Form 8-K with the SEC.</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list is illustrative only and is not intended to provide a comprehensive list of circumstances that could give rise to material information. In determining whether information is material, the SEC and other regulators will view the information after-the-fact with the benefit of hindsight. As a result, in determining whether any information is material, the Company will, and any Covered Person (as defined below) considering a trade in Company securities should, carefully consider whether regulators and others might view the information as being material in hindsight, with the benefit of all relevant information that later becomes available. For example, if there is a significant change in the Company’s stock price following release of certain information, that information will likely be determined to have been material when viewed with the benefit of hindsight.</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When Is Information “Non-public”?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Information concerning the Company is considered non-public if it has not been disseminated in a manner making it available to investors generally.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Information will generally be considered non-public unless (1) the information has been disclosed in a press release, in a public filing made with the Securities and Exchange Commission (such as a Report on Form 10-K, Form 10-Q, or Form 8-K, through a news wire service or daily newspaper of wide circulation or, in some circumstances, on the Company’s website, and (2) a sufficient amount of time has passed so that the information has had an opportunity to be digested by the marketplace.</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2.</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PROHIBITIONS RELATING TO TRANSACTIONS IN THE COMPANY’S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left"/>
        <w:rPr/>
      </w:pPr>
      <w:r>
        <w:rPr>
          <w:rFonts w:ascii="Times New Roman" w:hAnsi="Times New Roman"/>
          <w:color w:val="000000"/>
          <w:sz w:val="24"/>
          <w:u w:val="single"/>
        </w:rPr>
        <w:t>Covered Persons</w:t>
      </w:r>
      <w:r>
        <w:rPr>
          <w:rFonts w:ascii="Times New Roman" w:hAnsi="Times New Roman"/>
          <w:color w:val="000000"/>
          <w:sz w:val="24"/>
        </w:rPr>
        <w:t>. This Section 2 applies to:</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Directors;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employees;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consultants;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family members of Directors, employees, and consultants who share the same address as, or are financially dependent on, the Director, employee, or consultant and any other person who shares the same address as the Director, employee or consultant (other than (x) an employee or tenant of the Director, employee, or consultant or (y) another unrelated person whom the Chief Financial Officer determines should not be covered by this policy);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corporations, partnerships, trusts or other entities controlled by any of the above persons, unless the entity has implemented policies or procedures designed to ensure that such person cannot influence transactions by the entity involving Company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left"/>
        <w:rPr/>
      </w:pPr>
      <w:r>
        <w:rPr>
          <w:rFonts w:ascii="Times New Roman" w:hAnsi="Times New Roman"/>
          <w:color w:val="000000"/>
          <w:sz w:val="24"/>
          <w:u w:val="single"/>
        </w:rPr>
        <w:t>Prohibition on Trading While Aware of Material Non-public Information</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Prohibited Activities</w:t>
      </w:r>
      <w:r>
        <w:rPr>
          <w:rFonts w:ascii="Times New Roman" w:hAnsi="Times New Roman"/>
          <w:color w:val="000000"/>
          <w:sz w:val="24"/>
        </w:rPr>
        <w:t>. Except as provided in Section 4, no person or entity covered by Section 2 may: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purchase, sell or donate any securities of the Company while he or she is aware of any material non-public information concerning the Company or recommend to another person that they do so;</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disclose to any other person any material non-public information concerning the Company if such person may misuse that information, such as by purchasing or selling Company securities or tipping that information to others;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purchase, sell or donate any securities of another company while he or she is aware of any material non-public information concerning such other company which he or she learned in the course of his or her service as a Director, employee, or consultant of the Company or recommend to another person that they do so; or</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disclose to any other person any material non-public information concerning another company which he or she learned in the course of his or her service as a Director, employee, or consultant of the Company if such person may misuse that information, such as by purchasing or selling securities of such other company or tipping that information to others.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Application of Policy After Cessation of Service</w:t>
      </w:r>
      <w:r>
        <w:rPr>
          <w:rFonts w:ascii="Times New Roman" w:hAnsi="Times New Roman"/>
          <w:color w:val="000000"/>
          <w:sz w:val="24"/>
        </w:rPr>
        <w:t>. If a person ceases to be a Director, employee, or consultant of the Company at a time when he or she is aware of material non-public information concerning the Company, the prohibition on purchases, sales or donations of Company securities in Section 2.2(a) shall continue to apply to such person until that information has become public or is no longer material.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left"/>
        <w:rPr/>
      </w:pPr>
      <w:r>
        <w:rPr>
          <w:rFonts w:ascii="Times New Roman" w:hAnsi="Times New Roman"/>
          <w:color w:val="000000"/>
          <w:sz w:val="24"/>
          <w:u w:val="single"/>
        </w:rPr>
        <w:t>Prohibition on Pledges</w:t>
      </w:r>
      <w:r>
        <w:rPr>
          <w:rFonts w:ascii="Times New Roman" w:hAnsi="Times New Roman"/>
          <w:color w:val="000000"/>
          <w:sz w:val="24"/>
        </w:rPr>
        <w:t>. No person or entity covered by this Section 2 may at any time purchase Company securities on margin, borrow against Company securities held in a margin account, or pledge Company securities as collateral for a loan. However, an exception may be granted where a person wishes to pledge Company securities as collateral for a loan (other than a margin loan) and clearly demonstrates the financial capacity to repay the loan without resort to the pledged securities. Any person who wishes to pledge Company securities as collateral for a loan must submit a request for approval to the Chief Financial Officer. In addition, any such request by a Director or executive officer of the Company must also be reviewed and approved by the Audit Committee of the Board of Directors.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left"/>
        <w:rPr/>
      </w:pPr>
      <w:r>
        <w:rPr>
          <w:rFonts w:ascii="Times New Roman" w:hAnsi="Times New Roman"/>
          <w:color w:val="000000"/>
          <w:sz w:val="24"/>
          <w:u w:val="single"/>
        </w:rPr>
        <w:t>Prohibition on Short Sales and Derivative Transactions</w:t>
      </w:r>
      <w:r>
        <w:rPr>
          <w:rFonts w:ascii="Times New Roman" w:hAnsi="Times New Roman"/>
          <w:color w:val="000000"/>
          <w:sz w:val="24"/>
        </w:rPr>
        <w:t>. No person or entity covered by this Section 2 may engage at any time in any of the following types of transactions: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short sales of Company securities, including short sales “against the box”;</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purchases or sales of puts, calls or other derivative securities based on the Company’s securities; or</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purchases of financial instruments (including prepaid variable forward contracts, equity swaps, collars and exchange funds) that are designed to hedge or offset any decrease in the market value of Company securities.</w:t>
      </w:r>
    </w:p>
    <w:p>
      <w:pPr>
        <w:pStyle w:val="TextBody"/>
        <w:bidi w:val="0"/>
        <w:jc w:val="left"/>
        <w:rPr>
          <w:rFonts w:ascii="Times New Roman" w:hAnsi="Times New Roman"/>
          <w:sz w:val="20"/>
        </w:rPr>
      </w:pPr>
      <w:r>
        <w:rPr>
          <w:rFonts w:ascii="Times New Roman" w:hAnsi="Times New Roman"/>
          <w:color w:val="000000"/>
          <w:sz w:val="24"/>
        </w:rPr>
        <w:t xml:space="preserve">2.5 </w:t>
      </w:r>
      <w:r>
        <w:rPr>
          <w:rFonts w:ascii="Times New Roman" w:hAnsi="Times New Roman"/>
          <w:color w:val="000000"/>
          <w:sz w:val="24"/>
          <w:u w:val="single"/>
        </w:rPr>
        <w:t>Personal or Independent Reasons Are Not Exceptions</w:t>
      </w:r>
      <w:r>
        <w:rPr>
          <w:rFonts w:ascii="Times New Roman" w:hAnsi="Times New Roman"/>
          <w:i/>
          <w:color w:val="000000"/>
          <w:sz w:val="24"/>
        </w:rPr>
        <w:t xml:space="preserve">. </w:t>
      </w:r>
      <w:r>
        <w:rPr>
          <w:rFonts w:ascii="Times New Roman" w:hAnsi="Times New Roman"/>
          <w:color w:val="000000"/>
          <w:sz w:val="24"/>
        </w:rPr>
        <w:t>Transactions in the Company’s securities that may be necessary or justifiable for independent reasons (such as the need to raise money for an emergency expenditure) are no exception. Even the appearance of an improper transaction must be avoided to preserve the Company’s reputation for adhering to the highest standards of conduct.</w:t>
      </w:r>
    </w:p>
    <w:p>
      <w:pPr>
        <w:pStyle w:val="TextBody"/>
        <w:bidi w:val="0"/>
        <w:jc w:val="left"/>
        <w:rPr/>
      </w:pPr>
      <w:r>
        <w:rPr/>
        <w:t> </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3.</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ADDITIONAL PROHIBITIONS APPLICABLE TO DIRECTORS, EXECUTIVE OFFICERS AND DESIGNATED EMPLOYEES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left"/>
        <w:rPr/>
      </w:pPr>
      <w:r>
        <w:rPr>
          <w:rFonts w:ascii="Times New Roman" w:hAnsi="Times New Roman"/>
          <w:color w:val="000000"/>
          <w:sz w:val="24"/>
          <w:u w:val="single"/>
        </w:rPr>
        <w:t>Covered Persons</w:t>
      </w:r>
      <w:r>
        <w:rPr>
          <w:rFonts w:ascii="Times New Roman" w:hAnsi="Times New Roman"/>
          <w:color w:val="000000"/>
          <w:sz w:val="24"/>
        </w:rPr>
        <w:t>. Section 3 applies to:</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Directors;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executive officers;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such other employees or consultants as are designated from time to time by the Board of Directors, the Chief Executive Officer or the Chief Financial Officer as being subject to this Section 3 (the “Designated Employees”);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family members of Directors, executive officers and Designated Employees who share the same address as, or are financially dependent on, the Director, executive officer or Designated Employee and any other person who shares the same address as the Director, executive officer or Designated Employee (other than (x) an employee or tenant of the Director, executive officer or Designated Employee or (y) another unrelated person whom the Chief Financial Officer determines should not be covered by this policy);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corporations, partnerships, trusts or other entities controlled by any of the above persons, unless the entity has implemented policies or procedures designed to ensure that such person cannot influence transactions by the entity involving Company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left"/>
        <w:rPr/>
      </w:pPr>
      <w:r>
        <w:rPr>
          <w:rFonts w:ascii="Times New Roman" w:hAnsi="Times New Roman"/>
          <w:color w:val="000000"/>
          <w:sz w:val="24"/>
          <w:u w:val="single"/>
        </w:rPr>
        <w:t>Blackout Periods</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Regular Blackout Periods</w:t>
      </w:r>
      <w:r>
        <w:rPr>
          <w:rFonts w:ascii="Times New Roman" w:hAnsi="Times New Roman"/>
          <w:color w:val="000000"/>
          <w:sz w:val="24"/>
        </w:rPr>
        <w:t>. Except as provided in Section 4, no person or entity covered by this Section 3 may purchase, sell or donate any securities of the Company during the period beginning two business days prior to the end of each fiscal quarter and ending upon the completion of the second full trading day after the public announcement of earnings for such quarter (a “regular blackout period”).</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Corporate News Blackout Periods</w:t>
      </w:r>
      <w:r>
        <w:rPr>
          <w:rFonts w:ascii="Times New Roman" w:hAnsi="Times New Roman"/>
          <w:color w:val="000000"/>
          <w:sz w:val="24"/>
        </w:rPr>
        <w:t>. The Company may from time to time notify Directors, executive officers and other specified employees or consultants that an additional blackout period (a “corporate news blackout period”) is in effect in view of significant events or developments involving the Company. In such event, except as provided in Section 4, no such individual may purchase, sell or donate any securities of the Company during such corporate news blackout period or inform anyone else that a corporate news blackout period is in effect. (In this policy, regular blackout periods and corporate news blackout periods are each referred to as a “blackout period.”)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3.3</w:t>
      </w:r>
    </w:p>
    <w:p>
      <w:pPr>
        <w:pStyle w:val="TextBody"/>
        <w:bidi w:val="0"/>
        <w:spacing w:before="0" w:after="240"/>
        <w:jc w:val="left"/>
        <w:rPr/>
      </w:pPr>
      <w:r>
        <w:rPr>
          <w:rFonts w:ascii="Times New Roman" w:hAnsi="Times New Roman"/>
          <w:color w:val="000000"/>
          <w:sz w:val="24"/>
          <w:u w:val="single"/>
        </w:rPr>
        <w:t>Notice and Pre-Clearance of Transactions</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Pre-Transaction Clearance</w:t>
      </w:r>
      <w:r>
        <w:rPr>
          <w:rFonts w:ascii="Times New Roman" w:hAnsi="Times New Roman"/>
          <w:color w:val="000000"/>
          <w:sz w:val="24"/>
        </w:rPr>
        <w:t>. No person or entity covered by this Section 3 (a “Pre-Clearance Person”) may purchase or sell or otherwise acquire or dispose of securities of the Company, other than in a transaction permitted under Section 4, unless such person pre-clears the transaction with the Chief Financial Officer. A request for pre-clearance shall be made in accordance with the procedures established by the Chief Financial Officer. The Chief Financial Officer shall have sole discretion to decide whether to clear any contemplated transaction. Neither the Company nor the Chief Financial Officer or his or her designee shall be liable for any delays that may occur due to the pre-clearance process. All trades that are pre-cleared must be effected within five business days of receipt of the pre-clearance unless a specific exception has been granted by the Chief Financial Officer. A pre-cleared trade (or any portion of a pre-cleared trade) that has not been effected during the five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pStyle w:val="TextBody"/>
        <w:bidi w:val="0"/>
        <w:jc w:val="left"/>
        <w:rPr>
          <w:rFonts w:ascii="Times New Roman" w:hAnsi="Times New Roman"/>
          <w:b/>
          <w:color w:val="000000"/>
          <w:sz w:val="24"/>
        </w:rPr>
      </w:pPr>
      <w:r>
        <w:rPr>
          <w:rFonts w:ascii="Times New Roman" w:hAnsi="Times New Roman"/>
          <w:b/>
          <w:color w:val="000000"/>
          <w:sz w:val="24"/>
        </w:rPr>
        <w:t>Please note that pre-clearance does not provide immunity from investigation or suit, for which it is the responsibility of the individual to comply with federal securities regulations.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Post-Transaction Notice</w:t>
      </w:r>
      <w:r>
        <w:rPr>
          <w:rFonts w:ascii="Times New Roman" w:hAnsi="Times New Roman"/>
          <w:color w:val="000000"/>
          <w:sz w:val="24"/>
        </w:rPr>
        <w:t>. Each person or entity covered by this Section 3 who is subject to reporting obligations under Section 16 of the Exchange Act shall also notify the Chief Financial Officer (or his or her designee) of the occurrence of any purchase, sale or other acquisition or disposition of securities of the Company as soon as possible following the transaction, but in any event within one business day after the transaction. Such notification may be oral or in writing (including by email) and should include the identity of the covered person, the type of transaction, the date of the transaction, the number of shares involved and the purchase or sale price.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Deemed Time of a Transaction</w:t>
      </w:r>
      <w:r>
        <w:rPr>
          <w:rFonts w:ascii="Times New Roman" w:hAnsi="Times New Roman"/>
          <w:color w:val="000000"/>
          <w:sz w:val="24"/>
        </w:rPr>
        <w:t>. For purposes of this Section 3.3, a purchase, sale or other acquisition or disposition shall be deemed to occur at the time the person becomes irrevocably committed to it (for example, in the case of an open market purchase or sale, this occurs when the trade is executed, not when it settles).</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4.</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EXCEPTIONS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4.1</w:t>
      </w:r>
    </w:p>
    <w:p>
      <w:pPr>
        <w:pStyle w:val="TextBody"/>
        <w:bidi w:val="0"/>
        <w:spacing w:before="0" w:after="240"/>
        <w:jc w:val="left"/>
        <w:rPr/>
      </w:pPr>
      <w:r>
        <w:rPr>
          <w:rFonts w:ascii="Times New Roman" w:hAnsi="Times New Roman"/>
          <w:color w:val="000000"/>
          <w:sz w:val="24"/>
          <w:u w:val="single"/>
        </w:rPr>
        <w:t>Exceptions</w:t>
      </w:r>
      <w:r>
        <w:rPr>
          <w:rFonts w:ascii="Times New Roman" w:hAnsi="Times New Roman"/>
          <w:color w:val="000000"/>
          <w:sz w:val="24"/>
        </w:rPr>
        <w:t>. The prohibitions in Sections 2.2(a) and 3.2 on purchases, sales and donations of Company securities do not apply to:</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color w:val="000000"/>
          <w:sz w:val="24"/>
        </w:rPr>
        <w:t>Except as provided in Section 4.2 below</w:t>
      </w:r>
      <w:r>
        <w:rPr>
          <w:rFonts w:ascii="Times New Roman" w:hAnsi="Times New Roman"/>
          <w:color w:val="000000"/>
          <w:sz w:val="16"/>
        </w:rPr>
        <w:t>1</w:t>
      </w:r>
      <w:r>
        <w:rPr>
          <w:rFonts w:ascii="Times New Roman" w:hAnsi="Times New Roman"/>
          <w:color w:val="000000"/>
          <w:sz w:val="24"/>
        </w:rPr>
        <w:t>, exercises of stock options or other equity awards or the surrender of shares to the Company in payment of the exercise price or in satisfaction of any tax withholding obligations, in each case in a manner permitted by the applicable equity award agreement; provided, however, that the securities so acquired may not be sold (either outright or in connection with a “cashless” exercise transaction through a broker) while the Director, employee, or consultant is aware of material non-public information or, in the case of someone who is subject to Section 3, during a blackout period;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acquisitions or dispositions of Company common stock under the Company’s 401(k) or other individual account plan that are made pursuant to standing instructions not entered into or modified while the Director, employee, or consultant is aware of material non-public information or, in the case of someone who is subject to Section 3, during a blackout period;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other purchases of securities from the Company (including purchases under the Company’s Employee Stock Purchase Plan) or sales of securities to the Company;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bona fide gifts, unless the Director, employee, or consultant making the gift has reason to believe that the recipient intends to sell the securities while such Director, employee, or consultant is aware of material non-public information or, if such Director, employee, or consultant is subject to Section 3, during a blackout period applicable to such Director, employee, or consultant;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transactions pursuant to Section 4.3, below.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4.2</w:t>
      </w:r>
    </w:p>
    <w:p>
      <w:pPr>
        <w:pStyle w:val="TextBody"/>
        <w:bidi w:val="0"/>
        <w:spacing w:before="0" w:after="240"/>
        <w:jc w:val="left"/>
        <w:rPr/>
      </w:pPr>
      <w:r>
        <w:rPr>
          <w:rFonts w:ascii="Times New Roman" w:hAnsi="Times New Roman"/>
          <w:color w:val="000000"/>
          <w:sz w:val="24"/>
          <w:u w:val="single"/>
        </w:rPr>
        <w:t>Rule 10b5-1 Trading Plans</w:t>
      </w:r>
      <w:r>
        <w:rPr>
          <w:rFonts w:ascii="Times New Roman" w:hAnsi="Times New Roman"/>
          <w:color w:val="000000"/>
          <w:sz w:val="24"/>
        </w:rPr>
        <w:t>. Nothing in this policy is intended to limit the ability to effect transactions in the Company’s securities pursuant to approved trading plans established under Rule 10b5-1 of the Exchange Act (“Trading Plans”), which may include transactions during prohibited periods. A Trading Plan must be approved by the Chief Financial Officer or their designee and meet the requirements of Rule 10b5-1 and the following requirements and guidelines: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4"/>
        </w:rPr>
        <w:t>Adoption</w:t>
      </w:r>
      <w:r>
        <w:rPr>
          <w:rFonts w:ascii="Times New Roman" w:hAnsi="Times New Roman"/>
          <w:color w:val="000000"/>
          <w:sz w:val="24"/>
        </w:rPr>
        <w:t>. Since adopting a plan is tantamount to an investment decision, the Trading Plan may be adopted only during an open trading window when both (a) transactions in Company securities are otherwise permitted under this Policy and (b) the person or entity adopting such plan does not possess any material non-public information. Disclosure regarding the plan’s adoption may, at the Company’s discretion, be made through a press release or Current Report on Form 8-K.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Note that this is meant to clarify that the restrictions on 10b5-1 plans related to sales made to cover taxes in connection with the exercise of stock options remains applicable.</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4"/>
        </w:rPr>
        <w:t>Cooling-Off Period</w:t>
      </w:r>
      <w:r>
        <w:rPr>
          <w:rFonts w:ascii="Times New Roman" w:hAnsi="Times New Roman"/>
          <w:color w:val="000000"/>
          <w:sz w:val="24"/>
        </w:rPr>
        <w:t>. A director or officer of the Company may not adopt a Trading Plan unless the Trading Plan provides that trading under the plan will not begin until the later of (a) 90 days after the adoption of the Trading Plan or (b) two business days following the disclosure of the Company’s financial results in a Form 10-Q or Form 10-K for the completed fiscal quarter in which the Trading Plan was adopted (provided, however, that the required cooling-off period shall not exceed 120 days after the adoption of the Trading Plan), and Covered Persons other than directors and officers of the Company may not adopt a Trading Plan unless the Trading Plan provides that trading under the plan will not begin until 30 days after the adoption of the Trading Plan (in each case, the “Cooling-Off Period”). The purpose of the Cooling-Off Period is to provide a separation in time between the adoption of the Trading Plan and the commencement of trading under the Trading Plan so as to minimize the ability to benefit from any material non-public information.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4"/>
        </w:rPr>
        <w:t>Plan Modifications</w:t>
      </w:r>
      <w:r>
        <w:rPr>
          <w:rFonts w:ascii="Times New Roman" w:hAnsi="Times New Roman"/>
          <w:color w:val="000000"/>
          <w:sz w:val="24"/>
        </w:rPr>
        <w:t>. Plan modifications, even if made prior to receiving material non-public information, may create the perception that the Covered Person is manipulating the plan to benefit from material non-public information, which jeopardizes the good faith element and the availability of the affirmative defense under Rule 10b5-1. Therefore, any modification or change to the amount, price, or timing of the purchase or sale of Company securities (or a modification or change to a written formula or algorithm, or computer program that affects the amount, price, or timing of the purchase or sale of Company securities) underlying a Trading Plan will be deemed a termination of such Trading Plan and the adoption of a new Trading Plan, and such new adoption triggers a new Cooling-Off Period. Any modification to a Trading Plan that does not change the sales or purchase prices or price ranges, the amount of Company securities to be sold or purchased, or the timing of transactions under a Trading Plan (such as an adjustment for stock splits or a change in account information) will not trigger a new Cooling-Off Period. The Covered Person should avoid frequent modifications of Trading Plans because this could raise concern about good faith with respect to the plan. Any modification of a Trading Plan requires the preapproval of the Chief Financial Officer or their designee.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4"/>
        </w:rPr>
        <w:t>Certification</w:t>
      </w:r>
      <w:r>
        <w:rPr>
          <w:rFonts w:ascii="Times New Roman" w:hAnsi="Times New Roman"/>
          <w:color w:val="000000"/>
          <w:sz w:val="24"/>
        </w:rPr>
        <w:t>. When adopting or modifying a Trading Plan, each director and officer of the Company is required to include a representation in the Trading Plan certifying that at the time of adoption of a new or modified Trading Plan, the director or officer (a) is not aware of material non-public information about the Company or its securities, and (b) is adopting the Trading Plan in good faith and not as part of a plan or scheme to evade the prohibitions of Rule 10b-5. Additionally, all Covered Persons entering into a Trading Plan must act in good faith with respect to that Trading Plan during its term.</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4"/>
        </w:rPr>
        <w:t>Multiple Overlapping Trading Plans</w:t>
      </w:r>
      <w:r>
        <w:rPr>
          <w:rFonts w:ascii="Times New Roman" w:hAnsi="Times New Roman"/>
          <w:color w:val="000000"/>
          <w:sz w:val="24"/>
        </w:rPr>
        <w:t>. Covered Persons are not permitted to have multiple Trading Plans in operation unless permitted by SEC rules and regulations and approved in writing by the Chief Financial Officer or their designee. Covered Persons may not have another outstanding (and may not subsequently enter into any additional) Trading Plan for purchases or sales of Company securities on the open market during the same period except as follows:</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jc w:val="left"/>
        <w:rPr>
          <w:rFonts w:ascii="Times New Roman" w:hAnsi="Times New Roman"/>
          <w:color w:val="000000"/>
          <w:sz w:val="24"/>
        </w:rPr>
      </w:pPr>
      <w:r>
        <w:rPr>
          <w:rFonts w:ascii="Times New Roman" w:hAnsi="Times New Roman"/>
          <w:color w:val="000000"/>
          <w:sz w:val="24"/>
        </w:rPr>
        <w:t xml:space="preserve">A series of separate contracts with different broker-dealers or other agents acting on behalf of the Covered Person to execute trades thereunder may be treated as a single Trading Plan provided that the individual constituent contracts with each broker-dealer or other agent, when taken together as a whole, meet all of the applicable conditions of and remain collectively subject to the provisions of Rule 10b5-1(c)(1), including that a modification of any individual Trading Plan acts as modification of the whole Trading Plan.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jc w:val="left"/>
        <w:rPr>
          <w:rFonts w:ascii="Times New Roman" w:hAnsi="Times New Roman"/>
          <w:color w:val="000000"/>
          <w:sz w:val="24"/>
        </w:rPr>
      </w:pPr>
      <w:r>
        <w:rPr>
          <w:rFonts w:ascii="Times New Roman" w:hAnsi="Times New Roman"/>
          <w:color w:val="000000"/>
          <w:sz w:val="24"/>
        </w:rPr>
        <w:t>Covered Persons may have one later-commencing Trading Plan for purchases or sales of Company securities on the open market under which trading is not authorized to begin until after all trades under the earlier-commencing Trading Plan are completed or expired without execution, provided, however, that if the first trade under the later-commencing Trading Plan is scheduled during the Effective Cooling-Off Period (as defined below), the later-commencing Trading Plan may not rely upon this exception. The “Effective Cooling-Off Period” means the cooling-off period that would be applicable to the later commencing Trading Plan if the date of adoption of the later-commencing Trading Plan were deemed to be the date of termination of the earlier-commencing Trading Plan.</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jc w:val="left"/>
        <w:rPr>
          <w:rFonts w:ascii="Times New Roman" w:hAnsi="Times New Roman"/>
          <w:color w:val="000000"/>
          <w:sz w:val="24"/>
        </w:rPr>
      </w:pPr>
      <w:r>
        <w:rPr>
          <w:rFonts w:ascii="Times New Roman" w:hAnsi="Times New Roman"/>
          <w:color w:val="000000"/>
          <w:sz w:val="24"/>
        </w:rPr>
        <w:t>Covered Persons may enter into a Trading Plan that provides for an eligible sell-to-cover transaction, which is a Trading Plan that authorizes an agent to sell only such Company securities as are necessary to satisfy tax withholding obligations arising exclusively from the vesting of a compensatory award, and the Covered Person does not otherwise exercise control over the timing of such sales (“Sell-To-Cover Trading Plan”). This foregoing exception does not apply to sales made to cover taxes in connection with the exercise of stock option awards.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4"/>
        </w:rPr>
        <w:t>Restrictions on Single-Trade Plans</w:t>
      </w:r>
      <w:r>
        <w:rPr>
          <w:rFonts w:ascii="Times New Roman" w:hAnsi="Times New Roman"/>
          <w:color w:val="000000"/>
          <w:sz w:val="24"/>
        </w:rPr>
        <w:t xml:space="preserve">. Covered Persons may not have more than one single-trade Trading Plan during any 12-month period except for Sell-To-Cover Trading Plans. A single-trade Trading Plan is one designed to effect the purchase or sale of securities as a single transaction.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4"/>
        </w:rPr>
        <w:t>Early Plan Terminations</w:t>
      </w:r>
      <w:r>
        <w:rPr>
          <w:rFonts w:ascii="Times New Roman" w:hAnsi="Times New Roman"/>
          <w:color w:val="000000"/>
          <w:sz w:val="24"/>
        </w:rPr>
        <w:t>. It is not advisable for Covered Persons to terminate Trading Plans except in unusual circumstances. If a plan is terminated, disclosure regarding such termination may, at the Company’s discretion, be made through a press release or Current Report on Form 8-K. Furthermore, in the event a Covered Person terminates a Trading Plan, the Company requires that the Covered Person be subject to the required Cooling-Off Period before engaging in any new transactions in Company securities or adopting a new Trading Plan. Any early termination of a Trading Plan requires the preapproval of the Chief Financial Officer or their designee.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4"/>
        </w:rPr>
        <w:t>Transactions Outside the Plan</w:t>
      </w:r>
      <w:r>
        <w:rPr>
          <w:rFonts w:ascii="Times New Roman" w:hAnsi="Times New Roman"/>
          <w:color w:val="000000"/>
          <w:sz w:val="24"/>
        </w:rPr>
        <w:t xml:space="preserve">. Covered Persons are strongly advised not to engage in transactions in Company securities outside of Trading Plans once a Trading Plan has been established. Transacting in Company securities outside of a Trading Plan poses numerous risks, including that (a) the Rule 10b5-1 affirmative defense will not apply to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transactions of Company securities made outside of the plan and (b) such transactions could be interpreted as a hedging transaction, which would nullify the affirmative defense. Further, Covered Persons should not sell Company securities that have been designated as Rule 10b5-1 plan securities because any such sale may be deemed a modification of the plan. If the Covered Person is subject to the volume limitations of Rule 144, the sale of Company Securities outside the Rule 10b5-1 Plan could effectively reduce the number of shares that could be sold under the plan, which could be deemed an impermissible modification of the plan.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4"/>
        </w:rPr>
        <w:t>Company Rights</w:t>
      </w:r>
      <w:r>
        <w:rPr>
          <w:rFonts w:ascii="Times New Roman" w:hAnsi="Times New Roman"/>
          <w:color w:val="000000"/>
          <w:sz w:val="24"/>
        </w:rPr>
        <w:t xml:space="preserve">. The Company has the right at any time to require additional and/or different requirements in connection with the modification or termination of a Trading Plan in order to protect the Covered Person and the Company from potential liability. The Company also has the right at any time to require any Covered Person to (a) terminate or suspend a Trading Plan, (b) include additional provisions in a Trading Plan, or (c) delete or amend any existing provisions of a Trading Plan, in each case to the extent reasonably necessary to protect the Covered Person and/or the Company.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4"/>
        </w:rPr>
        <w:t>Quarterly Disclosure of Trading Arrangements</w:t>
      </w:r>
      <w:r>
        <w:rPr>
          <w:rFonts w:ascii="Times New Roman" w:hAnsi="Times New Roman"/>
          <w:color w:val="000000"/>
          <w:sz w:val="24"/>
        </w:rPr>
        <w:t>. In accordance with SEC rules and regulations, the Company will disclose in Form 10-Qs and Form 10-Ks whether, during the Company’s last fiscal quarter, any director or officer adopted or terminated (a) a Trading Plan for the purchase or sale of Company securities that is intended to satisfy the affirmative defense conditions of Rule 10b5-1(c) or (b) a non-Rule 10b5-1 trading arrangement. In such disclosure, the Company will provide a description of the material terms of such trading arrangement, including the name and title of the director or officer, the date of adoption or termination of the trading arrangement, the duration of the trading arrangement, and the aggregate number of Company securities to be sold or purchased under the trading arrangement.</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4.3</w:t>
      </w:r>
    </w:p>
    <w:p>
      <w:pPr>
        <w:pStyle w:val="TextBody"/>
        <w:bidi w:val="0"/>
        <w:spacing w:before="0" w:after="240"/>
        <w:jc w:val="left"/>
        <w:rPr/>
      </w:pPr>
      <w:r>
        <w:rPr>
          <w:rFonts w:ascii="Times New Roman" w:hAnsi="Times New Roman"/>
          <w:color w:val="000000"/>
          <w:sz w:val="24"/>
          <w:u w:val="single"/>
        </w:rPr>
        <w:t>Partnership Distributions</w:t>
      </w:r>
      <w:r>
        <w:rPr>
          <w:rFonts w:ascii="Times New Roman" w:hAnsi="Times New Roman"/>
          <w:color w:val="000000"/>
          <w:sz w:val="24"/>
        </w:rPr>
        <w:t>. 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4.4</w:t>
      </w:r>
    </w:p>
    <w:p>
      <w:pPr>
        <w:pStyle w:val="TextBody"/>
        <w:bidi w:val="0"/>
        <w:spacing w:before="0" w:after="240"/>
        <w:jc w:val="left"/>
        <w:rPr/>
      </w:pPr>
      <w:r>
        <w:rPr>
          <w:rFonts w:ascii="Times New Roman" w:hAnsi="Times New Roman"/>
          <w:color w:val="000000"/>
          <w:sz w:val="24"/>
          <w:u w:val="single"/>
        </w:rPr>
        <w:t>Underwritten Public Offering</w:t>
      </w:r>
      <w:r>
        <w:rPr>
          <w:rFonts w:ascii="Times New Roman" w:hAnsi="Times New Roman"/>
          <w:color w:val="000000"/>
          <w:sz w:val="24"/>
        </w:rPr>
        <w:t>. Nothing in this policy is intended to limit the ability of any person to sell Company securities as a selling stockholder in an underwritten public offering pursuant to an effective registration statement in accordance with applicable securities law.</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5.</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REGULATION BTR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6.</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Individual Responsibility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Persons subject to this Policy have ethical and legal obligations to maintain the confidentiality of information about the Company and to not engage in transactions in the Company’s securities while in possession of material non-public information. Each individual is responsible for making sure that he or she complies with this Policy, and that any related person, whose transactions are subject to this Policy, also comply with this Policy. In all cases, the responsibility for determining whether an individual is in possession of material non-public information rests with that individual, and any action on the part of the Company, the Policy Administrator or any other employee or director pursuant to this Policy (or otherwise) does not in any way constitute legal advice or insulate an individual from liability under applicable securities laws. Individulas may be subject to legal penalties and disciplinary action by law enforcement officials and/or the Company for any conduct prohibited by this Policy or applicable securities laws, as described in this policy.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Tipping Information to Others. Company personnel must not disclose non-public information about the Company to others outside the Company who do not have an obligation to maintain the confidentiality of such information. If the outsider trades on such information, penalties for insider trading may apply in these situations whether or not the insider derives any monetary benefit from the other person’s trading activities. Material non-public information is often inadvertently disclosed or overheard in casual, social conversations. Please take care to avoid such disclosures.</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Confidentiality. Serious problems could be caused for the Company by the unauthorized disclosure of internal information about the Company, whether or not for the purpose of facilitating improper trading in the Company’s securities. Company personnel must closely safeguard material non-public information even within the Company, and only share it with colleagues on a need-to-know basis. Company personnel should not discuss internal Company matters or developments (whether or not they think such information is material) with anyone outside of the Company (including, but not limited to, family, friends, business associates, investors and expert consulting firms), except as required in the performance of regular corporate duties. This prohibition applies specifically (but not exclusively) to inquiries about the Company that may be made by the financial press, investment analysts or others in the financial community and also includes posting material non-public information on any social media outlets. It is important that all such communications on behalf of the Company be made only through an authorized officer under carefully controlled circumstances. Unless one is expressly authorized to the contrary, individuals should decline comment in response to inquiries and refer the inquirer to a senior leader.</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7.</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PENALTIES FOR VIOLATION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Violation of any of the foregoing rules is grounds for disciplinary action by the Company, including termination of employment. In addition to any disciplinary actions the Company may take, insider trading can also result in administrative, civil or criminal proceedings which can result in significant tines and civil penalties, being barred from service as an officer or director of a public company, or imprisonment. Even proceedings that do not result in prosecution or damages can tarnish the Company’s or an individual’s reputation and irreparably damage a career.</w:t>
      </w:r>
    </w:p>
    <w:p>
      <w:pPr>
        <w:pStyle w:val="TextBody"/>
        <w:bidi w:val="0"/>
        <w:jc w:val="left"/>
        <w:rPr/>
      </w:pPr>
      <w:r>
        <w:rPr/>
        <w:t> </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8.</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COMPANY EDUCATION AND ASSISTANCE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8.1</w:t>
      </w:r>
    </w:p>
    <w:p>
      <w:pPr>
        <w:pStyle w:val="TextBody"/>
        <w:bidi w:val="0"/>
        <w:spacing w:before="0" w:after="240"/>
        <w:jc w:val="left"/>
        <w:rPr/>
      </w:pPr>
      <w:r>
        <w:rPr>
          <w:rFonts w:ascii="Times New Roman" w:hAnsi="Times New Roman"/>
          <w:color w:val="000000"/>
          <w:sz w:val="24"/>
          <w:u w:val="single"/>
        </w:rPr>
        <w:t>Education</w:t>
      </w:r>
      <w:r>
        <w:rPr>
          <w:rFonts w:ascii="Times New Roman" w:hAnsi="Times New Roman"/>
          <w:color w:val="000000"/>
          <w:sz w:val="24"/>
        </w:rPr>
        <w:t>. The Company shall take reasonable steps designed to ensure that all Directors and employees of the Company are educated about, and periodically reminded of, the federal securities law restrictions and Company policies regarding insider trading.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8.2</w:t>
      </w:r>
    </w:p>
    <w:p>
      <w:pPr>
        <w:pStyle w:val="TextBody"/>
        <w:bidi w:val="0"/>
        <w:spacing w:before="0" w:after="240"/>
        <w:jc w:val="left"/>
        <w:rPr/>
      </w:pPr>
      <w:r>
        <w:rPr>
          <w:rFonts w:ascii="Times New Roman" w:hAnsi="Times New Roman"/>
          <w:color w:val="000000"/>
          <w:sz w:val="24"/>
          <w:u w:val="single"/>
        </w:rPr>
        <w:t>Assistance</w:t>
      </w:r>
      <w:r>
        <w:rPr>
          <w:rFonts w:ascii="Times New Roman" w:hAnsi="Times New Roman"/>
          <w:color w:val="000000"/>
          <w:sz w:val="24"/>
        </w:rPr>
        <w:t>. The Company shall provide reasonable assistance to all Directors and executive officers, as requested by such Directors and executive officers, in connection with the filing of Forms 3, 4 and 5 under Section 16 of the Exchange Act. However, the ultimate responsibility, and liability, for timely filing remains with the Directors and executive officers.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8.3</w:t>
      </w:r>
    </w:p>
    <w:p>
      <w:pPr>
        <w:pStyle w:val="TextBody"/>
        <w:bidi w:val="0"/>
        <w:spacing w:before="0" w:after="240"/>
        <w:jc w:val="left"/>
        <w:rPr/>
      </w:pPr>
      <w:r>
        <w:rPr>
          <w:rFonts w:ascii="Times New Roman" w:hAnsi="Times New Roman"/>
          <w:color w:val="000000"/>
          <w:sz w:val="24"/>
          <w:u w:val="single"/>
        </w:rPr>
        <w:t>Limitation on Liability</w:t>
      </w:r>
      <w:r>
        <w:rPr>
          <w:rFonts w:ascii="Times New Roman" w:hAnsi="Times New Roman"/>
          <w:color w:val="000000"/>
          <w:sz w:val="24"/>
        </w:rPr>
        <w:t>. None of the Company, the Chief Financial Officer, or the Company’s other employees will have any liability for any delay in reviewing, or refusal of, a request to allow a pledge submitted pursuant to Section 2.3, a request for pre-clearance submitted pursuant to Section 3.3(a) or a trading plan submitted pursuant to Section 4.2. Notwithstanding any pre-clearance of a transaction pursuant to Section 3.3(a) or review of a trading plan pursuant to Section 4.2, none of the Company, the Chief Financial Officer, or the Company’s other employees assumes any liability for the legality or consequences of such transaction or trading plan to the person engaging in or adopting such transaction or trading plan.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52" w:name="sybx-ex21_1.htm"/>
      <w:bookmarkStart w:id="53" w:name="kssybxex21_1"/>
      <w:bookmarkEnd w:id="52"/>
      <w:bookmarkEnd w:id="53"/>
      <w:r>
        <w:rPr>
          <w:rFonts w:ascii="Times New Roman" w:hAnsi="Times New Roman"/>
          <w:b/>
          <w:color w:val="000000"/>
          <w:sz w:val="24"/>
        </w:rPr>
        <w:t>Exhibit 21.1</w:t>
      </w:r>
      <w:r>
        <w:br w:type="page"/>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SUBSIDIARIES OF SYNLOGIC, INC.</w:t>
      </w:r>
    </w:p>
    <w:p>
      <w:pPr>
        <w:pStyle w:val="TextBody"/>
        <w:bidi w:val="0"/>
        <w:jc w:val="left"/>
        <w:rPr/>
      </w:pPr>
      <w:r>
        <w:rPr/>
        <w:t> </w:t>
      </w:r>
    </w:p>
    <w:tbl>
      <w:tblPr>
        <w:tblW w:w="4937" w:type="dxa"/>
        <w:jc w:val="left"/>
        <w:tblInd w:w="0" w:type="dxa"/>
        <w:tblLayout w:type="fixed"/>
        <w:tblCellMar>
          <w:top w:w="28" w:type="dxa"/>
          <w:left w:w="28" w:type="dxa"/>
          <w:bottom w:w="28" w:type="dxa"/>
          <w:right w:w="28" w:type="dxa"/>
        </w:tblCellMar>
      </w:tblPr>
      <w:tblGrid>
        <w:gridCol w:w="3436"/>
        <w:gridCol w:w="1501"/>
      </w:tblGrid>
      <w:tr>
        <w:trPr/>
        <w:tc>
          <w:tcPr>
            <w:tcW w:w="343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u w:val="single"/>
              </w:rPr>
            </w:pPr>
            <w:r>
              <w:rPr>
                <w:rFonts w:ascii="Times New Roman" w:hAnsi="Times New Roman"/>
                <w:b/>
                <w:color w:val="000000"/>
                <w:sz w:val="24"/>
                <w:u w:val="single"/>
              </w:rPr>
              <w:t>Subsidiary</w:t>
            </w:r>
          </w:p>
        </w:tc>
        <w:tc>
          <w:tcPr>
            <w:tcW w:w="1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u w:val="single"/>
              </w:rPr>
            </w:pPr>
            <w:r>
              <w:rPr>
                <w:rFonts w:ascii="Times New Roman" w:hAnsi="Times New Roman"/>
                <w:b/>
                <w:color w:val="000000"/>
                <w:sz w:val="24"/>
                <w:u w:val="single"/>
              </w:rPr>
              <w:t>Jurisdiction</w:t>
            </w:r>
          </w:p>
        </w:tc>
      </w:tr>
      <w:tr>
        <w:trPr/>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Synlogic Operating Company, Inc.</w:t>
            </w:r>
          </w:p>
        </w:tc>
        <w:tc>
          <w:tcPr>
            <w:tcW w:w="1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Delaware</w:t>
            </w:r>
          </w:p>
        </w:tc>
      </w:tr>
      <w:tr>
        <w:trPr/>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Synlogic Securities Corporation</w:t>
            </w:r>
          </w:p>
        </w:tc>
        <w:tc>
          <w:tcPr>
            <w:tcW w:w="1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Massachusetts</w:t>
            </w:r>
          </w:p>
        </w:tc>
      </w:tr>
      <w:tr>
        <w:trPr/>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54" w:name="sybx-ex23_1.htm"/>
      <w:bookmarkStart w:id="55" w:name="kssybxex23_1"/>
      <w:bookmarkEnd w:id="54"/>
      <w:bookmarkEnd w:id="55"/>
      <w:r>
        <w:rPr>
          <w:rFonts w:ascii="Times New Roman" w:hAnsi="Times New Roman"/>
          <w:b/>
          <w:color w:val="000000"/>
          <w:sz w:val="24"/>
        </w:rPr>
        <w:t>Exhibit 23.1</w:t>
      </w:r>
      <w:r>
        <w:br w:type="page"/>
      </w:r>
    </w:p>
    <w:p>
      <w:pPr>
        <w:pStyle w:val="TextBody"/>
        <w:bidi w:val="0"/>
        <w:spacing w:before="240" w:after="283"/>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consent to the incorporation by reference in the registration statements (Nos. 333-207299, 333-210466, 333-220841, 333-223798, 333-230224, 333-237104, 333-237105, 333-254688, 333-254689, 333-263629, 333-263630, 333-270925, 333-270926, 333-283165, and 333-283164) on Form S-8, (No. 333-233139) on Form S-3 and (Nos. 333-274421 and 333-274759) on Form S-1 of our report dated March 6, 2025, with respect to the consolidated financial statements of Synlogic, Inc.</w:t>
      </w:r>
    </w:p>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20"/>
        </w:rPr>
        <w:t>/s/ KPMG LLP</w:t>
        <w:br/>
      </w:r>
      <w:r>
        <w:rPr>
          <w:rFonts w:ascii="Times New Roman" w:hAnsi="Times New Roman"/>
          <w:color w:val="000000"/>
          <w:sz w:val="20"/>
        </w:rPr>
        <w:t> </w:t>
      </w:r>
    </w:p>
    <w:p>
      <w:pPr>
        <w:pStyle w:val="TextBody"/>
        <w:bidi w:val="0"/>
        <w:jc w:val="left"/>
        <w:rPr>
          <w:rFonts w:ascii="Arial" w:hAnsi="Arial"/>
          <w:color w:val="000000"/>
          <w:sz w:val="20"/>
        </w:rPr>
      </w:pPr>
      <w:r>
        <w:rPr>
          <w:rFonts w:ascii="Arial" w:hAnsi="Arial"/>
          <w:color w:val="000000"/>
          <w:sz w:val="20"/>
        </w:rPr>
        <w:t>Boston, Massachusetts</w:t>
      </w:r>
    </w:p>
    <w:p>
      <w:pPr>
        <w:pStyle w:val="TextBody"/>
        <w:bidi w:val="0"/>
        <w:jc w:val="left"/>
        <w:rPr>
          <w:rFonts w:ascii="Arial" w:hAnsi="Arial"/>
          <w:color w:val="000000"/>
          <w:sz w:val="20"/>
        </w:rPr>
      </w:pPr>
      <w:r>
        <w:rPr>
          <w:rFonts w:ascii="Arial" w:hAnsi="Arial"/>
          <w:color w:val="000000"/>
          <w:sz w:val="20"/>
        </w:rPr>
        <w:t>March 6, 2025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6" w:name="sybx-ex31_1.htm"/>
      <w:bookmarkStart w:id="57" w:name="kssybxex31_1"/>
      <w:bookmarkEnd w:id="56"/>
      <w:bookmarkEnd w:id="5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 UNDER SECTION 302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Mary Beth Dooley,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annual report on Form 10-K of Synlogic,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623" w:type="dxa"/>
        <w:jc w:val="left"/>
        <w:tblInd w:w="0" w:type="dxa"/>
        <w:tblLayout w:type="fixed"/>
        <w:tblCellMar>
          <w:top w:w="28" w:type="dxa"/>
          <w:left w:w="28" w:type="dxa"/>
          <w:bottom w:w="28" w:type="dxa"/>
          <w:right w:w="28" w:type="dxa"/>
        </w:tblCellMar>
      </w:tblPr>
      <w:tblGrid>
        <w:gridCol w:w="1786"/>
        <w:gridCol w:w="406"/>
        <w:gridCol w:w="2431"/>
      </w:tblGrid>
      <w:tr>
        <w:trPr/>
        <w:tc>
          <w:tcPr>
            <w:tcW w:w="1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6, 2025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MARY BETH DOOLEY</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Mary Beth Dooley</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i/>
                <w:color w:val="000000"/>
                <w:sz w:val="20"/>
              </w:rPr>
              <w:t>Principal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8" w:name="sybx-ex31_2.htm"/>
      <w:bookmarkStart w:id="59" w:name="kssybxex31_2"/>
      <w:bookmarkEnd w:id="58"/>
      <w:bookmarkEnd w:id="5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 UNDER SECTION 302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Mary Beth Dooley,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annual report on Form 10-K of Synlogic,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188" w:type="dxa"/>
        <w:jc w:val="left"/>
        <w:tblInd w:w="0" w:type="dxa"/>
        <w:tblLayout w:type="fixed"/>
        <w:tblCellMar>
          <w:top w:w="28" w:type="dxa"/>
          <w:left w:w="28" w:type="dxa"/>
          <w:bottom w:w="28" w:type="dxa"/>
          <w:right w:w="28" w:type="dxa"/>
        </w:tblCellMar>
      </w:tblPr>
      <w:tblGrid>
        <w:gridCol w:w="1786"/>
        <w:gridCol w:w="406"/>
        <w:gridCol w:w="4996"/>
      </w:tblGrid>
      <w:tr>
        <w:trPr/>
        <w:tc>
          <w:tcPr>
            <w:tcW w:w="1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99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6, 2025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9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MARY BETH DOOLEY</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Mary Beth Dooley</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 </w:t>
            </w:r>
            <w:r>
              <w:rPr>
                <w:rFonts w:ascii="Times New Roman" w:hAnsi="Times New Roman"/>
                <w:i/>
                <w:color w:val="000000"/>
                <w:sz w:val="20"/>
              </w:rPr>
              <w:t>Principal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0" w:name="sybx-ex32.htm"/>
      <w:bookmarkStart w:id="61" w:name="kssybxex32"/>
      <w:bookmarkEnd w:id="60"/>
      <w:bookmarkEnd w:id="6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section 906 of the Sarbanes-Oxley Act of 2002 (subsections (a) and (b) of section 1350, chapter 63 of title 18, United States Code), each of the undersigned officers of Synlogic, Inc., a Delaware corporation (the “Company”), does hereby certify, to such officer’s knowledge,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Annual Report for the year ended 2024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9532" w:type="dxa"/>
        <w:jc w:val="left"/>
        <w:tblInd w:w="0" w:type="dxa"/>
        <w:tblLayout w:type="fixed"/>
        <w:tblCellMar>
          <w:top w:w="28" w:type="dxa"/>
          <w:left w:w="28" w:type="dxa"/>
          <w:bottom w:w="28" w:type="dxa"/>
          <w:right w:w="28" w:type="dxa"/>
        </w:tblCellMar>
      </w:tblPr>
      <w:tblGrid>
        <w:gridCol w:w="1786"/>
        <w:gridCol w:w="109"/>
        <w:gridCol w:w="406"/>
        <w:gridCol w:w="723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23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2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MARY BETH DOOLEY</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Mary Beth Dooley</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Principal Executive Officer and Principal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 principal financial officer and principal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4"/>
        </w:rPr>
      </w:pPr>
      <w:bookmarkStart w:id="62" w:name="sybx-ex97_1.htm"/>
      <w:bookmarkStart w:id="63" w:name="kssybxex97_1"/>
      <w:bookmarkEnd w:id="62"/>
      <w:bookmarkEnd w:id="63"/>
      <w:r>
        <w:rPr>
          <w:rFonts w:ascii="Times New Roman" w:hAnsi="Times New Roman"/>
          <w:b/>
          <w:color w:val="000000"/>
          <w:sz w:val="24"/>
        </w:rPr>
        <w:t>Exhibit 97.1</w:t>
      </w:r>
      <w:r>
        <w:br w:type="page"/>
      </w:r>
    </w:p>
    <w:p>
      <w:pPr>
        <w:pStyle w:val="TextBody"/>
        <w:bidi w:val="0"/>
        <w:spacing w:before="0" w:after="240"/>
        <w:jc w:val="center"/>
        <w:rPr/>
      </w:pPr>
      <w:r>
        <w:rPr/>
        <w:drawing>
          <wp:inline distT="0" distB="0" distL="0" distR="0">
            <wp:extent cx="1914525" cy="7143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44"/>
                    <a:stretch>
                      <a:fillRect/>
                    </a:stretch>
                  </pic:blipFill>
                  <pic:spPr bwMode="auto">
                    <a:xfrm>
                      <a:off x="0" y="0"/>
                      <a:ext cx="1914525" cy="714375"/>
                    </a:xfrm>
                    <a:prstGeom prst="rect">
                      <a:avLst/>
                    </a:prstGeom>
                  </pic:spPr>
                </pic:pic>
              </a:graphicData>
            </a:graphic>
          </wp:inline>
        </w:drawing>
      </w:r>
    </w:p>
    <w:p>
      <w:pPr>
        <w:pStyle w:val="TextBody"/>
        <w:bidi w:val="0"/>
        <w:jc w:val="center"/>
        <w:rPr>
          <w:rFonts w:ascii="Times New Roman" w:hAnsi="Times New Roman"/>
          <w:b/>
          <w:color w:val="000000"/>
          <w:sz w:val="24"/>
        </w:rPr>
      </w:pPr>
      <w:r>
        <w:rPr>
          <w:rFonts w:ascii="Times New Roman" w:hAnsi="Times New Roman"/>
          <w:b/>
          <w:color w:val="000000"/>
          <w:sz w:val="24"/>
        </w:rPr>
        <w:t>Incentive Compensation Recovery Policy</w:t>
      </w:r>
    </w:p>
    <w:p>
      <w:pPr>
        <w:pStyle w:val="TextBody"/>
        <w:bidi w:val="0"/>
        <w:jc w:val="center"/>
        <w:rPr/>
      </w:pPr>
      <w:r>
        <w:rPr/>
        <w:t> </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Introduction</w:t>
      </w:r>
    </w:p>
    <w:p>
      <w:pPr>
        <w:pStyle w:val="TextBody"/>
        <w:bidi w:val="0"/>
        <w:spacing w:before="0" w:after="120"/>
        <w:jc w:val="both"/>
        <w:rPr>
          <w:rFonts w:ascii="Times New Roman" w:hAnsi="Times New Roman"/>
          <w:sz w:val="20"/>
        </w:rPr>
      </w:pPr>
      <w:r>
        <w:rPr>
          <w:rFonts w:ascii="Times New Roman" w:hAnsi="Times New Roman"/>
          <w:color w:val="252525"/>
          <w:sz w:val="24"/>
        </w:rPr>
        <w:t>The Board of Directors (the “</w:t>
      </w:r>
      <w:r>
        <w:rPr>
          <w:rFonts w:ascii="Times New Roman" w:hAnsi="Times New Roman"/>
          <w:b/>
          <w:color w:val="252525"/>
          <w:sz w:val="24"/>
        </w:rPr>
        <w:t>Board</w:t>
      </w:r>
      <w:r>
        <w:rPr>
          <w:rFonts w:ascii="Times New Roman" w:hAnsi="Times New Roman"/>
          <w:color w:val="252525"/>
          <w:sz w:val="20"/>
        </w:rPr>
        <w:t>”</w:t>
      </w:r>
      <w:r>
        <w:rPr>
          <w:rFonts w:ascii="Times New Roman" w:hAnsi="Times New Roman"/>
          <w:color w:val="252525"/>
          <w:sz w:val="24"/>
        </w:rPr>
        <w:t>) of Synlogic, Inc. (the “</w:t>
      </w:r>
      <w:r>
        <w:rPr>
          <w:rFonts w:ascii="Times New Roman" w:hAnsi="Times New Roman"/>
          <w:b/>
          <w:color w:val="252525"/>
          <w:sz w:val="24"/>
        </w:rPr>
        <w:t>Company</w:t>
      </w:r>
      <w:r>
        <w:rPr>
          <w:rFonts w:ascii="Times New Roman" w:hAnsi="Times New Roman"/>
          <w:color w:val="252525"/>
          <w:sz w:val="20"/>
        </w:rPr>
        <w:t>”</w:t>
      </w:r>
      <w:r>
        <w:rPr>
          <w:rFonts w:ascii="Times New Roman" w:hAnsi="Times New Roman"/>
          <w:color w:val="252525"/>
          <w:sz w:val="24"/>
        </w:rPr>
        <w:t>) believes that it is in the best interests of the Company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 w:hAnsi="Times New Roman"/>
          <w:b/>
          <w:color w:val="252525"/>
          <w:sz w:val="24"/>
        </w:rPr>
        <w:t>Policy</w:t>
      </w:r>
      <w:r>
        <w:rPr>
          <w:rFonts w:ascii="Times New Roman" w:hAnsi="Times New Roman"/>
          <w:color w:val="252525"/>
          <w:sz w:val="20"/>
        </w:rPr>
        <w:t>”</w:t>
      </w:r>
      <w:r>
        <w:rPr>
          <w:rFonts w:ascii="Times New Roman" w:hAnsi="Times New Roman"/>
          <w:color w:val="252525"/>
          <w:sz w:val="24"/>
        </w:rPr>
        <w:t>). This Policy is designed to comply with Section 10D of the Securities Exchange Act of 1934, as amended (the “</w:t>
      </w:r>
      <w:r>
        <w:rPr>
          <w:rFonts w:ascii="Times New Roman" w:hAnsi="Times New Roman"/>
          <w:b/>
          <w:color w:val="252525"/>
          <w:sz w:val="24"/>
        </w:rPr>
        <w:t>Exchange Act</w:t>
      </w:r>
      <w:r>
        <w:rPr>
          <w:rFonts w:ascii="Times New Roman" w:hAnsi="Times New Roman"/>
          <w:color w:val="252525"/>
          <w:sz w:val="20"/>
        </w:rPr>
        <w:t>”</w:t>
      </w:r>
      <w:r>
        <w:rPr>
          <w:rFonts w:ascii="Times New Roman" w:hAnsi="Times New Roman"/>
          <w:color w:val="252525"/>
          <w:sz w:val="24"/>
        </w:rPr>
        <w:t>) and final rules and amendments adopted by the Securities and Exchange Commission (the “</w:t>
      </w:r>
      <w:r>
        <w:rPr>
          <w:rFonts w:ascii="Times New Roman" w:hAnsi="Times New Roman"/>
          <w:b/>
          <w:color w:val="252525"/>
          <w:sz w:val="24"/>
        </w:rPr>
        <w:t>SEC</w:t>
      </w:r>
      <w:r>
        <w:rPr>
          <w:rFonts w:ascii="Times New Roman" w:hAnsi="Times New Roman"/>
          <w:color w:val="252525"/>
          <w:sz w:val="20"/>
        </w:rPr>
        <w:t>”</w:t>
      </w:r>
      <w:r>
        <w:rPr>
          <w:rFonts w:ascii="Times New Roman" w:hAnsi="Times New Roman"/>
          <w:color w:val="252525"/>
          <w:sz w:val="24"/>
        </w:rPr>
        <w:t>) to implement the aforementioned legislation.</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Administration</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This Policy shall be administered by the Board or, if so designated by the Board, the Compensation Committee, in which case references herein to the Board shall be deemed references to the Compensation Committee. Any determinations made by the Board shall be final and binding on all affected individuals.</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Covered Executives</w:t>
      </w:r>
    </w:p>
    <w:p>
      <w:pPr>
        <w:pStyle w:val="TextBody"/>
        <w:bidi w:val="0"/>
        <w:spacing w:before="0" w:after="120"/>
        <w:jc w:val="both"/>
        <w:rPr>
          <w:rFonts w:ascii="Times New Roman" w:hAnsi="Times New Roman"/>
          <w:sz w:val="20"/>
        </w:rPr>
      </w:pPr>
      <w:r>
        <w:rPr>
          <w:rFonts w:ascii="Times New Roman" w:hAnsi="Times New Roman"/>
          <w:color w:val="252525"/>
          <w:sz w:val="24"/>
        </w:rPr>
        <w:t>This Policy applies to the Company’s current and former executive officers, as determined by the Board in accordance with the requirements of Section 10D of the Exchange Act and any applicable rules or standards adopted by the SEC and any national securities exchange on which the Company’s securities are listed, and such other employees who may from time to time be deemed subject to the Policy by the Board (“</w:t>
      </w:r>
      <w:r>
        <w:rPr>
          <w:rFonts w:ascii="Times New Roman" w:hAnsi="Times New Roman"/>
          <w:b/>
          <w:color w:val="252525"/>
          <w:sz w:val="24"/>
        </w:rPr>
        <w:t>Covered Executives</w:t>
      </w:r>
      <w:r>
        <w:rPr>
          <w:rFonts w:ascii="Times New Roman" w:hAnsi="Times New Roman"/>
          <w:color w:val="252525"/>
          <w:sz w:val="20"/>
        </w:rPr>
        <w:t>”</w:t>
      </w:r>
      <w:r>
        <w:rPr>
          <w:rFonts w:ascii="Times New Roman" w:hAnsi="Times New Roman"/>
          <w:color w:val="252525"/>
          <w:sz w:val="24"/>
        </w:rPr>
        <w:t>).</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Incentive-Based Compensation</w:t>
      </w:r>
    </w:p>
    <w:p>
      <w:pPr>
        <w:pStyle w:val="TextBody"/>
        <w:bidi w:val="0"/>
        <w:spacing w:before="0" w:after="120"/>
        <w:jc w:val="both"/>
        <w:rPr>
          <w:rFonts w:ascii="Times New Roman" w:hAnsi="Times New Roman"/>
          <w:sz w:val="20"/>
        </w:rPr>
      </w:pPr>
      <w:r>
        <w:rPr>
          <w:rFonts w:ascii="Times New Roman" w:hAnsi="Times New Roman"/>
          <w:color w:val="252525"/>
          <w:sz w:val="24"/>
        </w:rPr>
        <w:t>For purposes of this Policy, incentive-based compensation (“</w:t>
      </w:r>
      <w:r>
        <w:rPr>
          <w:rFonts w:ascii="Times New Roman" w:hAnsi="Times New Roman"/>
          <w:b/>
          <w:color w:val="252525"/>
          <w:sz w:val="24"/>
        </w:rPr>
        <w:t>Incentive-Based Compensation</w:t>
      </w:r>
      <w:r>
        <w:rPr>
          <w:rFonts w:ascii="Times New Roman" w:hAnsi="Times New Roman"/>
          <w:color w:val="252525"/>
          <w:sz w:val="20"/>
        </w:rPr>
        <w:t>”</w:t>
      </w:r>
      <w:r>
        <w:rPr>
          <w:rFonts w:ascii="Times New Roman" w:hAnsi="Times New Roman"/>
          <w:color w:val="252525"/>
          <w:sz w:val="24"/>
        </w:rPr>
        <w:t>) includes any compensation that is granted, earned, or vested based wholly or in part upon the attainment of any financial reporting measures that are determined and presented in accordance with the accounting principles (“</w:t>
      </w:r>
      <w:r>
        <w:rPr>
          <w:rFonts w:ascii="Times New Roman" w:hAnsi="Times New Roman"/>
          <w:b/>
          <w:color w:val="252525"/>
          <w:sz w:val="24"/>
        </w:rPr>
        <w:t>GAAP Measures</w:t>
      </w:r>
      <w:r>
        <w:rPr>
          <w:rFonts w:ascii="Times New Roman" w:hAnsi="Times New Roman"/>
          <w:color w:val="252525"/>
          <w:sz w:val="20"/>
        </w:rPr>
        <w:t>”</w:t>
      </w:r>
      <w:r>
        <w:rPr>
          <w:rFonts w:ascii="Times New Roman" w:hAnsi="Times New Roman"/>
          <w:color w:val="252525"/>
          <w:sz w:val="24"/>
        </w:rPr>
        <w:t>) used in preparing the Company’s financial statements and any measures derived wholly or in part from such measures, as well as non-GAAP Measures, stock price, and total shareholder return (collectively, “</w:t>
      </w:r>
      <w:r>
        <w:rPr>
          <w:rFonts w:ascii="Times New Roman" w:hAnsi="Times New Roman"/>
          <w:b/>
          <w:color w:val="252525"/>
          <w:sz w:val="24"/>
        </w:rPr>
        <w:t>Financial Reporting Measures</w:t>
      </w:r>
      <w:r>
        <w:rPr>
          <w:rFonts w:ascii="Times New Roman" w:hAnsi="Times New Roman"/>
          <w:color w:val="252525"/>
          <w:sz w:val="20"/>
        </w:rPr>
        <w:t>”</w:t>
      </w:r>
      <w:r>
        <w:rPr>
          <w:rFonts w:ascii="Times New Roman" w:hAnsi="Times New Roman"/>
          <w:color w:val="252525"/>
          <w:sz w:val="24"/>
        </w:rPr>
        <w:t>); however, it does not include: (i) base salaries; (ii) discretionary cash bonuses; (iii) awards (either cash or equity) that are based upon subjective, strategic or operational standards; and (iv) equity awards that vest solely on the passage of time. Incentive-Based Compensation is considered received in the fiscal period during which the applicable reporting measure is attained, even if the payment or grant of such award occurs after the end of that period. If an award is subject to both time-based and performance-based vesting conditions, the award is</w:t>
      </w:r>
      <w:r>
        <w:rPr>
          <w:rFonts w:ascii="Times New Roman" w:hAnsi="Times New Roman"/>
          <w:color w:val="252525"/>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considered received upon satisfaction of the performance-based conditions, even if such award continues to be subject to the time-based vesting conditions.</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For the purposes of this Policy, Incentive-Based Compensation may include, among other things, any of the following:</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Annual bonuses and other short- and long-term cash incentives.</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Stock options.</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Stock appreciation rights.</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Restricted stock or restricted stock units.</w:t>
      </w:r>
    </w:p>
    <w:p>
      <w:pPr>
        <w:pStyle w:val="TextBody"/>
        <w:bidi w:val="0"/>
        <w:spacing w:before="0" w:after="0"/>
        <w:jc w:val="both"/>
        <w:rPr>
          <w:color w:val="252525"/>
        </w:rPr>
      </w:pPr>
      <w:r>
        <w:rPr>
          <w:color w:val="252525"/>
        </w:rPr>
        <w:t>•</w:t>
      </w:r>
    </w:p>
    <w:p>
      <w:pPr>
        <w:pStyle w:val="TextBody"/>
        <w:bidi w:val="0"/>
        <w:jc w:val="both"/>
        <w:rPr>
          <w:rFonts w:ascii="Times New Roman" w:hAnsi="Times New Roman"/>
          <w:color w:val="252525"/>
          <w:sz w:val="24"/>
        </w:rPr>
      </w:pPr>
      <w:r>
        <w:rPr>
          <w:rFonts w:ascii="Times New Roman" w:hAnsi="Times New Roman"/>
          <w:color w:val="252525"/>
          <w:sz w:val="24"/>
        </w:rPr>
        <w:t>Performance shares or performance units.</w:t>
      </w:r>
    </w:p>
    <w:p>
      <w:pPr>
        <w:pStyle w:val="TextBody"/>
        <w:bidi w:val="0"/>
        <w:jc w:val="both"/>
        <w:rPr/>
      </w:pPr>
      <w:r>
        <w:rPr/>
        <w:t> </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For purposes of this Policy, Financial Reporting Measures may include, among other things, any of the following:</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 xml:space="preserve">Company stock price. </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Total shareholder return.</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Revenues.</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Net income.</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Earnings before interest, taxes, depreciation, and amortization (EBITDA).</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Funds from operations.</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Liquidity measures such as working capital or operating cash flow.</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Return measures such as return on invested capital or return on assets.</w:t>
      </w:r>
    </w:p>
    <w:p>
      <w:pPr>
        <w:pStyle w:val="TextBody"/>
        <w:bidi w:val="0"/>
        <w:spacing w:before="0" w:after="240"/>
        <w:jc w:val="both"/>
        <w:rPr>
          <w:color w:val="252525"/>
        </w:rPr>
      </w:pPr>
      <w:r>
        <w:rPr>
          <w:color w:val="252525"/>
        </w:rPr>
        <w:t>•</w:t>
      </w:r>
    </w:p>
    <w:p>
      <w:pPr>
        <w:pStyle w:val="TextBody"/>
        <w:bidi w:val="0"/>
        <w:spacing w:before="0" w:after="240"/>
        <w:jc w:val="both"/>
        <w:rPr>
          <w:rFonts w:ascii="Times New Roman" w:hAnsi="Times New Roman"/>
          <w:color w:val="252525"/>
          <w:sz w:val="24"/>
        </w:rPr>
      </w:pPr>
      <w:r>
        <w:rPr>
          <w:rFonts w:ascii="Times New Roman" w:hAnsi="Times New Roman"/>
          <w:color w:val="252525"/>
          <w:sz w:val="24"/>
        </w:rPr>
        <w:t>Earnings measures such as earnings per share.</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Recoupment; Accounting Restatement</w:t>
      </w:r>
    </w:p>
    <w:p>
      <w:pPr>
        <w:pStyle w:val="TextBody"/>
        <w:bidi w:val="0"/>
        <w:spacing w:before="0" w:after="120"/>
        <w:jc w:val="both"/>
        <w:rPr>
          <w:rFonts w:ascii="Times New Roman" w:hAnsi="Times New Roman"/>
          <w:sz w:val="20"/>
        </w:rPr>
      </w:pPr>
      <w:r>
        <w:rPr>
          <w:rFonts w:ascii="Times New Roman" w:hAnsi="Times New Roman"/>
          <w:color w:val="252525"/>
          <w:sz w:val="24"/>
        </w:rPr>
        <w:t>In the event the Company is required to prepare an accounting restatement of its financial statements due to the Company’s material noncompliance with any financial reporting requirement under U.S. securities laws, including any required accounting restatement to correct an error in previously issued financial statements that (i) is material to the previously issued financial statements or (ii) is not material to previously issued financial statements, but that would result in a material misstatement if the error were corrected in the current period or left uncorrected in the current period, the Board will require reimbursement or forfeiture of any excess Incentive-Based Compensation received by any Covered Executive during the three completed fiscal years immediately preceding the date on which the Company is required to prepare the accounting restatement (the “</w:t>
      </w:r>
      <w:r>
        <w:rPr>
          <w:rFonts w:ascii="Times New Roman" w:hAnsi="Times New Roman"/>
          <w:b/>
          <w:color w:val="252525"/>
          <w:sz w:val="24"/>
        </w:rPr>
        <w:t>Look-Back Period</w:t>
      </w:r>
      <w:r>
        <w:rPr>
          <w:rFonts w:ascii="Times New Roman" w:hAnsi="Times New Roman"/>
          <w:color w:val="252525"/>
          <w:sz w:val="20"/>
        </w:rPr>
        <w:t>”</w:t>
      </w:r>
      <w:r>
        <w:rPr>
          <w:rFonts w:ascii="Times New Roman" w:hAnsi="Times New Roman"/>
          <w:color w:val="252525"/>
          <w:sz w:val="24"/>
        </w:rPr>
        <w:t>). For the purposes of this Policy, the date on which the Company is required to prepare an accounting restatement is the earlier of: (i) the date the Board concludes or reasonably should have concluded that the Company is required to prepare a restatement to correct a material error, and (ii) the date a court, regulator, or other legally authorized body directs the Company to restate its previously issued financial statements to correct a material error.</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Recovery of the Incentive-Based Compensation is only required when the excess award is received by a Covered Executive (i) after the beginning of their service as a Covered Executive and (ii) when that Covered Executive served in such covered position during the Lookback Period.</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VI.</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Excess Incentive Compensation: Amount Subject to Recovery</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The amount of Incentive-Based Compensation subject to recovery is the amount the Covered Executive received in excess of the amount of Incentive-Based Compensation that would have been paid to the Covered Executive had it been based on the restated financial statements, as determined by the Board. The amount subject to recovery will be calculated on a pre-tax basis.</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For Incentive-Based Compensation received as cash awards, the erroneously awarded compensation is the difference between the amount of the cash award that was received (whether payable in a lump sum or over time) and the amount that should have been received applying the restated Financial Reporting Measure. For cash awards paid from bonus pools, the erroneously awarded Incentive-Based Compensation is the pro rata portion of any deficiency that results from the aggregate bonus pool that is reduced based on applying the restated Financial Reporting Measure.</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For Incentive-Based Compensation received as equity awards that are still held at the time of recovery, the amount subject to recovery is the number of shares or other equity awards received or vested in excess of the number that should have been received or vested applying the restated financial reporting measure. If the equity award has been exercised, but the underlying shares have not been sold, the erroneously awarded compensation is the number of shares underlying the award.</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In instances where the Company is not able to determine the amount of erroneously awarded Incentive-Based Compensation directly from the information in the accounting restatement, the amount will be based on the Company’s reasonable estimate of the effect of the accounting restatement on the applicable measure. In such instances, the Company will maintain documentation of the determination of that reasonable estimate.</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VII.</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Method of Recoupment</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The Board will determine, in its sole discretion, subject to applicable law, the method for recouping Incentive Compensation hereunder, which may include, without limitation:</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requiring reimbursement of cash Incentive-Based Compensation previously paid;</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seeking recovery of any gain realized on the vesting, exercise, settlement, sale, transfer, or other disposition of any equity-based awards;</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offsetting the recouped amount from any compensation otherwise owed by the Company to the Covered Executive;</w:t>
      </w:r>
    </w:p>
    <w:p>
      <w:pPr>
        <w:pStyle w:val="TextBody"/>
        <w:bidi w:val="0"/>
        <w:spacing w:before="0" w:after="0"/>
        <w:jc w:val="both"/>
        <w:rPr>
          <w:color w:val="252525"/>
        </w:rPr>
      </w:pPr>
      <w:r>
        <w:rPr>
          <w:color w:val="252525"/>
        </w:rPr>
        <w:t>•</w:t>
      </w:r>
    </w:p>
    <w:p>
      <w:pPr>
        <w:pStyle w:val="TextBody"/>
        <w:bidi w:val="0"/>
        <w:spacing w:before="0" w:after="0"/>
        <w:jc w:val="both"/>
        <w:rPr>
          <w:rFonts w:ascii="Times New Roman" w:hAnsi="Times New Roman"/>
          <w:color w:val="252525"/>
          <w:sz w:val="24"/>
        </w:rPr>
      </w:pPr>
      <w:r>
        <w:rPr>
          <w:rFonts w:ascii="Times New Roman" w:hAnsi="Times New Roman"/>
          <w:color w:val="252525"/>
          <w:sz w:val="24"/>
        </w:rPr>
        <w:t>cancelling outstanding vested or unvested equity awards; and/or</w:t>
      </w:r>
    </w:p>
    <w:p>
      <w:pPr>
        <w:pStyle w:val="TextBody"/>
        <w:bidi w:val="0"/>
        <w:spacing w:before="0" w:after="240"/>
        <w:jc w:val="both"/>
        <w:rPr>
          <w:color w:val="252525"/>
        </w:rPr>
      </w:pPr>
      <w:r>
        <w:rPr>
          <w:color w:val="252525"/>
        </w:rPr>
        <w:t>•</w:t>
      </w:r>
    </w:p>
    <w:p>
      <w:pPr>
        <w:pStyle w:val="TextBody"/>
        <w:bidi w:val="0"/>
        <w:spacing w:before="0" w:after="240"/>
        <w:jc w:val="both"/>
        <w:rPr>
          <w:rFonts w:ascii="Times New Roman" w:hAnsi="Times New Roman"/>
          <w:color w:val="252525"/>
          <w:sz w:val="24"/>
        </w:rPr>
      </w:pPr>
      <w:r>
        <w:rPr>
          <w:rFonts w:ascii="Times New Roman" w:hAnsi="Times New Roman"/>
          <w:color w:val="252525"/>
          <w:sz w:val="24"/>
        </w:rPr>
        <w:t>taking any other remedial and recovery action permitted by law, as determined by the Board.</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VIII.</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No Indemnification; Successors</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The Company shall not indemnify any Covered Executives against the loss of any incorrectly awarded Incentive-Based Compensation. This Policy shall be binding and enforceable against all Covered Executives and their beneficiaries, heirs, executors, administrators or other legal representatives.</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IX.</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Exception to Enforcement</w:t>
      </w:r>
    </w:p>
    <w:p>
      <w:pPr>
        <w:pStyle w:val="TextBody"/>
        <w:bidi w:val="0"/>
        <w:spacing w:before="0" w:after="120"/>
        <w:jc w:val="both"/>
        <w:rPr>
          <w:rFonts w:ascii="Times New Roman" w:hAnsi="Times New Roman"/>
          <w:sz w:val="20"/>
        </w:rPr>
      </w:pPr>
      <w:r>
        <w:rPr>
          <w:rFonts w:ascii="Times New Roman" w:hAnsi="Times New Roman"/>
          <w:color w:val="252525"/>
          <w:sz w:val="24"/>
        </w:rPr>
        <w:t>The Board shall recover any excess Incentive-Based Compensation in accordance with this Policy unless such recovery would be impracticable, as determined by the Board in accordance</w:t>
      </w:r>
      <w:r>
        <w:rPr>
          <w:rFonts w:ascii="Times New Roman" w:hAnsi="Times New Roman"/>
          <w:color w:val="252525"/>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with Rule 10D-1 of the Exchange Act and any applicable rules or standards adopted by the SEC and the listing standards of any national securities exchange on which the Company’s securities are listed.</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X.</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Interpretation</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and any national securities exchange on which the Company’s securities are listed.</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XI.</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Effective Date</w:t>
      </w:r>
    </w:p>
    <w:p>
      <w:pPr>
        <w:pStyle w:val="TextBody"/>
        <w:bidi w:val="0"/>
        <w:spacing w:before="0" w:after="120"/>
        <w:jc w:val="both"/>
        <w:rPr>
          <w:rFonts w:ascii="Times New Roman" w:hAnsi="Times New Roman"/>
          <w:sz w:val="20"/>
        </w:rPr>
      </w:pPr>
      <w:r>
        <w:rPr>
          <w:rFonts w:ascii="Times New Roman" w:hAnsi="Times New Roman"/>
          <w:color w:val="252525"/>
          <w:sz w:val="24"/>
        </w:rPr>
        <w:t>This Policy shall be effective as of the date it is adopted by the Board (the “</w:t>
      </w:r>
      <w:r>
        <w:rPr>
          <w:rFonts w:ascii="Times New Roman" w:hAnsi="Times New Roman"/>
          <w:b/>
          <w:color w:val="252525"/>
          <w:sz w:val="24"/>
        </w:rPr>
        <w:t>Effective Date</w:t>
      </w:r>
      <w:r>
        <w:rPr>
          <w:rFonts w:ascii="Times New Roman" w:hAnsi="Times New Roman"/>
          <w:color w:val="252525"/>
          <w:sz w:val="20"/>
        </w:rPr>
        <w:t>”</w:t>
      </w:r>
      <w:r>
        <w:rPr>
          <w:rFonts w:ascii="Times New Roman" w:hAnsi="Times New Roman"/>
          <w:color w:val="252525"/>
          <w:sz w:val="24"/>
        </w:rPr>
        <w:t>) and shall apply to Incentive-Based Compensation that is received by a Covered Executive on or after that date, as determined by the Board in accordance with applicable rules or standards adopted by the SEC and the listing standards of any national securities exchange on which the Company’s securities are listed.</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XII.</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Amendment; Termination</w:t>
      </w:r>
    </w:p>
    <w:p>
      <w:pPr>
        <w:pStyle w:val="TextBody"/>
        <w:bidi w:val="0"/>
        <w:spacing w:before="0" w:after="120"/>
        <w:jc w:val="both"/>
        <w:rPr>
          <w:rFonts w:ascii="Times New Roman" w:hAnsi="Times New Roman"/>
          <w:color w:val="252525"/>
          <w:sz w:val="24"/>
        </w:rPr>
      </w:pPr>
      <w:r>
        <w:rPr>
          <w:rFonts w:ascii="Times New Roman" w:hAnsi="Times New Roman"/>
          <w:color w:val="252525"/>
          <w:sz w:val="24"/>
        </w:rPr>
        <w:t>The Board may amend this Policy from time to time in its discretion and shall amend this Policy as it deems necessary to comply with any rules or standards adopted by the SEC and the listing standards of any a national securities exchange on which the Company’s securities are listed. The Board may terminate this Policy at any time.</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XIII.</w:t>
      </w:r>
    </w:p>
    <w:p>
      <w:pPr>
        <w:pStyle w:val="TextBody"/>
        <w:bidi w:val="0"/>
        <w:spacing w:before="0" w:after="120"/>
        <w:jc w:val="both"/>
        <w:rPr>
          <w:rFonts w:ascii="Times New Roman" w:hAnsi="Times New Roman"/>
          <w:b/>
          <w:color w:val="000000"/>
          <w:sz w:val="24"/>
          <w:u w:val="single"/>
        </w:rPr>
      </w:pPr>
      <w:r>
        <w:rPr>
          <w:rFonts w:ascii="Times New Roman" w:hAnsi="Times New Roman"/>
          <w:b/>
          <w:color w:val="000000"/>
          <w:sz w:val="24"/>
          <w:u w:val="single"/>
        </w:rPr>
        <w:t>Other Recoupment Rights</w:t>
      </w:r>
    </w:p>
    <w:p>
      <w:pPr>
        <w:pStyle w:val="TextBody"/>
        <w:bidi w:val="0"/>
        <w:spacing w:before="0" w:after="240"/>
        <w:jc w:val="both"/>
        <w:rPr>
          <w:rFonts w:ascii="Times New Roman" w:hAnsi="Times New Roman"/>
          <w:color w:val="252525"/>
          <w:sz w:val="24"/>
        </w:rPr>
      </w:pPr>
      <w:r>
        <w:rPr>
          <w:rFonts w:ascii="Times New Roman" w:hAnsi="Times New Roman"/>
          <w:color w:val="252525"/>
          <w:sz w:val="24"/>
        </w:rPr>
        <w:t>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s://www.sec.gov/Archives/edgar/data/1527599/000110465917032941/a17-13113_1ex2d1.htm" TargetMode="External"/><Relationship Id="rId11" Type="http://schemas.openxmlformats.org/officeDocument/2006/relationships/hyperlink" Target="https://www.sec.gov/Archives/edgar/data/1527599/000110465917032941/a17-13113_1ex2d1.htm" TargetMode="External"/><Relationship Id="rId12" Type="http://schemas.openxmlformats.org/officeDocument/2006/relationships/hyperlink" Target="https://www.sec.gov/Archives/edgar/data/1527599/000110465915069368/a15-14644_8ex3d1.htm" TargetMode="External"/><Relationship Id="rId13" Type="http://schemas.openxmlformats.org/officeDocument/2006/relationships/hyperlink" Target="https://www.sec.gov/Archives/edgar/data/1527599/000119312517270395/d431294dex31.htm" TargetMode="External"/><Relationship Id="rId14" Type="http://schemas.openxmlformats.org/officeDocument/2006/relationships/hyperlink" Target="https://www.sec.gov/Archives/edgar/data/1527599/000119312517270395/d431294dex32.htm" TargetMode="External"/><Relationship Id="rId15" Type="http://schemas.openxmlformats.org/officeDocument/2006/relationships/hyperlink" Target="https://www.sec.gov/Archives/edgar/data/1527599/000119312523167885/d520938dex31.htm" TargetMode="External"/><Relationship Id="rId16" Type="http://schemas.openxmlformats.org/officeDocument/2006/relationships/hyperlink" Target="https://www.sec.gov/Archives/edgar/data/1527599/000119312523245646/d556575dex31.htm" TargetMode="External"/><Relationship Id="rId17" Type="http://schemas.openxmlformats.org/officeDocument/2006/relationships/hyperlink" Target="https://www.sec.gov/Archives/edgar/data/1527599/000110465915069368/a15-14644_8ex3d2.htm" TargetMode="External"/><Relationship Id="rId18" Type="http://schemas.openxmlformats.org/officeDocument/2006/relationships/hyperlink" Target="https://www.sec.gov/Archives/edgar/data/1527599/000119312524039969/d768289dex31.htm" TargetMode="External"/><Relationship Id="rId19" Type="http://schemas.openxmlformats.org/officeDocument/2006/relationships/hyperlink" Target="https://www.sec.gov/Archives/edgar/data/1527599/000104746915007386/a2226006zex-4_2.htm" TargetMode="External"/><Relationship Id="rId20" Type="http://schemas.openxmlformats.org/officeDocument/2006/relationships/hyperlink" Target="https://www.sec.gov/Archives/edgar/data/1527599/000119312519170721/d766098dex41.htm" TargetMode="External"/><Relationship Id="rId21" Type="http://schemas.openxmlformats.org/officeDocument/2006/relationships/hyperlink" Target="https://www.sec.gov/Archives/edgar/data/1527599/000119312523246542/d741024dex41.htm" TargetMode="External"/><Relationship Id="rId22" Type="http://schemas.openxmlformats.org/officeDocument/2006/relationships/hyperlink" Target="https://www.sec.gov/Archives/edgar/data/1527599/000119312523246542/d741024dex42.htm" TargetMode="External"/><Relationship Id="rId23" Type="http://schemas.openxmlformats.org/officeDocument/2006/relationships/hyperlink" Target="https://www.sec.gov/Archives/edgar/data/1527599/000156459020010261/sybx-ex43_732.htm" TargetMode="External"/><Relationship Id="rId24" Type="http://schemas.openxmlformats.org/officeDocument/2006/relationships/hyperlink" Target="https://www.sec.gov/Archives/edgar/data/1527599/000119312524039969/d768289dex41.htm" TargetMode="External"/><Relationship Id="rId25" Type="http://schemas.openxmlformats.org/officeDocument/2006/relationships/hyperlink" Target="https://www.sec.gov/Archives/edgar/data/1527599/000156459018006323/sybx-ex101_397.htm" TargetMode="External"/><Relationship Id="rId26" Type="http://schemas.openxmlformats.org/officeDocument/2006/relationships/hyperlink" Target="https://www.sec.gov/Archives/edgar/data/1527599/000104746915007251/a2225898zex-10_9b.htm" TargetMode="External"/><Relationship Id="rId27" Type="http://schemas.openxmlformats.org/officeDocument/2006/relationships/hyperlink" Target="https://www.sec.gov/Archives/edgar/data/1527599/000104746915007251/a2225898zex-10_9c.htm" TargetMode="External"/><Relationship Id="rId28" Type="http://schemas.openxmlformats.org/officeDocument/2006/relationships/hyperlink" Target="https://www.sec.gov/Archives/edgar/data/1527599/000156459018006323/sybx-ex104_396.htm" TargetMode="External"/><Relationship Id="rId29" Type="http://schemas.openxmlformats.org/officeDocument/2006/relationships/hyperlink" Target="https://www.sec.gov/Archives/edgar/data/1527599/000119312517340965/d458814dex1017.htm" TargetMode="External"/><Relationship Id="rId30" Type="http://schemas.openxmlformats.org/officeDocument/2006/relationships/hyperlink" Target="https://www.sec.gov/ix?doc=/Archives/edgar/data/1527599/000095017024033146/sybx-20231231.htm" TargetMode="External"/><Relationship Id="rId31" Type="http://schemas.openxmlformats.org/officeDocument/2006/relationships/hyperlink" Target="https://www.sec.gov/ix?doc=/Archives/edgar/data/1527599/000095017024033146/sybx-20231231.htm" TargetMode="External"/><Relationship Id="rId32" Type="http://schemas.openxmlformats.org/officeDocument/2006/relationships/hyperlink" Target="https://www.sec.gov/Archives/edgar/data/1527599/000156459018006323/sybx-ex106_235.htm" TargetMode="External"/><Relationship Id="rId33" Type="http://schemas.openxmlformats.org/officeDocument/2006/relationships/hyperlink" Target="https://www.sec.gov/Archives/edgar/data/1527599/000104746915007251/a2225898zex-10_13.htm" TargetMode="External"/><Relationship Id="rId34" Type="http://schemas.openxmlformats.org/officeDocument/2006/relationships/hyperlink" Target="https://www.sec.gov/Archives/edgar/data/1527599/000095017024033146/sybx-ex10_16.htm" TargetMode="External"/><Relationship Id="rId35" Type="http://schemas.openxmlformats.org/officeDocument/2006/relationships/hyperlink" Target="https://www.sec.gov/Archives/edgar/data/1527599/000119312517270395/d431294dex1013.htm" TargetMode="External"/><Relationship Id="rId36" Type="http://schemas.openxmlformats.org/officeDocument/2006/relationships/hyperlink" Target="https://www.sec.gov/Archives/edgar/data/1527599/000119312517310897/d671201dex11.htm" TargetMode="External"/><Relationship Id="rId37" Type="http://schemas.openxmlformats.org/officeDocument/2006/relationships/hyperlink" Target="https://www.sec.gov/Archives/edgar/data/1527599/000156459019030838/sybx-ex102_134.htm" TargetMode="External"/><Relationship Id="rId38" Type="http://schemas.openxmlformats.org/officeDocument/2006/relationships/hyperlink" Target="https://www.sec.gov/Archives/edgar/data/1527599/000156459019030838/sybx-ex102_134.htm" TargetMode="External"/><Relationship Id="rId39" Type="http://schemas.openxmlformats.org/officeDocument/2006/relationships/hyperlink" Target="https://www.sec.gov/Archives/edgar/data/1527599/000156459019030838/sybx-ex102_134.htm" TargetMode="External"/><Relationship Id="rId40" Type="http://schemas.openxmlformats.org/officeDocument/2006/relationships/hyperlink" Target="https://www.sec.gov/Archives/edgar/data/1527599/000119312519321039/d853861dex101.htm" TargetMode="External"/><Relationship Id="rId41" Type="http://schemas.openxmlformats.org/officeDocument/2006/relationships/hyperlink" Target="https://www.sec.gov/Archives/edgar/data/1527599/000095017024093282/sybx-ex10_2.htm" TargetMode="External"/><Relationship Id="rId42" Type="http://schemas.openxmlformats.org/officeDocument/2006/relationships/hyperlink" Target="https://www.sec.gov/Archives/edgar/data/1527599/000095017024093282/sybx-ex10_2.htm" TargetMode="External"/><Relationship Id="rId43" Type="http://schemas.openxmlformats.org/officeDocument/2006/relationships/image" Target="media/image9.jpeg"/><Relationship Id="rId44" Type="http://schemas.openxmlformats.org/officeDocument/2006/relationships/image" Target="media/image9.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107886</Words>
  <Characters>604682</Characters>
  <CharactersWithSpaces>712190</CharactersWithSpaces>
  <Paragraphs>7803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