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020" w:right="2120" w:hanging="4012"/>
        <w:spacing w:after="0" w:line="303" w:lineRule="auto"/>
        <w:tabs>
          <w:tab w:leader="none" w:pos="5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520" w:hanging="512"/>
        <w:spacing w:after="0" w:line="186" w:lineRule="auto"/>
        <w:tabs>
          <w:tab w:leader="none" w:pos="520" w:val="left"/>
        </w:tabs>
        <w:numPr>
          <w:ilvl w:val="0"/>
          <w:numId w:val="2"/>
        </w:numPr>
        <w:rPr>
          <w:rFonts w:ascii="MS PGothic" w:cs="MS PGothic" w:eastAsia="MS PGothic" w:hAnsi="MS PGothic"/>
          <w:sz w:val="9"/>
          <w:szCs w:val="9"/>
          <w:color w:val="auto"/>
        </w:rPr>
      </w:pPr>
      <w:r>
        <w:rPr>
          <w:rFonts w:ascii="Times New Roman" w:cs="Times New Roman" w:eastAsia="Times New Roman" w:hAnsi="Times New Roman"/>
          <w:sz w:val="9"/>
          <w:szCs w:val="9"/>
          <w:b w:val="1"/>
          <w:bCs w:val="1"/>
          <w:color w:val="auto"/>
        </w:rPr>
        <w:t>TRANSITION REPORT PURSUANT TO SECTION 13 OR 15(d) OF THE SECURITIES EXCHANGE ACT OF 1934 FOR THE</w:t>
      </w:r>
    </w:p>
    <w:p>
      <w:pPr>
        <w:spacing w:after="0" w:line="199" w:lineRule="exact"/>
        <w:rPr>
          <w:sz w:val="24"/>
          <w:szCs w:val="24"/>
          <w:color w:val="auto"/>
        </w:rPr>
      </w:pPr>
    </w:p>
    <w:p>
      <w:pPr>
        <w:ind w:left="520"/>
        <w:spacing w:after="0"/>
        <w:tabs>
          <w:tab w:leader="none" w:pos="398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tbl>
      <w:tblPr>
        <w:tblLayout w:type="fixed"/>
        <w:tblInd w:w="1820" w:type="dxa"/>
        <w:tblCellMar>
          <w:top w:w="0" w:type="dxa"/>
          <w:left w:w="0" w:type="dxa"/>
          <w:bottom w:w="0" w:type="dxa"/>
          <w:right w:w="0" w:type="dxa"/>
        </w:tblCellMar>
      </w:tblPr>
      <w:tr>
        <w:trPr>
          <w:trHeight w:val="526"/>
        </w:trPr>
        <w:tc>
          <w:tcPr>
            <w:tcW w:w="6240" w:type="dxa"/>
            <w:vAlign w:val="bottom"/>
            <w:gridSpan w:val="3"/>
          </w:tcPr>
          <w:p>
            <w:pPr>
              <w:jc w:val="center"/>
              <w:ind w:left="1451"/>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1000" w:type="dxa"/>
            <w:vAlign w:val="bottom"/>
          </w:tcPr>
          <w:p>
            <w:pPr>
              <w:spacing w:after="0"/>
              <w:rPr>
                <w:sz w:val="24"/>
                <w:szCs w:val="24"/>
                <w:color w:val="auto"/>
              </w:rPr>
            </w:pPr>
          </w:p>
        </w:tc>
      </w:tr>
      <w:tr>
        <w:trPr>
          <w:trHeight w:val="190"/>
        </w:trPr>
        <w:tc>
          <w:tcPr>
            <w:tcW w:w="6240" w:type="dxa"/>
            <w:vAlign w:val="bottom"/>
            <w:gridSpan w:val="3"/>
          </w:tcPr>
          <w:p>
            <w:pPr>
              <w:jc w:val="center"/>
              <w:ind w:left="145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000" w:type="dxa"/>
            <w:vAlign w:val="bottom"/>
          </w:tcPr>
          <w:p>
            <w:pPr>
              <w:spacing w:after="0"/>
              <w:rPr>
                <w:sz w:val="16"/>
                <w:szCs w:val="16"/>
                <w:color w:val="auto"/>
              </w:rPr>
            </w:pPr>
          </w:p>
        </w:tc>
      </w:tr>
      <w:tr>
        <w:trPr>
          <w:trHeight w:val="64"/>
        </w:trPr>
        <w:tc>
          <w:tcPr>
            <w:tcW w:w="27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3"/>
        </w:trPr>
        <w:tc>
          <w:tcPr>
            <w:tcW w:w="624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26-1824804</w:t>
            </w:r>
          </w:p>
        </w:tc>
      </w:tr>
      <w:tr>
        <w:trPr>
          <w:trHeight w:val="135"/>
        </w:trPr>
        <w:tc>
          <w:tcPr>
            <w:tcW w:w="6240" w:type="dxa"/>
            <w:vAlign w:val="bottom"/>
            <w:gridSpan w:val="3"/>
          </w:tcPr>
          <w:p>
            <w:pPr>
              <w:jc w:val="center"/>
              <w:ind w:right="4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4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43"/>
        </w:trPr>
        <w:tc>
          <w:tcPr>
            <w:tcW w:w="6240" w:type="dxa"/>
            <w:vAlign w:val="bottom"/>
            <w:gridSpan w:val="3"/>
          </w:tcPr>
          <w:p>
            <w:pPr>
              <w:jc w:val="center"/>
              <w:ind w:right="4160"/>
              <w:spacing w:after="0"/>
              <w:rPr>
                <w:sz w:val="20"/>
                <w:szCs w:val="20"/>
                <w:color w:val="auto"/>
              </w:rPr>
            </w:pPr>
            <w:r>
              <w:rPr>
                <w:rFonts w:ascii="Times New Roman" w:cs="Times New Roman" w:eastAsia="Times New Roman" w:hAnsi="Times New Roman"/>
                <w:sz w:val="16"/>
                <w:szCs w:val="16"/>
                <w:b w:val="1"/>
                <w:bCs w:val="1"/>
                <w:color w:val="auto"/>
              </w:rPr>
              <w:t>301 Binney St., Suite 402</w:t>
            </w:r>
          </w:p>
        </w:tc>
        <w:tc>
          <w:tcPr>
            <w:tcW w:w="1000" w:type="dxa"/>
            <w:vAlign w:val="bottom"/>
          </w:tcPr>
          <w:p>
            <w:pPr>
              <w:spacing w:after="0"/>
              <w:rPr>
                <w:sz w:val="21"/>
                <w:szCs w:val="21"/>
                <w:color w:val="auto"/>
              </w:rPr>
            </w:pPr>
          </w:p>
        </w:tc>
      </w:tr>
      <w:tr>
        <w:trPr>
          <w:trHeight w:val="212"/>
        </w:trPr>
        <w:tc>
          <w:tcPr>
            <w:tcW w:w="624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02142</w:t>
            </w:r>
          </w:p>
        </w:tc>
      </w:tr>
      <w:tr>
        <w:trPr>
          <w:trHeight w:val="166"/>
        </w:trPr>
        <w:tc>
          <w:tcPr>
            <w:tcW w:w="624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40"/>
        </w:trPr>
        <w:tc>
          <w:tcPr>
            <w:tcW w:w="6240" w:type="dxa"/>
            <w:vAlign w:val="bottom"/>
            <w:gridSpan w:val="3"/>
          </w:tcPr>
          <w:p>
            <w:pPr>
              <w:jc w:val="center"/>
              <w:ind w:left="14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401-9975</w:t>
            </w:r>
          </w:p>
        </w:tc>
        <w:tc>
          <w:tcPr>
            <w:tcW w:w="1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55245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60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00" w:type="dxa"/>
            <w:vAlign w:val="bottom"/>
          </w:tcPr>
          <w:p>
            <w:pPr>
              <w:spacing w:after="0"/>
              <w:rPr>
                <w:sz w:val="18"/>
                <w:szCs w:val="18"/>
                <w:color w:val="auto"/>
              </w:rPr>
            </w:pPr>
          </w:p>
        </w:tc>
        <w:tc>
          <w:tcPr>
            <w:tcW w:w="560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Nasdaq Capital Market</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7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58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3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1"/>
              </w:rPr>
              <w:t>YES</w:t>
            </w:r>
          </w:p>
        </w:tc>
        <w:tc>
          <w:tcPr>
            <w:tcW w:w="28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  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w:t>
            </w:r>
          </w:p>
        </w:tc>
        <w:tc>
          <w:tcPr>
            <w:tcW w:w="5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8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0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6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Small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6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9" w:lineRule="exact"/>
        <w:rPr>
          <w:sz w:val="24"/>
          <w:szCs w:val="24"/>
          <w:color w:val="auto"/>
        </w:rPr>
      </w:pPr>
    </w:p>
    <w:p>
      <w:pPr>
        <w:ind w:right="8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7080" w:val="left"/>
          <w:tab w:leader="none" w:pos="77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right="80"/>
        <w:spacing w:after="0" w:line="299" w:lineRule="auto"/>
        <w:rPr>
          <w:sz w:val="20"/>
          <w:szCs w:val="20"/>
          <w:color w:val="auto"/>
        </w:rPr>
      </w:pPr>
      <w:r>
        <w:rPr>
          <w:rFonts w:ascii="Times New Roman" w:cs="Times New Roman" w:eastAsia="Times New Roman" w:hAnsi="Times New Roman"/>
          <w:sz w:val="15"/>
          <w:szCs w:val="15"/>
          <w:color w:val="auto"/>
        </w:rPr>
        <w:t>The aggregate market value of common stock held by non-affiliates of the registrant as of June 30, 2018, the last business day of the registrant’s most recently completed second quarter, was $174.8 million, computed based on the closing price of $9.83 per share on June 30, 2018.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March 5, 2019 there were 25,400,495 shares of the registrant’s common stock, par value $0.001 per share, outstanding.</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1" w:lineRule="exact"/>
        <w:rPr>
          <w:sz w:val="24"/>
          <w:szCs w:val="24"/>
          <w:color w:val="auto"/>
        </w:rPr>
      </w:pPr>
    </w:p>
    <w:p>
      <w:pPr>
        <w:jc w:val="both"/>
        <w:ind w:right="280"/>
        <w:spacing w:after="0" w:line="243" w:lineRule="auto"/>
        <w:rPr>
          <w:sz w:val="20"/>
          <w:szCs w:val="20"/>
          <w:color w:val="auto"/>
        </w:rPr>
      </w:pPr>
      <w:r>
        <w:rPr>
          <w:rFonts w:ascii="Times New Roman" w:cs="Times New Roman" w:eastAsia="Times New Roman" w:hAnsi="Times New Roman"/>
          <w:sz w:val="15"/>
          <w:szCs w:val="15"/>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2019 annual meeting of stockholders to be filed pursuant to Regulation 14A with the Securities and Exchange Commission within 120 days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20" w:type="dxa"/>
            <w:vAlign w:val="bottom"/>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4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4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900" w:type="dxa"/>
            <w:vAlign w:val="bottom"/>
            <w:gridSpan w:val="19"/>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Risk Factors</w:t>
              </w:r>
            </w:hyperlink>
          </w:p>
        </w:tc>
        <w:tc>
          <w:tcPr>
            <w:tcW w:w="8640" w:type="dxa"/>
            <w:vAlign w:val="bottom"/>
            <w:gridSpan w:val="17"/>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Unresolved Staff Comments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Properties</w:t>
              </w:r>
            </w:hyperlink>
          </w:p>
        </w:tc>
        <w:tc>
          <w:tcPr>
            <w:tcW w:w="7500" w:type="dxa"/>
            <w:vAlign w:val="bottom"/>
            <w:gridSpan w:val="11"/>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Legal Proceedings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Mine Safety Disclosures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7"/>
              </w:rPr>
              <w:t>Item 5.</w:t>
            </w:r>
          </w:p>
        </w:tc>
        <w:tc>
          <w:tcPr>
            <w:tcW w:w="380" w:type="dxa"/>
            <w:vAlign w:val="bottom"/>
            <w:gridSpan w:val="3"/>
          </w:tcPr>
          <w:p>
            <w:pPr>
              <w:spacing w:after="0"/>
              <w:rPr>
                <w:sz w:val="18"/>
                <w:szCs w:val="18"/>
                <w:color w:val="auto"/>
              </w:rPr>
            </w:pPr>
          </w:p>
        </w:tc>
        <w:tc>
          <w:tcPr>
            <w:tcW w:w="80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Selected Financial Data</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080" w:type="dxa"/>
            <w:vAlign w:val="bottom"/>
            <w:gridSpan w:val="4"/>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Quantitative and Qualitative Disclosures About Market Risk</w:t>
              </w:r>
            </w:hyperlink>
          </w:p>
        </w:tc>
        <w:tc>
          <w:tcPr>
            <w:tcW w:w="5180" w:type="dxa"/>
            <w:vAlign w:val="bottom"/>
            <w:gridSpan w:val="6"/>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Financial Statements and Supplementary Data</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Controls and Procedures</w:t>
              </w:r>
            </w:hyperlink>
          </w:p>
        </w:tc>
        <w:tc>
          <w:tcPr>
            <w:tcW w:w="3040" w:type="dxa"/>
            <w:vAlign w:val="bottom"/>
            <w:gridSpan w:val="3"/>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Other Information</w:t>
              </w:r>
            </w:hyperlink>
          </w:p>
        </w:tc>
        <w:tc>
          <w:tcPr>
            <w:tcW w:w="7780" w:type="dxa"/>
            <w:vAlign w:val="bottom"/>
            <w:gridSpan w:val="13"/>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76">
              <w:r>
                <w:rPr>
                  <w:rFonts w:ascii="Times New Roman" w:cs="Times New Roman" w:eastAsia="Times New Roman" w:hAnsi="Times New Roman"/>
                  <w:sz w:val="18"/>
                  <w:szCs w:val="18"/>
                  <w:b w:val="1"/>
                  <w:bCs w:val="1"/>
                  <w:color w:val="0000EE"/>
                  <w:w w:val="96"/>
                </w:rPr>
                <w:t>PART III</w:t>
              </w:r>
            </w:hyperlink>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Directors, Executive Officers and Corporate Governance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460" w:type="dxa"/>
            <w:vAlign w:val="bottom"/>
            <w:gridSpan w:val="7"/>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Certain Relationships and Related Transactions, and Director Independence</w:t>
              </w:r>
            </w:hyperlink>
          </w:p>
        </w:tc>
        <w:tc>
          <w:tcPr>
            <w:tcW w:w="1820" w:type="dxa"/>
            <w:vAlign w:val="bottom"/>
            <w:tcBorders>
              <w:top w:val="single" w:sz="8" w:color="0000EE"/>
            </w:tcBorders>
            <w:gridSpan w:val="3"/>
          </w:tcPr>
          <w:p>
            <w:pPr>
              <w:spacing w:after="0"/>
              <w:rPr>
                <w:sz w:val="18"/>
                <w:szCs w:val="18"/>
                <w:color w:val="auto"/>
              </w:rPr>
            </w:pPr>
          </w:p>
        </w:tc>
        <w:tc>
          <w:tcPr>
            <w:tcW w:w="226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Principal Accounting Fees and Services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77">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Exhibits, Financial Statement Schedules</w:t>
              </w:r>
            </w:hyperlink>
          </w:p>
        </w:tc>
        <w:tc>
          <w:tcPr>
            <w:tcW w:w="6640" w:type="dxa"/>
            <w:vAlign w:val="bottom"/>
            <w:gridSpan w:val="9"/>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Form 10-K Summary</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76"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27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advancing our proprietary drug discovery and development platform to create Synthetic Biotic™ medicines, which are designed using synthetic biology to genetically reprogram beneficial microbes to treat metabolic and inflammatory diseases and cancer. Synthetic Biotic medicines are generated by applying the principles and tools of synthetic biology to engineer beneficial microbes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 to patients.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believe that our Synthetic Biotic platform has potential to address both metabolic and immune-mediated diseases and we are evaluating these medicines at different sites of action via different routes of administration, either orally or via injection. While we have designed and created a number of bacterial strains that could potentially be used therapeutically in a range of diseases, our initial focus is on metabolic diseases that could potentially be treated following oral delivery of a living medicine to the gut. This includes metabolic diseases, which include rare genetic diseases as well as metabolic diseases caused by organ dysfunction. When delivered orally, Synthetic Biotic medicines are designed to act from the gut to compensate for a dysfunctional metabolic pathway that results in the toxic accumulation of a metabolite with the intended consequence of reducing the systemic levels of the metabolite. We believe that success in our lead programs in rare metabolic diseases will enable us to demonstrate the potential of our oral Synthetic Biotic medicines to address metabolic dysfunction while bringing meaningful change to the lives of patients suffering from these debilitating conditions.</w:t>
      </w:r>
    </w:p>
    <w:p>
      <w:pPr>
        <w:spacing w:after="0" w:line="185"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Our two lead therapeutic programs are being developed for the treatment of hyperammonemia and phenylketonuria (PKU). SYNB1020, our first therapeutic program to enter clinical trials, is an oral therapy intended for the treatment of hyperammonemia, which includes patients with liver disease such as hepatic encephalopathy (HE) and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(FDA). We initiated a Phase 1 clinical trial in June 2017 to evaluate the safety and tolerability of SYNB1020 in healthy volunteers. In November 2017, we announced top-line data from this study that demonstrated that SYNB1020 was safe and well-tolerated and achieved proof-of-mechanism. In March 2018, we initiated a clinical trial in patients with cirrhosis and elevated blood ammonia to evaluate the safety and tolerability of SYNB1020 as well as the ability of this Synthetic Biotic medicine to lower systemic levels of ammonia. We expect to have top-line data from this study in mid-2019. Upon receipt of satisfactory evidence of ammonia lowering in patients with cirrhosis, we will determine the clinical development path for SYNB1020 for the treatment of conditions resulting in hyperammonemia.</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SYNB1618, our second program to enter clinical trials, is an oral therapy intended for the treatment of PKU, a rare metabolic disease in which the amino acid phenylalanine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FDA. We initiated a Phase 1 / 2a clinical trial for SYNB1618 in April 2018 and announced top-line data from this study in September 2018 that demonstrated that SYNB1618 was safe and well-tolerated and achieved proof-of-mechanism in healthy volunteers and we are currently evaluating SYNB1618 in patients with PKU. We expect to have patient data from this study in mid-2019.</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have developed a portfolio of immuno-oncology (IO) programs designed to deliver activities to modify the tumor microenvironment, activate the immune system and result in tumor reduction, and we envision that multiple engineered functions could be combined in one Synthetic Biotic medicine. These products could also be used in combination with other cancer therapies such as check-point inhibitors. In November 2018, we announced the selection of our first Synthetic Biotic clinical IO candidate, SYNB1891, and have advanced it into preclinical studies to enable filing of an Investigational New Drug (IND) application with the FDA in the second half of 2019. SYNB1891 is an intratumorally administered Synthetic Biotic medicine designed to act as a dual innate activator of the immune system by stimulation via the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xml:space="preserve"> Nissle chassis and production of cyclic di-AMP, an activator of the STING pathway.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early-stage metabolic pipeline includes discovery-stage product candidates for rare metabolic diseases, GI and immune disorders with high unmet needs. We are also leveraging our proprietary technology platform to develop Synthetic Biotic medicines to treat a broader range of human diseases, including metabolic diseases, inflammation and cancer. Synthetic Biotic medicines can be designed to locally deliver combinations of complementary therapeutics to treat these complex disease states.</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To progress our pipeline, we collaborate with key disease experts who have developed robust models of relevant diseases to guide selection of our development candidates and to inform our translational medicine strategy. We focus on indications with clear biomarkers associated with disease progression that enable straightforward, early and ongoing assessment of potential clinical benefit throughout the development process. Our collaboration and intellectual property strategies additionally focus on building or leveraging existing third-party expertise in therapeutic research, preclinical and clinical development, manufacturing and commercialization, while also enhancing our industry-leading position in synthetic biology and metabolic engineering.</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a collaboration with AbbVie S.à.r.l. (AbbVie) to develop Synthetic Biotic medicines for the treatment of inflammatory bowel disease (IBD) such as Crohn’s disease and ulcerative colitis. We have also established a technology collaboration with Ginkgo Bioworks, a privately held high-throughput synthetic biology company, to enable the discovery of new living medicines. We may enter into additional strategic partnerships in the future to maximize the value of our programs and our Synthetic Biotic platform.</w:t>
      </w:r>
    </w:p>
    <w:p>
      <w:pPr>
        <w:spacing w:after="0" w:line="180" w:lineRule="exact"/>
        <w:rPr>
          <w:sz w:val="20"/>
          <w:szCs w:val="20"/>
          <w:color w:val="auto"/>
        </w:rPr>
      </w:pPr>
    </w:p>
    <w:p>
      <w:pPr>
        <w:ind w:right="40" w:firstLine="518"/>
        <w:spacing w:after="0" w:line="271" w:lineRule="auto"/>
        <w:rPr>
          <w:sz w:val="20"/>
          <w:szCs w:val="20"/>
          <w:color w:val="auto"/>
        </w:rPr>
      </w:pPr>
      <w:r>
        <w:rPr>
          <w:rFonts w:ascii="Times New Roman" w:cs="Times New Roman" w:eastAsia="Times New Roman" w:hAnsi="Times New Roman"/>
          <w:sz w:val="18"/>
          <w:szCs w:val="18"/>
          <w:color w:val="auto"/>
        </w:rPr>
        <w:t>We are supported by our Board of Directors and our scientific advisory board, each of which offer complementary experience in drug discovery and development, as well as expertise in building public companies, management, and business development. Our founding science came from the laboratories of Professors James Collins and Timothy Lu from the Massachusetts Institute of Technology (MIT), who remain highly engaged in guiding development and application of our platform.</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pipeline of our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65850" cy="223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585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we advance our lead programs, we continue to learn and improve our Synthetic Biotic platform, which will inform all future portfolio programs. Consequently, we believe we have a robust engine for building a sustainable pipeline of novel, living medicines across a range of diseases. Through the strength of our internal team and network of partners, we believe we can deliver on the promise of Synthetic Biotic medicines to improve the lives of patients with significant unmet medical needs.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Our goal is to use our Synthetic Biotic platform to design, develop and commercialize living medicines to transform the lives of patients for whom conventional treatment approaches are either not available or have limited efficacy and safety. To achieve our goal, we are pursuing the following key strategies: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 w:name="page6"/>
    <w:bookmarkEnd w:id="5"/>
    <w:p>
      <w:pPr>
        <w:ind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Advance Clinical Development of the SYNB1020 Hyperammonemia Program</w:t>
      </w:r>
      <w:r>
        <w:rPr>
          <w:rFonts w:ascii="Times New Roman" w:cs="Times New Roman" w:eastAsia="Times New Roman" w:hAnsi="Times New Roman"/>
          <w:sz w:val="18"/>
          <w:szCs w:val="18"/>
          <w:color w:val="auto"/>
        </w:rPr>
        <w:t>. We initiated our first Phase 1 clinical trial of SYNB1020 to assess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tolerability and pharmacokinetics in healthy volunteers in June 2017. In November 2017, we announced top-line data from this study that demonstrated that SYNB1020 was safe, achieved proof-of-mechanism and enabled us to identify a dose that could be taken forward into a study in patients. In April 2018, we initiated the first clinical trial of a Synthetic Biotic medicine in patients to evaluate SYNB1020 in individuals with cirrhosis as a result of liver disease who had elevated blood ammonia. We expect to have top-line data from this study by mid-2019. Further clinical development of SYNB1020 as a treatment for conditions resulting in hyperammonemia, including HE and UCDs, will be informed by a number of factors, including data from our Phase 1b / 2a study in patients with cirrhosis.</w:t>
      </w:r>
    </w:p>
    <w:p>
      <w:pPr>
        <w:spacing w:after="0" w:line="183"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Advance Clinical Development of SYNB1618 for PKU</w:t>
      </w:r>
      <w:r>
        <w:rPr>
          <w:rFonts w:ascii="Times New Roman" w:cs="Times New Roman" w:eastAsia="Times New Roman" w:hAnsi="Times New Roman"/>
          <w:sz w:val="18"/>
          <w:szCs w:val="18"/>
          <w:color w:val="auto"/>
        </w:rPr>
        <w:t>. We initiated a Phase 1 / 2a clinical trial of SYNB1618 in April 2018. The Phase 1 / 2a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 protocol included healthy volunteers, as well as adult patient cohorts, and is designed to assess safety, tolerability and pharmacodynamics. In September 2018, we announced top-line data from this study that demonstrated that SYNB1618 was safe in healthy volunteers, achieved proof-of-mechanism and enabled us to identify a dose for evaluation in patients with PKU. We expect to have data from the patient cohorts of this study, including insights regarding therapeutic potential from mechanistic biomarkers, by mid-2019. With supportive data from this study we expect to advance SYNB1618 to a larger clinical trial to assess its impact on blood Phe levels in patients with PKU.</w:t>
      </w:r>
    </w:p>
    <w:p>
      <w:pPr>
        <w:spacing w:after="0" w:line="183" w:lineRule="exact"/>
        <w:rPr>
          <w:sz w:val="20"/>
          <w:szCs w:val="20"/>
          <w:color w:val="auto"/>
        </w:rPr>
      </w:pPr>
    </w:p>
    <w:p>
      <w:pPr>
        <w:ind w:right="1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Advance our first IO program into Clinical Development and Continue to Advance our Preclinical Pipeline</w:t>
      </w:r>
      <w:r>
        <w:rPr>
          <w:rFonts w:ascii="Times New Roman" w:cs="Times New Roman" w:eastAsia="Times New Roman" w:hAnsi="Times New Roman"/>
          <w:sz w:val="18"/>
          <w:szCs w:val="18"/>
          <w:color w:val="auto"/>
        </w:rPr>
        <w:t>. We are advancing IND-enabling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studies of SYNB1891, our first IO program, with the goal of filing an IND application in the second half of 2019. We plan to continue to leverage our expertise from our lead programs to accelerate development of discovery-stage Synthetic Biotic programs in lead optimization for the potential treatment of rare metabolic, GI and immune disorders with high unmet needs.</w:t>
      </w:r>
    </w:p>
    <w:p>
      <w:pPr>
        <w:spacing w:after="0" w:line="177"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Clinical Pipeline Progress with Expanded Manufacturing and Formulation Capability. </w:t>
      </w:r>
      <w:r>
        <w:rPr>
          <w:rFonts w:ascii="Times New Roman" w:cs="Times New Roman" w:eastAsia="Times New Roman" w:hAnsi="Times New Roman"/>
          <w:sz w:val="18"/>
          <w:szCs w:val="18"/>
          <w:color w:val="auto"/>
        </w:rPr>
        <w:t>In December 2018, we announced the expansion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manufacturing capabilities to produce clinical trial material for mid-stage studies of our rare metabolic disease and IO programs, through entry into an agreement to lease good manufacturing practice (GMP) clean-room space in Waltham, Massachusetts. The new clean-room facility provides an affordable and flexible option that maximizes control over our processes and timelines enabling us to move efficiently through clinical development to bring our Synthetic Biotic medicines to patients.</w:t>
      </w:r>
    </w:p>
    <w:p>
      <w:pPr>
        <w:spacing w:after="0" w:line="172" w:lineRule="exact"/>
        <w:rPr>
          <w:sz w:val="20"/>
          <w:szCs w:val="20"/>
          <w:color w:val="auto"/>
        </w:rPr>
      </w:pPr>
    </w:p>
    <w:p>
      <w:pPr>
        <w:ind w:right="8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Maximize the Value of the Synthetic Biotic Platform by Leveraging Strategic Partnerships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current partnership with AbbVie is focused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discovery and development of Synthetic Biotic-based therapies for the treatment of IBD, and in November 2018 we announced receipt of a second milestone payment for this program. We expect to continue to explore strategic partnerships that would leverage the complementary capabilities of our partners to develop Synthetic Biotic medicines and maximize the value of our Synthetic Biotic platform.</w:t>
      </w:r>
    </w:p>
    <w:p>
      <w:pPr>
        <w:spacing w:after="0" w:line="177"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Expand the Synthetic Biotic Platform to Lead in the Discovery and Development of Additional Living Medicines and Enabling Technologies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 in the development of engineered non-pathogenic bacteria for therapeutic use, we intend to advance the field of living medicines by continuing to innovate and broaden the potential of our Synthetic Biotic platform to deliver clinically meaningful benefits for patients. We intend to build on our expertise in design, optimization and manufacturing to further develop the Synthetic Biotic platform as a reproducible and scalable engine for generating a pipeline of innovative product candidates that address a broad range of diseases. We have established a technology collaboration with Ginkgo Bioworks, a privately held high-throughput synthetic biology company, to enable the discovery of new living medicines.</w:t>
      </w:r>
    </w:p>
    <w:p>
      <w:pPr>
        <w:spacing w:after="0" w:line="183"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Protect and Leverage Our Intellectual Property Portfolio and Patents</w:t>
      </w:r>
      <w:r>
        <w:rPr>
          <w:rFonts w:ascii="Times New Roman" w:cs="Times New Roman" w:eastAsia="Times New Roman" w:hAnsi="Times New Roman"/>
          <w:sz w:val="18"/>
          <w:szCs w:val="18"/>
          <w:color w:val="auto"/>
        </w:rPr>
        <w:t>. We believe that we have a broad intellectual property portfolio that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patents and patent applications relevant to the engineering, development, manufacturing and formulation of human therapeutic products based on synthetic biology and the metabolic engineering of non-pathogenic bacteria. We intend to continue to protect and leverage our intellectual property assets by maintenance and expansion of our worldwide portfolio of intellectual property, including the pursuit of composition of matter and other intellectual property focused on our Synthetic Biotic programs and our technology platform.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Living Medicines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novel proprietary Synthetic Biotic discovery and development platform combines synthetic biology and metabolic engineering to re-design the genetic circuitry of beneficial non-pathogenic microbes, including probiotic bacteria, and generate living medicines.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6" w:name="page7"/>
    <w:bookmarkEnd w:id="6"/>
    <w:p>
      <w:pPr>
        <w:ind w:firstLine="518"/>
        <w:spacing w:after="0" w:line="255" w:lineRule="auto"/>
        <w:rPr>
          <w:sz w:val="20"/>
          <w:szCs w:val="20"/>
          <w:color w:val="auto"/>
        </w:rPr>
      </w:pPr>
      <w:r>
        <w:rPr>
          <w:rFonts w:ascii="Times New Roman" w:cs="Times New Roman" w:eastAsia="Times New Roman" w:hAnsi="Times New Roman"/>
          <w:sz w:val="18"/>
          <w:szCs w:val="18"/>
          <w:color w:val="auto"/>
        </w:rPr>
        <w:t>We believe living medicines have unique advantages as potential therapeutics. Living cells can carry out functions that cannot be performed by many conventional drug treatments, such as small molecules or antibodies. In contrast to conventional therapeutics that largely engage a single target and address one molecular dysfunction, living medicines can be designed to dynamically sense diseased environments and respond with a programmed and combinatorial effect compensating for the dysfunction of entire processes or pathways missing in disease. Moreover, a living medicine can also function “catalytically,” since a single living cell can carry out multiple cycles of the intended therapeutic activity during its time in the patient. Synthetic Biotic medicines can be designed to sense a local disease context within a patient’s body and to respond by metabolizing toxic substances or delivering combinations of therapeutic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Synthetic Biology and Metabolic Engineering of Non-Pathogenic Bacteria to Produce Living Medicines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Non-Pathogenic Bacteria. </w:t>
      </w:r>
      <w:r>
        <w:rPr>
          <w:rFonts w:ascii="Times New Roman" w:cs="Times New Roman" w:eastAsia="Times New Roman" w:hAnsi="Times New Roman"/>
          <w:sz w:val="18"/>
          <w:szCs w:val="18"/>
          <w:color w:val="auto"/>
        </w:rPr>
        <w:t>Bacteria is isolated from the human microbiota and widely used as supplements that are believed to provide health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Bacteria have evolved over millions of years to adapt, survive, and carry out active metabolism in many different environments. They are also amenable to genetic manipulation. To confer a therapeutic effect, we leverage basic biological properties of bacteria and tools of synthetic biology to develop Synthetic Biotic medicines.</w:t>
      </w:r>
    </w:p>
    <w:p>
      <w:pPr>
        <w:spacing w:after="0" w:line="180"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Using Synthetic Biology to Generate Synthetic Biotic Medicines. </w:t>
      </w:r>
      <w:r>
        <w:rPr>
          <w:rFonts w:ascii="Times New Roman" w:cs="Times New Roman" w:eastAsia="Times New Roman" w:hAnsi="Times New Roman"/>
          <w:sz w:val="18"/>
          <w:szCs w:val="18"/>
          <w:color w:val="auto"/>
        </w:rPr>
        <w:t>Our scientists genetically engineer a beneficial non-pathogenic bacterium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“wiring” or biological circuits to direct cellular biological processes in a manner analogous to designing electrical circuits. The critical parts of an engineered Synthetic Biotic medicine include (1) the chassis, or non-pathogenic bacterium, (2) the effector module, which is a gene or pathway encoding the core biological activity that provides the therapeutic function, and (3) tunable switches to precisely determine the circumstances under which the effector module will be activated, as well as the potency, performance and output of the effectors themselves. We aim to precisely and appropriately control the amount, location and activity of our Synthetic Biotic medicines to address specific diseases.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Schematic of the Synthetic Biotic Platform Components: Chassis, Effector,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18415</wp:posOffset>
            </wp:positionV>
            <wp:extent cx="6165850" cy="385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585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7" w:name="page8"/>
    <w:bookmarkEnd w:id="7"/>
    <w:p>
      <w:pPr>
        <w:ind w:right="40" w:firstLine="526"/>
        <w:spacing w:after="0" w:line="254" w:lineRule="auto"/>
        <w:tabs>
          <w:tab w:leader="none" w:pos="773"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Chassis: </w:t>
      </w:r>
      <w:r>
        <w:rPr>
          <w:rFonts w:ascii="Times New Roman" w:cs="Times New Roman" w:eastAsia="Times New Roman" w:hAnsi="Times New Roman"/>
          <w:sz w:val="18"/>
          <w:szCs w:val="18"/>
          <w:color w:val="auto"/>
        </w:rPr>
        <w:t>Our Synthetic Biotic platform currently employs well-characterized bacteria used as probiotics to serve as the chassis upon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build our living medicines. Our initial programs use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which is one of many non-pathogenic strains isolated from the human microbiota.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is non-colonizing in the GI and has been used as a probiotic bacterial supplement for the last 20 years to promote gut health. Clinical studies have demonstrated that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xml:space="preserve"> Nissle is rapidly cleared from most individuals with no significant safety issues (Clin. Transl. Sci. (2017) 00, 1—8). We also observed similar rates of clearance from subjects in our recent Phase 1 clinical trial of SYNB1020 in healthy volunteers (</w:t>
      </w:r>
      <w:r>
        <w:rPr>
          <w:rFonts w:ascii="Times New Roman" w:cs="Times New Roman" w:eastAsia="Times New Roman" w:hAnsi="Times New Roman"/>
          <w:sz w:val="18"/>
          <w:szCs w:val="18"/>
          <w:i w:val="1"/>
          <w:iCs w:val="1"/>
          <w:color w:val="auto"/>
        </w:rPr>
        <w:t>Sci. Transl. Med.</w:t>
      </w:r>
      <w:r>
        <w:rPr>
          <w:rFonts w:ascii="Times New Roman" w:cs="Times New Roman" w:eastAsia="Times New Roman" w:hAnsi="Times New Roman"/>
          <w:sz w:val="18"/>
          <w:szCs w:val="18"/>
          <w:color w:val="auto"/>
        </w:rPr>
        <w:t xml:space="preserve"> 2019: Vol. 11, Issue 475, eaau7975). We believe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Nissle’s widespread use as a probiotic is evidence of its utility as a safe background chassis to apply synthetic biology to confer a therapeutic benefit.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Nissle’s metabolic systems and its genetic and metabolic machinery are well understood and provide a robust cellular context into which genetic information can be introduced with high efficiency and little or no damage to the fitness of the bacterium. In addition, the advanced nature of the synthetic biology toolkit available for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enables rapid iterative design, assembly, and testing of prototype product candidates and remains unique among other bacterial and cellular engineering approaches.</w:t>
      </w:r>
    </w:p>
    <w:p>
      <w:pPr>
        <w:spacing w:after="0" w:line="186" w:lineRule="exact"/>
        <w:rPr>
          <w:rFonts w:ascii="Times New Roman" w:cs="Times New Roman" w:eastAsia="Times New Roman" w:hAnsi="Times New Roman"/>
          <w:sz w:val="18"/>
          <w:szCs w:val="18"/>
          <w:i w:val="1"/>
          <w:iCs w:val="1"/>
          <w:color w:val="auto"/>
        </w:rPr>
      </w:pPr>
    </w:p>
    <w:p>
      <w:pPr>
        <w:ind w:left="780" w:hanging="254"/>
        <w:spacing w:after="0"/>
        <w:tabs>
          <w:tab w:leader="none" w:pos="7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Building the Effector Module or Circuit: </w:t>
      </w:r>
      <w:r>
        <w:rPr>
          <w:rFonts w:ascii="Times New Roman" w:cs="Times New Roman" w:eastAsia="Times New Roman" w:hAnsi="Times New Roman"/>
          <w:sz w:val="18"/>
          <w:szCs w:val="18"/>
          <w:color w:val="auto"/>
        </w:rPr>
        <w:t>Synthetic Biotic medicines have the advantage that they can be designed with multiple pathway</w:t>
      </w:r>
    </w:p>
    <w:p>
      <w:pPr>
        <w:spacing w:after="0" w:line="29" w:lineRule="exact"/>
        <w:rPr>
          <w:rFonts w:ascii="Times New Roman" w:cs="Times New Roman" w:eastAsia="Times New Roman" w:hAnsi="Times New Roman"/>
          <w:sz w:val="18"/>
          <w:szCs w:val="18"/>
          <w:i w:val="1"/>
          <w:iCs w:val="1"/>
          <w:color w:val="auto"/>
        </w:rPr>
      </w:pPr>
    </w:p>
    <w:p>
      <w:pPr>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components. We have developed proprietary integration systems to direct stable insertion of multiple genetic circuits and pathways into optimal chromosomal locations, or “landing pads,”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This enables efficient and stable expression of multiple genes encoding enzymes and other proteins. These activities may be further improved for therapeutic effect when combined or when under the control of tunable switches that determine when the mechanisms should be activated. Our Synthetic Biotic platform allows us to engineer two types of mechanistic activities into our Synthetic Biotic medicines: we can engineer living medicines that act as engines capable of metabolic transformations that can substitute or compensate for missing or defective pathways in a patient, and we can also engineer living medicines to produce therapeutically beneficial molecules. We have leveraged proprietary tools, know-how and intellectual property to build multiple Synthetic Biotic lead strains that produce therapeutically relevant effects in preclinical experiments. Progression of these strains as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192" w:lineRule="exact"/>
        <w:rPr>
          <w:rFonts w:ascii="Times New Roman" w:cs="Times New Roman" w:eastAsia="Times New Roman" w:hAnsi="Times New Roman"/>
          <w:sz w:val="18"/>
          <w:szCs w:val="18"/>
          <w:i w:val="1"/>
          <w:iCs w:val="1"/>
          <w:color w:val="auto"/>
        </w:rPr>
      </w:pPr>
    </w:p>
    <w:p>
      <w:pPr>
        <w:ind w:right="140" w:firstLine="526"/>
        <w:spacing w:after="0" w:line="257" w:lineRule="auto"/>
        <w:tabs>
          <w:tab w:leader="none" w:pos="773"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Tunable Switches: </w:t>
      </w:r>
      <w:r>
        <w:rPr>
          <w:rFonts w:ascii="Times New Roman" w:cs="Times New Roman" w:eastAsia="Times New Roman" w:hAnsi="Times New Roman"/>
          <w:sz w:val="18"/>
          <w:szCs w:val="18"/>
          <w:color w:val="auto"/>
        </w:rPr>
        <w:t>We also design and engineer proprietary switches to mediate the activity of the new pathways we introduce into our Synthetic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Biotic medicines, with the goal of controlling the engineered circuit or its therapeutic output. To optimize the fitness of a Synthetic Biotic strain, it is critical that the effector is activated only at the appropriate time and place. The switches are based on engineering DNA elements called “inducible promoters” that are designed to sense and respond to disease states, specific environmental signals, or exogenously added inducing molecules. Our goal is to design and develop Synthetic Biotic medicines programmed with switches to produce therapeutic effects at precisely the right time and location such as the anaerobic environment of the gut, or in the context of local inflammation or other pathogenic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Biotic Portfolio: Initial Applications Designed to Target Different Sites of Action in Metabolic and Immune-mediated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164465</wp:posOffset>
            </wp:positionV>
            <wp:extent cx="5334000" cy="247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40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Our Synthetic Biotic Drug Development Platform and Synthetic Biotic Living Medicines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platform has the potential to provide safe and effective therapies for patients given several attributes of our Synthetic Biotic approach:</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Unique Mechanisms to Treat Systemic Metabolic and Immune Dysfunction</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Synthetic Biotic medicines may be programmed with entire pathways to degrade unwanted molecules or produce those that are beneficial. We believe metabolic pathway complementation is advantageous as compared to gene, RNA or enzyme replacement therapies that are limited to targeting a single gene or protein defect and may require several unique drug products to address genetically heterogeneous patient populations. By compensating with an entire pathway, Synthetic Biotic medicines may provide a therapeutic solution to broader disease populations as a single engineered therapeutic. We believe that our approach has advantages for the treatment of metabolic diseases, GI and immune disorders versus those other modalities that may be limited by delivery, transduction efficiency, duration of therapeutic expression and unclear potential for long-term dosing.</w:t>
      </w:r>
    </w:p>
    <w:p>
      <w:pPr>
        <w:spacing w:after="0" w:line="228"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Synthetic Biotic medicines can also be designed to consume or produce metabolites or secrete and display proteins that may shift the tumor microenvironment of the immune system towards anti-tumor activity.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Local Therapeutic Delivery: Production of One or More Effectors at the Site of Disease</w:t>
      </w:r>
    </w:p>
    <w:p>
      <w:pPr>
        <w:spacing w:after="0" w:line="11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We believe that when delivered locally, Synthetic Biotic medicines have the potential to avoid the risks of dose-limiting side effects often associated with systemic therapies, especially when combinations of systemic therapies are required.</w:t>
      </w:r>
    </w:p>
    <w:p>
      <w:pPr>
        <w:spacing w:after="0" w:line="162" w:lineRule="exact"/>
        <w:rPr>
          <w:sz w:val="20"/>
          <w:szCs w:val="20"/>
          <w:color w:val="auto"/>
        </w:rPr>
      </w:pPr>
    </w:p>
    <w:p>
      <w:pPr>
        <w:ind w:right="20" w:firstLine="518"/>
        <w:spacing w:after="0" w:line="281" w:lineRule="auto"/>
        <w:rPr>
          <w:sz w:val="20"/>
          <w:szCs w:val="20"/>
          <w:color w:val="auto"/>
        </w:rPr>
      </w:pPr>
      <w:r>
        <w:rPr>
          <w:rFonts w:ascii="Times New Roman" w:cs="Times New Roman" w:eastAsia="Times New Roman" w:hAnsi="Times New Roman"/>
          <w:sz w:val="17"/>
          <w:szCs w:val="17"/>
          <w:color w:val="auto"/>
        </w:rPr>
        <w:t>Our Synthetic Biotic programs for rare metabolic diseases are designed to be dosed orally, and act locally while transiting through the gut and, as a consequence, decrease toxic metabolite levels in the blood, thereby providing a systemic therapeutic benefit to the patient. This approach is well suited to regulate the amount of a metabolic byproduct in a patient’s body, particularly when there is unconstrained metabolite flux between the systemic circulation and the gut. Given the potential for chronic oral dosing, Synthetic Biotic medicines may have benefits in terms of dose prediction and reversibility of activity.</w:t>
      </w:r>
    </w:p>
    <w:p>
      <w:pPr>
        <w:spacing w:after="0" w:line="165"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 xml:space="preserve">Currently, many complex diseases, such as inflammatory and autoimmune indications and cancer, require that patients are treated systemically with a combination of therapeutic agents, often resulting in poor tolerability, multiple adverse events and increased cost of therapy. Combinations of cytokine, antibody and protein therapies have potential for great benefit, but can be restricted by dose-limiting side effects when administered systemically. Our approach is to leverage the adaptability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enable the combination of multiple activities into one therapy, which therefore could have greater efficacy while avoiding the toxic negative impact of multiple systemic therapies. We believe that the potential to program the control of expression of one or more proteins at the local disease site represents a unique approach to targeted therapy. We have also developed approaches to enhance the secretion of protein effectors to the extracellular environment. We are developing Synthetic Biotic medicines with the potential to normalize function of a dysregulated immune system. For example, in the case of inflammatory conditions, Synthetic Biotic medicines may be programmed to detect inflammation and respond with the production of one or more anti-inflammatory molecules. In oncology, our programs are being designed to produce effectors to promote immune system activity against a tumor. These activities may further be combined with mechanisms that target tumor metabolism. By incorporating multiple actions, Synthetic Biotic medicines have the potential to address complex diseases while avoiding the risk of systemic toxicity and reducing development costs associated with combining systemic therapies.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Tune and Enhance Efficacy in Context of Disease</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Synthetic Biotic platform includes a suite of switches to permit precise control of the timing and amount of therapeutic effect produced. Synthetic Biotic therapies may be designed such that they are activated to produce the desired effect in a particular disease environment, such as sites of inflammation. This tuning has the potential to increase the therapeutic window by increasing the margin between the level of medicine needed for efficacy relative to the risk of systemic toxic side effects.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Rational Design to Achieve Predictable Drug-like Properties</w:t>
      </w:r>
    </w:p>
    <w:p>
      <w:pPr>
        <w:spacing w:after="0" w:line="11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have demonstrated the ability to move a program from concept to clinical development in as little as three years for our lead programs. Features of our Synthetic Biotic platform enable a highly efficient drug discovery and development process and have the potential to advance product candidates more rapidly and efficiently than is typically possible with other novel or emerging modalities. These include:</w:t>
      </w:r>
    </w:p>
    <w:p>
      <w:pPr>
        <w:spacing w:after="0" w:line="66" w:lineRule="exact"/>
        <w:rPr>
          <w:sz w:val="20"/>
          <w:szCs w:val="20"/>
          <w:color w:val="auto"/>
        </w:rPr>
      </w:pPr>
    </w:p>
    <w:p>
      <w:pPr>
        <w:ind w:left="1040" w:hanging="519"/>
        <w:spacing w:after="0" w:line="254"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Single Strain as Safe Chassis. </w:t>
      </w:r>
      <w:r>
        <w:rPr>
          <w:rFonts w:ascii="Times New Roman" w:cs="Times New Roman" w:eastAsia="Times New Roman" w:hAnsi="Times New Roman"/>
          <w:sz w:val="18"/>
          <w:szCs w:val="18"/>
          <w:color w:val="auto"/>
        </w:rPr>
        <w:t>There are several benefits of employing a single, safe and well-characterized probiotic bacterium such as</w:t>
      </w:r>
      <w:r>
        <w:rPr>
          <w:rFonts w:ascii="Times New Roman" w:cs="Times New Roman" w:eastAsia="Times New Roman" w:hAnsi="Times New Roman"/>
          <w:sz w:val="18"/>
          <w:szCs w:val="18"/>
          <w:i w:val="1"/>
          <w:iCs w:val="1"/>
          <w:color w:val="auto"/>
        </w:rPr>
        <w:t xml:space="preserve"> E. coli </w:t>
      </w:r>
      <w:r>
        <w:rPr>
          <w:rFonts w:ascii="Times New Roman" w:cs="Times New Roman" w:eastAsia="Times New Roman" w:hAnsi="Times New Roman"/>
          <w:sz w:val="18"/>
          <w:szCs w:val="18"/>
          <w:color w:val="auto"/>
        </w:rPr>
        <w:t xml:space="preserve">Nissle as the background chassis. First, because our lead programs are based on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experience can be leveraged broadly across the portfolio, further optimizing the efficiency and reproducibility of discovery, development and manufacturing efforts. Next, the non-colonizing nature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can be combined with engineering approaches to optimize safety in terms of impact on the patient and the environment. </w:t>
      </w:r>
      <w:r>
        <w:rPr>
          <w:rFonts w:ascii="Times New Roman" w:cs="Times New Roman" w:eastAsia="Times New Roman" w:hAnsi="Times New Roman"/>
          <w:sz w:val="18"/>
          <w:szCs w:val="18"/>
          <w:i w:val="1"/>
          <w:iCs w:val="1"/>
          <w:color w:val="auto"/>
        </w:rPr>
        <w:t xml:space="preserve">E. coli </w:t>
      </w:r>
      <w:r>
        <w:rPr>
          <w:rFonts w:ascii="Times New Roman" w:cs="Times New Roman" w:eastAsia="Times New Roman" w:hAnsi="Times New Roman"/>
          <w:sz w:val="18"/>
          <w:szCs w:val="18"/>
          <w:color w:val="auto"/>
        </w:rPr>
        <w:t>Nissle can be engineered to require a specific exogenous nutrient supplement for growth, which limits the ability to replicate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body and environment. By controlling replication, we can control the number of cells being administered to a patient, which limits patient-to-patient variability. Also, dependence on an essential nutritional supplement not available in the environment reduces biocontainment risk. Moreover, the risk of a Synthetic Biotic medicine to the environment is further limited given that it is disadvantaged in terms of fitness due to its modifications.</w:t>
      </w:r>
    </w:p>
    <w:p>
      <w:pPr>
        <w:spacing w:after="0" w:line="81" w:lineRule="exact"/>
        <w:rPr>
          <w:rFonts w:ascii="Times New Roman" w:cs="Times New Roman" w:eastAsia="Times New Roman" w:hAnsi="Times New Roman"/>
          <w:sz w:val="18"/>
          <w:szCs w:val="18"/>
          <w:color w:val="auto"/>
        </w:rPr>
      </w:pPr>
    </w:p>
    <w:p>
      <w:pPr>
        <w:ind w:left="1040" w:right="8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Predictive Pharmacology and Biomarkers</w:t>
      </w:r>
      <w:r>
        <w:rPr>
          <w:rFonts w:ascii="Times New Roman" w:cs="Times New Roman" w:eastAsia="Times New Roman" w:hAnsi="Times New Roman"/>
          <w:sz w:val="18"/>
          <w:szCs w:val="18"/>
          <w:color w:val="auto"/>
        </w:rPr>
        <w:t>. Synthetic Biotic programs are designed to achieve a target activity, and the platform supports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73" w:lineRule="exact"/>
        <w:rPr>
          <w:rFonts w:ascii="Times New Roman" w:cs="Times New Roman" w:eastAsia="Times New Roman" w:hAnsi="Times New Roman"/>
          <w:sz w:val="18"/>
          <w:szCs w:val="18"/>
          <w:color w:val="auto"/>
        </w:rPr>
      </w:pPr>
    </w:p>
    <w:p>
      <w:pPr>
        <w:ind w:left="104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Biomarkers as indicators of mechanistic and clinical activity may also be engineered into Synthetic Biotic medicines from the beginning to drive optimization and decision-making. By assessing the activities of our Synthetic Biotic programs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models, we can model activity in humans. As we progress through clinical studies, we expect our predictive pharmacology models will be further refined to inform dosing and development decisions for our additional programs.</w:t>
      </w:r>
    </w:p>
    <w:p>
      <w:pPr>
        <w:spacing w:after="0" w:line="69" w:lineRule="exact"/>
        <w:rPr>
          <w:rFonts w:ascii="Times New Roman" w:cs="Times New Roman" w:eastAsia="Times New Roman" w:hAnsi="Times New Roman"/>
          <w:sz w:val="18"/>
          <w:szCs w:val="18"/>
          <w:color w:val="auto"/>
        </w:rPr>
      </w:pPr>
    </w:p>
    <w:p>
      <w:pPr>
        <w:jc w:val="both"/>
        <w:ind w:left="1040" w:right="6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Stability and Manufacturing</w:t>
      </w:r>
      <w:r>
        <w:rPr>
          <w:rFonts w:ascii="Times New Roman" w:cs="Times New Roman" w:eastAsia="Times New Roman" w:hAnsi="Times New Roman"/>
          <w:sz w:val="18"/>
          <w:szCs w:val="18"/>
          <w:color w:val="auto"/>
        </w:rPr>
        <w:t>. Our lead Synthetic Biotic programs have advanced the platform by defining manufacturing processes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the entire portfolio. Our use of synthetic biology switches permits the precise control of engineered metabolic pathway activation. We use switches to suppress effector activity during manufacturing, enabling development of reproducible processes for generation of biomass and robust, cost-efficient scale up of product candidates.</w:t>
      </w:r>
    </w:p>
    <w:p>
      <w:pPr>
        <w:spacing w:after="0" w:line="73" w:lineRule="exact"/>
        <w:rPr>
          <w:rFonts w:ascii="Times New Roman" w:cs="Times New Roman" w:eastAsia="Times New Roman" w:hAnsi="Times New Roman"/>
          <w:sz w:val="18"/>
          <w:szCs w:val="18"/>
          <w:color w:val="auto"/>
        </w:rPr>
      </w:pPr>
    </w:p>
    <w:p>
      <w:pPr>
        <w:ind w:left="104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efforts have demonstrated reproducibility, yield and stability during small, medium and Phase 1 clinical-scale campaigns where we have developed and executed processes to manufacture 3,000 to 5,000 doses of active drug. In December 2018, we entered into an agreement to lease GMP clean-room space from the Azzur Group, LLC. The agreement has expanded our manufacturing capabilities to enable in-house manufacturing of liquid and solid formulations for mid-stage clinical trials of our orally administered and IO Synthetic Biotic medicines.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Approach to Selection of Therapeutic Area</w:t>
      </w:r>
    </w:p>
    <w:p>
      <w:pPr>
        <w:spacing w:after="0" w:line="12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We believe that our Synthetic Biotic platform has potential to address both metabolic and immune-mediated diseases and we are evaluating these medicines at different sites of action via different routes of administration, either orally or via injection. Our approach to selecting our initial metabolic programs was based on the potential of the Synthetic Biotic platform to uniquely address conditions in which there is (1) unmet medical need with (2) well understood biology that is (3) based on an imbalance of a metabolite and (4) where that metabolite is available within or originates from the gut lumen. Additional considerations include the availability of animal models, relevant biomarkers and feasible clinical development paths. Our initial clinical and preclinical programs have been focused on certain rare metabolic diseases and acquired metabolic diseases that share these characteristics. When delivered orally, these Synthetic Biotic medicines are designed to act from the gut to compensate for the dysfunctional metabolic pathway with the intended consequence of reducing systemic levels of the toxic metabolites. We believe that clinical success in these programs will enable us to demonstrate the potential of our oral Synthetic Biotic medicines to address metabolic dysfunction, while bringing meaningful change to lives of patients suffering from these debilitating conditions. Our two lead therapeutic programs are being developed for the treatment of hyperammonemia (SYNB1020) and PKU (SYNB1618). Our early-stage metabolic pipeline includes discovery-stage product candidates for rare metabolic and GI tract diseases.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10" w:name="page11"/>
    <w:bookmarkEnd w:id="10"/>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We are also leveraging our proprietary technology platform to develop Synthetic Biotic medicines to treat a broader range of human diseases, including metabolic diseases, inflammation and cancer. We are developing a portfolio of IO programs capitalizing on the natural immunostimulatory characteristic of our bacterial chassis and using a rational approach to engineer specific effectors to stimulate the innate and adaptive arms of the immune system, alter the tumor microenvironment and to select combinations of relevant mechanisms and treatments to address specific tumor types.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Initial Programs: Overview of Rare Metabolic Diseases</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Patients with rare metabolic diseases are born with mutations in certain genes that result in the loss of a necessary enzyme function in an essential metabolic pathway and prevent the body from metabolizing commonly occurring byproducts of digestion. In patients with such diseases, these byproducts can accumulate to toxic levels in the gut and systemically throughout the body to cause serious health consequences, including irreversible neurological dysfunction. Although in some cases diet modification can be beneficial, high unmet medical need remains as there are few current therapeutic treatments.</w:t>
      </w:r>
    </w:p>
    <w:p>
      <w:pPr>
        <w:spacing w:after="0" w:line="180"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While there are hundreds of genetic conditions that fall into this class, individual disorders are considered orphan diseases, with each disease affecting fewer than 200,000 patients in the United States and fewer than five per 10,000 people in the European Union. This includes diseases such as urea cycle and amino acid metabolism disorders. Many rare metabolic diseases are thought to be underdiagnosed given the rarity of the conditions, potential for infant death and lack of available diagnostics and limited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SYNB1020 for Hyperammonemia: Urea Cycle Disorders and Hepatic Encephalopathy</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Hyperammonemia is a metabolic condition characterized by an excess of ammonia in the blood. In healthy individuals, ammonia is primarily produced in the intestine as a byproduct of protein metabolism and microbial degradation of nitrogen-containing compounds. Ammonia itself is then converted to urea in the liver and is excreted in urine. However, if the liver’s ability to convert ammonia to urea is compromised, either due to a genetic defect or acquired liver disease, ammonia accumulates in the blood. Elevated blood ammonia levels are toxic to the brain and can have severe consequences including neurologic crises requiring hospitalization, irreversible cognitive damage and death.</w:t>
      </w:r>
    </w:p>
    <w:p>
      <w:pPr>
        <w:spacing w:after="0" w:line="18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believe that because the majority of ammonia is produced in the gastrointestinal (GI) tract, an orally administered Synthetic Biotic medicine could be an effective therapeutic to reduce the levels of excess ammonia in the blood of patients with HE and UCDs without the need for severe protein restriction and the risk of systemic toxicities. The FDA granted SYNB1020 orphan drug designation for UCDs in August 2016 and Fast Track designation in June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HE</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primary function of the liver is to filter out toxins, particularly ammonia, that are harmful if not correctly metabolized. In patients whose liver function is impaired, these toxins can accumulate in the blood stream and cause organ damage, particularly in the brain, which leads to a decline in brain function that is referred to as HE. Ammonia, a highly toxic substance produced in the body as a byproduct of protein metabolism, plays a key role in the development and prognosis of HE. While ammonia can be minimally metabolized by the brain in patients whose liver function is impaired, excessive ammonia levels can overwhelm the capacity of brain tissue and lead to a greater chance of developing brain swelling, coma and death for patients with HE. It is estimated that 30-45% of patients with chronic liver disease are affected by episodes of HE, and while many HE symptoms can be reversed with appropriate treatment, persistent impairment of memory and learning can occur.</w:t>
      </w:r>
    </w:p>
    <w:p>
      <w:pPr>
        <w:spacing w:after="0" w:line="18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HE severity is typically classified as covert or overt based largely on a patient’s mental state. Covert HE is difficult to diagnose and is often observed in patients with cirrhosis who appear to have no obvious disorientation, but who display mild to moderate symptoms, such as difficulty concentrating, forgetfulness, changes in personality or behavior, and poor sleep. Patients with covert disease are at a higher risk of developing the more severe overt HE and have increasingly been recognized as a cause of morbidity linked with increased risk of traffic accidents and unemployment. Overt HE is associated with obvious mental disorientation and physical symptoms such as lethargy, seizures, tremors, organ failure, or brain swelling, that arise suddenly and may induce a coma or even death, particularly if not adequately treated. Overt HE is associated with a poor prognosis, with one-year survival estimates of 20% to 55%.</w:t>
      </w:r>
    </w:p>
    <w:p>
      <w:pPr>
        <w:spacing w:after="0" w:line="18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current standard of care for overt HE includes lactulose, a non-absorbable disaccharide that prevents the absorption of ammonia in the gut. Lactulose is associated with GI side effects including both painful abdominal cramping and diarrhea. Non-absorbable antibiotics are also used to treat HE, often concurrently with lactulose. Xifaxan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(rifaximin), a broad-spectrum antibiotic used to reduce growth of bacteria that produce ammonia in the colon, was approved for HE based on improvements in the duration of remission, reduced hospitalizations over six months, and improved quality of life in patients with HE. Although rifaximin and lactulose are used therapeutically for overt HE, there are no approved treatments for covert 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11" w:name="page12"/>
    <w:bookmarkEnd w:id="11"/>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Morbidity and mortality associated with overt HE remains high and hospitalizations for HE impose a high burden on community resources. When current therapies fail to control overt HE, patients may be candidates for a potentially curative liver transplantation. There is a need for an effective therapy for patients with HE to reduce episodes of cognitive dysfunction and hospitalizations.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UCD</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UCDs are a group of rare but serious and potentially fatal, genetic diseases. The urea cycle is an enzymatic pathway in which waste nitrogen, produced as a byproduct of protein metabolism, is converted into urea by the liver and eliminated from the body through urine. Patients with a UCD carry a deficiency in one of the six enzymes necessary for completion of the urea cycle, resulting in accumulation of waste nitrogen throughout the body in the form of ammonia, a substance that is highly toxic even in small amounts.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Urea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293370</wp:posOffset>
            </wp:positionV>
            <wp:extent cx="4073525" cy="3121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7352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80" w:right="60"/>
        <w:spacing w:after="0" w:line="241" w:lineRule="auto"/>
        <w:rPr>
          <w:sz w:val="20"/>
          <w:szCs w:val="20"/>
          <w:color w:val="auto"/>
        </w:rPr>
      </w:pPr>
      <w:r>
        <w:rPr>
          <w:rFonts w:ascii="Times New Roman" w:cs="Times New Roman" w:eastAsia="Times New Roman" w:hAnsi="Times New Roman"/>
          <w:sz w:val="14"/>
          <w:szCs w:val="14"/>
          <w:color w:val="auto"/>
        </w:rPr>
        <w:t>Urea Cycle: The urea cycle is a series of five enzymes as well as transporters and cofactors found primarily and the liver and intestine that are involved in the detoxification of ammonia. A sixth enzyme, N-acetylglutamate synthase (not shown) forms an important precursor for this pathway. Deficiencies in any of these six enzymes or damage to hepatocytes containing these enzymes can result in the toxic accumulation of ammonia or urea cycle intermediates.</w:t>
      </w:r>
    </w:p>
    <w:p>
      <w:pPr>
        <w:spacing w:after="0" w:line="222"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UCD patients have intermittent periods of hyperammonemia, the symptoms of which can range from mild (loss of appetite, vomiting, and lethargy) to a severe hyperammonemic crisis associated with long-term cognitive or behavioral impairment, toxic encephalopathy, and even death. Symptoms often depend on the severity of the enzyme deficiency, and patients with the most severe disease present shortly after birth. Hyperammonemia in newborn infants due to UCD could be catastrophic and is associated with 24% mortality. Patients with later onset disease could suffer from a period of hyperammonemia that is often triggered by stress or illness resulting in severe neurological symptoms and associated with a high risk of mortality.</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While it is difficult to estimate the exact incidence and prevalence of UCD, as it is thought that many patients go undiagnosed, it is estimated that UCD occurs in approximately one in 35,000 births in the United States. Based on analysis of the newborn screening data and demographic data from the UCD Longitudinal Registry Study sponsored by the NIH, we believe the size of the diagnosed prevalent population in the United States to be approximately 2,000 patients and that approximately two-thirds of these patients are under 18 years of 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mainstay of management of UCD is dietary protein restriction. Patients must carefully balance their protein intake to ensure the body receives adequate nutrients for growth and development, while avoiding triggering hyperammonemia. However, varying protein requirements and variable growth and activity levels often elicit episodes of hyperammonemia that can result in irreversible neurological damage. To supplement for the lower protein intake, patients may incorporate amino acid dietary formulations, such as L-citrulline or L-arginine, into their diet. However, dietary management remains challenging, especially in infants and children.</w:t>
      </w:r>
    </w:p>
    <w:p>
      <w:pPr>
        <w:spacing w:after="0" w:line="18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only available drugs, Buphenyl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(sodium phenylbutyrate) and Ravicti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(glycerol phenylbutyrate), are approved for the chronic management of patients with UCD and create an alternate pathway for nitrogen/ammonia elimination from the body, although patients must maintain protein restricted diets. Use of sodium phenylbutyrate is limited by pill burden, taste, and tolerability issues that can make compliance challenging. These therapies are mechanistically similar treatment options with limitations on maximal effect due to dose-related neurological safety issues (e.g., vomiting, nausea, headache, somnolence, confusion, or sleepiness) and enzymatic saturation and, therefore, the unmet need remains high.</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When these management approaches fail to control chronic UCD-induced hyperammonemia, patients may be candidates for liver transplantation, which is potentially curative as it may correct the enzyme deficiency that causes UCD. However, transplants are limited by availability of donor organs, are associated with potentially life-threatening risks and require life-long suppression of the immune system. Ultimately, morbidity and mortality remain high in UCD, and patients continue to suffer hyperammonemic crises. We believe that a truly transformative therapy for UCD would be an effective oral medicine without systemic toxicity that will maintain blood ammonia concentrations at a safe level while allowing patients to eat a normal or only moderately restricted diet.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SYNB1020 Design</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SYNB1020 is an orally administered, engineered strain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SYNB1020 was designed to complement the missing or deficient enzyme functions in patients with hyperammonemia with an enhanced pathway to consume ammonia. This mechanism has applicability in liver disease where there is a need to reduce excess ammonia in the colon before it can be absorbed into the blood and cause HE episodes as well as the potential to treat the spectrum of enzyme deficiencies that underlie UCD.</w:t>
      </w:r>
    </w:p>
    <w:p>
      <w:pPr>
        <w:spacing w:after="0" w:line="18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approach was to create a Synthetic Biotic medicine that would continuously consume excess ammonia where it is naturally produced in the colon and produce arginine. Arginine production is deficient in UCD patients due to a defect in the urea cycle, and patients are often treated with arginine supplements.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has an endogenous arginine production pathway that uses four molecules of ammonia for every new molecule of arginine produced. We modified this pathway to significantly enhance arginine production.</w:t>
      </w:r>
    </w:p>
    <w:p>
      <w:pPr>
        <w:spacing w:after="0" w:line="180"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7"/>
          <w:szCs w:val="17"/>
          <w:color w:val="auto"/>
        </w:rPr>
        <w:t>A detailed description of the engineering of SYNB1020, data from preclinical studies in animal models of disease and healthy non-human primates as well as data from our clinical study of SYNB1020 in healthy volunteers was published in January 2019 (</w:t>
      </w:r>
      <w:r>
        <w:rPr>
          <w:rFonts w:ascii="Times New Roman" w:cs="Times New Roman" w:eastAsia="Times New Roman" w:hAnsi="Times New Roman"/>
          <w:sz w:val="17"/>
          <w:szCs w:val="17"/>
          <w:i w:val="1"/>
          <w:iCs w:val="1"/>
          <w:color w:val="auto"/>
        </w:rPr>
        <w:t>Sci. Transl. Med.</w:t>
      </w:r>
      <w:r>
        <w:rPr>
          <w:rFonts w:ascii="Times New Roman" w:cs="Times New Roman" w:eastAsia="Times New Roman" w:hAnsi="Times New Roman"/>
          <w:sz w:val="17"/>
          <w:szCs w:val="17"/>
          <w:color w:val="auto"/>
        </w:rPr>
        <w:t xml:space="preserve"> 2019:Vol. 11, Issue 475, eaau7975).</w:t>
      </w:r>
    </w:p>
    <w:p>
      <w:pPr>
        <w:spacing w:after="0" w:line="136" w:lineRule="exact"/>
        <w:rPr>
          <w:sz w:val="20"/>
          <w:szCs w:val="20"/>
          <w:color w:val="auto"/>
        </w:rPr>
      </w:pPr>
    </w:p>
    <w:p>
      <w:pPr>
        <w:ind w:right="6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In summary, we have demonstrated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that SYNB1020 consumes ammonia and produces arginine at substantially higher rates compared with a control strain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that had not been engineered.</w:t>
      </w:r>
    </w:p>
    <w:p>
      <w:pPr>
        <w:spacing w:after="0" w:line="158"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an animal model of hyperammonemia, the </w:t>
      </w:r>
      <w:r>
        <w:rPr>
          <w:rFonts w:ascii="Times New Roman" w:cs="Times New Roman" w:eastAsia="Times New Roman" w:hAnsi="Times New Roman"/>
          <w:sz w:val="18"/>
          <w:szCs w:val="18"/>
          <w:i w:val="1"/>
          <w:iCs w:val="1"/>
          <w:color w:val="auto"/>
        </w:rPr>
        <w:t>spf-ash</w:t>
      </w:r>
      <w:r>
        <w:rPr>
          <w:rFonts w:ascii="Times New Roman" w:cs="Times New Roman" w:eastAsia="Times New Roman" w:hAnsi="Times New Roman"/>
          <w:sz w:val="18"/>
          <w:szCs w:val="18"/>
          <w:color w:val="auto"/>
        </w:rPr>
        <w:t>/F1 mouse, we observed a dose-dependent decrease in blood ammonia in mice fed a high protein diet that received orally administered SYNB1020 compared to heat inactivated SYNB1020 at the highest dose. This reduction in blood ammonia resulted in improved survival of animals dosed with SYNB1020, compared to animals given the heat-inactivated control. Similar data demonstrating reduction in blood ammonia with SYNB1020 administration have been generated in both a mouse model (the thioacetamide, or TAA model) and in the rat bile duct ligation model of liver damage.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SYNB1020 Clinical Development Plan</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June 2017, we initiated a Phase 1 trial to evaluate the safety, tolerability, and gastrointestinal clearance of single and multiple doses of SYNB1020 in healthy volunteers. In November 2017, we announced top-line data that demonstrated that SYNB1020 was safe and achieved proof-of-mechanism. The Phase 1 trial was a randomized, double-blind, placebo-controlled trial of orally administered SYNB1020 evaluating ascending doses each administered on a single day and multiple ascending doses administered over 14 days. The primary objective of the trial was to assess safety and tolerability of SYNB1020 in healthy volunteers. Secondary objectives were to characterize the microbial kinetics of SYNB1020 in feces as measured by quantitative polymerase chain reaction (qPCR) and gastrointestinal tolerability assessed by the Gastrointestinal Symptom Rating Scale. Exploratory endpoints were designed to evaluate the pharmacodynamic effects of SYNB1020, including measurements of blood ammonia levels and other related biomarkers.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3" w:name="page14"/>
    <w:bookmarkEnd w:id="13"/>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Fifty-two healthy volunteers were dosed orally with either SYNB1020 or placebo (ratio three to one), including 28 in seven cohorts in the single ascending dose (SAD) portion of the study and 24 subjects in three cohorts of the multiple ascending dose (MAD) portion of the trial. Complete safety results from the SAD and MAD Phase 1 trials demonstrate that SYNB1020 was well tolerated at doses of up to 5x10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CFU three times a day for 14 days. Higher doses were associated with mild to moderate gastrointestinal symptoms, mainly nausea and vomiting.</w:t>
      </w:r>
    </w:p>
    <w:p>
      <w:pPr>
        <w:spacing w:after="0" w:line="180"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As expected, we did not observe changes in blood ammonia levels during the trial, as all subjects were healthy volunteers who entered the trial with well-controlled normal blood ammonia levels. In a stable-isotope tracer study in which subjects were orally administered </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N-ammonium chloride, we observed a dose-dependent increase in </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Nitrate, a terminal metabolite of arginine metabolism, in plasma and urine compared to baseline in SYNB1020-treated subjects but not in the placebo group. In subjects treated with the highest dose, the increase in blood and urinary nitrate was statistically-significant compared to placebo-treated subjects. This observation is consistent with SYNB1020’s mechanism of action which converts ammonia into arginine. In addition, conversion of ammonia into arginine was demonstrated in bacteria collected from the feces of treated subjects but not from placebo treated individuals thus demonstrating SYNB1020 retained activity during transit through the colon.</w:t>
      </w:r>
    </w:p>
    <w:p>
      <w:pPr>
        <w:spacing w:after="0" w:line="187"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In addition to demonstrating that SYNB1020 was active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obtained data on the exposure and clearance of SYNB1020 in treated subjects. We observed that amounts of SYNB1020 detected in the feces increased with increasing SYNB1020 dose and that the bacteria behave in a consistent and predictable way with all subjects completely excreting and clearing SYNB1020 from their systems within two weeks after the final dose.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SYNB1020 Upcoming Milestones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April 2018, we initiated the first clinical trial of SYNB1020 in patients with cirrhosis as a result of liver disease who had elevated blood ammonia and we expect to have top-line data by mid-2019. Further clinical development of SYNB1020 for conditions resulting in hyperammonemia, including HE and UCDs, will be informed by a number of factors, including data from our Phase 1b / 2a study in patients with cirrhosis.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SYNB1618 for PKU</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PKU is a rare metabolic disease caused by a genetic defect in the gene phenylalanine hydroxylase (PAH) leading to Phe accumulation in the blood and brain, where it is neurotoxic and can lead to neurological deficits and even death. Current disease management of PKU involves dietary protein restriction with the consumption of phenylalanine-free protein supplements. There are currently two approved medications for treatment of PKU:</w:t>
      </w:r>
    </w:p>
    <w:p>
      <w:pPr>
        <w:spacing w:after="0" w:line="68" w:lineRule="exact"/>
        <w:rPr>
          <w:sz w:val="20"/>
          <w:szCs w:val="20"/>
          <w:color w:val="auto"/>
        </w:rPr>
      </w:pPr>
    </w:p>
    <w:p>
      <w:pPr>
        <w:ind w:left="104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Kuvan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(sapropterin dihydrochloride), an oral medication that is indicated for a subgroup of patients who have some residual PAH activity and does not eliminate the need for ongoing dietary management.</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Palynziq</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(pegvaliase-pqpz), an injectable, pegylated, bacterial enzyme (phenylalanine ammonia-lyase or PAL) that metabolizes Phe and that is indicated for treatment of adult patients.</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Despite recommendations supporting life-long control of phenylalanine levels, compliance is challenging due to the highly restrictive nature of the diet, putting patients at risk for cognitive and psychiatric disease and supporting the need for novel treatment approaches.</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Synthetic Biotic platform is well-suited to complement the missing enzyme function in PKU patients by providing alternative metabolic pathways to consume Phe. Our second rare metabolic disease program, SYNB1618 for PKU, is designed to remove excess Phe from the blood by transforming it into non-toxic metabolites. The FDA granted SYNB1618 orphan drug designation for PKU in October 2017 and Fast Track designation in April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PKU</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Phe is an essential amino acid that enters the body primarily through dietary protein and can be toxic if not sufficiently broken down and eliminated. The metabolism of Phe by the liver is dependent on adequate function of the liver enzyme PAH and the cofactor tetrahydrobiopterin (BH4) necessary for its activity. When the PAH gene is mutated and/or the production of BH4 is blocked, Phe cannot be sufficiently broken down and accumulates to toxic levels (i.e., hyperphenylalaninemia), which can cause irreversible brain damage. PKU is an inherited metabolic disease that presents as a severe form of hyperphenylalaninemia.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disease course of PKU typically involves worsening neurological function that begins in infancy or early childhood. The clinical manifestations vary depending on severity of the enzyme mutation, the time of diagnosis and treatment initiation, and compliance. Symptoms may be extensive, such as severe cognitive impairment, or they may reflect more moderate neurocognitive or physical issues, such as below average intelligence, behavioral or mood disorders, memory loss, difficulty concentrating, decreased motor function, eczema, body odor, and tremors or seizures. A woman with PKU who becomes pregnant could develop maternal PKU if her diet is not strictly controlled, and there is a risk that the baby will be born with one or more birth defects such as cognitive impairment, microcephaly or congenital heart disease.</w:t>
      </w:r>
    </w:p>
    <w:p>
      <w:pPr>
        <w:spacing w:after="0" w:line="18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Based on the success of newborn screening efforts that began in developed countries in the 1960s, it is believed that nearly all PKU patients under the age of 40 have been diagnosed at birth. The National PKU Alliance estimates that in the United States there are currently 16,500 people living with PKU.</w:t>
      </w:r>
    </w:p>
    <w:p>
      <w:pPr>
        <w:spacing w:after="0" w:line="162"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Currently, management of PKU requires a heavily modified diet that restricts protein intake, combined with essential amino acid and vitamin supplementation. Special medical foods, including phenylalanine-free protein formula, provide patients with dietary protein and fulfill other nutrient needs. However, it is challenging for most PKU patients to adhere to the restricted diet to the level that provides the necessary control of phenylalanine levels even with the efforts of supportive family and social networks. Patients often have trouble adhering to the diet, with particular challenges arising during times of increasing independence during adolescence. Furthermore, access to low protein foods can be challenging, as they are costlier and less nutritious than their higher protein, non-modified counterparts.</w:t>
      </w:r>
    </w:p>
    <w:p>
      <w:pPr>
        <w:spacing w:after="0" w:line="18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Kuvan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(sapropterin dihydrochloride) was the first drug approved for the treatment of PKU in 2007. It is indicated for the reduction of blood phenylalanine in patients with hyperphenylalaninemia with residual PAH activity as it is a synthetic form of the BH4 cofactor. Oral administration of Kuvan, along with protein restriction, has lowered phenylalanine levels in patients who have residual PAH activity and/or mild forms of the disease, which accounts for approximately 20-50% of the PKU population. However, Kuvan does not eliminate the need for ongoing dietary management in all patients. Large neutral amino acids have also demonstrated activity in blocking absorption of excess phenylalanine by the intestines and brain but are currently only administered in adolescents and adults.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Paylnziq</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(pegvaliase-pqpz), a pegylated form of recombinant phenylalanine ammonia lyase (PAL), an enzyme that metabolizes phenylalanine but does not require cofactor activity, was approved by the FDA in 2018. While daily Palynziq injections have been proven to lower phenylalanine levels, many patients experience injection site reactions and/or develop antibodies to the product. A Black Box warning of a risk of anaphylaxis is included on the Palynziq label and Palynziq is currently only indicated for adult patients. Other therapeutics in early development include various gene therapy approaches, modified cell therapies and a modified orally delivered enzyme replacement therapy.</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Despite recent improvements in PKU therapy, patients continue to suffer from poor outcomes. Even patients who are diagnosed and treated early have increased risk of neurocognitive abnormalities and psychiatric complications and are burdened by the life-long struggle to comply with strict dietary modifications. Available drug therapies demonstrate limited effectiveness, are accompanied by immunologic and other toxicities, and may still require patients to maintain a heavily restricted diet. We believe a truly transformative therapy would be orally-dosed and provide sustained, safe concentrations of phenylalanine while allowing for a normal or only moderately restricted diet. We believe that a Synthetic Biotic medicine could be an effective oral therapeutic that acts from the gut to consume excess phenylalanine with the consequent effect of reducing levels in the blood without the need for severe phenylalanine restriction or risk of systemic toxicities.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SYNB1618 Design</w:t>
      </w:r>
    </w:p>
    <w:p>
      <w:pPr>
        <w:spacing w:after="0" w:line="119" w:lineRule="exact"/>
        <w:rPr>
          <w:sz w:val="20"/>
          <w:szCs w:val="20"/>
          <w:color w:val="auto"/>
        </w:rPr>
      </w:pPr>
    </w:p>
    <w:p>
      <w:pPr>
        <w:ind w:right="52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SYNB1618 is a genetically-modified strain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engineered to express a synthetic pathway for transporting and metabolizing Phe in patients with PKU following oral administration. SYNB1618 was designed to overcome the missing enzyme function in patients with PKU with complementary pathways to reduce phenylalanine levels.</w:t>
      </w:r>
    </w:p>
    <w:p>
      <w:pPr>
        <w:spacing w:after="0" w:line="174"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designing SNYB1618, we integrated genes, including a form of the PAL enzyme that converts phenylalanine to the non-toxic byproduct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 xml:space="preserve"> cinnamic acid (TCA), which is then converted in the liver to hippurate (HA) and excreted in the urine. TCA and HA function as useful biomarkers of SYNB1618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 detailed description of the engineering of SYNB1618 and data from preclinical studies in an animal model of disease and healthy non-human primates was published in September 2018 (Nat. Biotechnol. 36, 857–864 (2018)).</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SYNB1618 Nonclinical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Efficacy Studies</w:t>
      </w:r>
    </w:p>
    <w:p>
      <w:pPr>
        <w:spacing w:after="0" w:line="11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vivo studies in a mouse model of PKU </w:t>
      </w:r>
      <w:r>
        <w:rPr>
          <w:rFonts w:ascii="Times New Roman" w:cs="Times New Roman" w:eastAsia="Times New Roman" w:hAnsi="Times New Roman"/>
          <w:sz w:val="18"/>
          <w:szCs w:val="18"/>
          <w:i w:val="1"/>
          <w:iCs w:val="1"/>
          <w:color w:val="auto"/>
        </w:rPr>
        <w:t>(enu2-/-)</w:t>
      </w:r>
      <w:r>
        <w:rPr>
          <w:rFonts w:ascii="Times New Roman" w:cs="Times New Roman" w:eastAsia="Times New Roman" w:hAnsi="Times New Roman"/>
          <w:sz w:val="18"/>
          <w:szCs w:val="18"/>
          <w:color w:val="auto"/>
        </w:rPr>
        <w:t xml:space="preserve"> demonstrated that urinary HA concentrations increased in a dose-dependent fashion in SYNB1618-treated mice compared to mice treated with an unengineered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control that did not have the phenylalanine degradation pathway. We also observed that subcutaneous injection of mice on a Phe-restricted diet with phenylalanine resulted in a rapid increase in blood phenylalanine concentrations. The increase associated with this phenylalanine challenge was significantly blunted upon oral administration of SYNB1618 compared to administration of the non-engineered control strain. Similar data were generated with SYNB1618 in healthy non-human primates. With increasing oral doses of SYNB1618, we observed increasing levels of plasma TCA and urinary HA demonstrating that SYNB1618 is functional in the primate gut.Taken together, these data demonstrate that SYNB1618 has activity in the GI tract and can decrease blood Phe levels by degradation of recirculating phenylalanine, as well as dietary Phe. A detailed description of the engineering of SYNB1618 and data from preclinical studies in an animal model of disease and healthy non-human primates was published in September 2018 (Nat. Biotechnol. 36, 857–864 (2018)).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SYNB1618 Clinical Development Plan</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April 2018, we initiated a Phase 1 / 2a, randomized, double-blinded, placebo-controlled study to evaluate the safety, tolerability, and gastrointestinal clearance of SYNB1618. We treated healthy adult volunteers with single- or multiple-ascending doses of SYNB1618 and are currently evaluating SYNB1618 in cohorts of patients with PKU.</w:t>
      </w:r>
    </w:p>
    <w:p>
      <w:pPr>
        <w:spacing w:after="0" w:line="176" w:lineRule="exact"/>
        <w:rPr>
          <w:sz w:val="20"/>
          <w:szCs w:val="20"/>
          <w:color w:val="auto"/>
        </w:rPr>
      </w:pPr>
    </w:p>
    <w:p>
      <w:pPr>
        <w:ind w:right="120" w:firstLine="518"/>
        <w:spacing w:after="0" w:line="289" w:lineRule="auto"/>
        <w:rPr>
          <w:sz w:val="20"/>
          <w:szCs w:val="20"/>
          <w:color w:val="auto"/>
        </w:rPr>
      </w:pPr>
      <w:r>
        <w:rPr>
          <w:rFonts w:ascii="Times New Roman" w:cs="Times New Roman" w:eastAsia="Times New Roman" w:hAnsi="Times New Roman"/>
          <w:sz w:val="17"/>
          <w:szCs w:val="17"/>
          <w:color w:val="auto"/>
        </w:rPr>
        <w:t>Primary endpoints of the study were safety, tolerability and identification of a suitable dose to evaluate in patients with PKU. In addition, exploratory endpoints were designed to evaluate the pharmacodynamic effects of SYNB1618, including production of previously identified biomarkers related to SYNB1618 activity, TCA in plasma and HA in urine, and to provide mechanistic and clinical insights in both healthy volunteers and patients with PKU.</w:t>
      </w:r>
    </w:p>
    <w:p>
      <w:pPr>
        <w:spacing w:after="0" w:line="15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Fifty-six healthy volunteers were dosed orally with either SYNB1618 or placebo (ratio three to one), including 24 in six cohorts in the SAD portion of the study and 32 subjects in three cohorts of the MAD portion of the trial. In September 2017, we announced top-line data demonstrating that in healthy volunteers SYNB1618 was safe and well tolerated at doses up to 2x10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CFU three times a day for seven days. Higher doses were associated with mild to moderate gastrointestinal symptoms, mainly nausea and vomiting. The data also demonstrated proof-of-mechanism for SYNB1618.</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treatment part of the study, subjects were housed in a clinical unit and provided a defined diet. The activity of SYNB1618 was evaluated in fasted subjects in both the SAD and MAD cohorts after administration of a standardized breakfast drink containing a defined amount of protein. At one dose level in the SAD portion of the study, solid food containing an equivalent amount of protein was substituted for the liquid meal. In addition, a labeled Phe tracer (D5-Phe) was orally administered. Blood and urine were collected over a subsequent six-hour period and several metabolites were measured including Phe and SYNB1618-specific biomarkers of Phe metabolism, TCA in blood and HA in urine. This was conducted in the SAD cohorts on the day of dosing and in the MAD cohorts on Day -1 (baseline) and Day 7 (the last day of dosing).</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 statistically significant dose-dependent increase in both plasma TCA and urinary HA was observed in SYNB1618-treated subjects but not in those treated with placebo. Production of metabolites from Phe administered as a free amino acid was similar to Phe administered as whole protein. In addition, production of metabolites was similar whether the protein was administered as a liquid or as a solid meal. In healthy volunteers, who all have normal Phe metabolism, there was no impact on blood Phe levels. All healthy volunteers enrolled in the study cleared SYNB1618 from their GI tracts within the expected timeframe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SYNB1618 Upcoming Milestones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Phase 1/2a trial is ongoing and we are currently evaluating single and multiple doses of SYNB1618 in patients with PKU. The primary endpoints of the study are safety and tolerability. In addition, while the study was not designed to demonstrate and effect on Phe lowering it will enable evaluation of the pharmacodynamic effects of SYNB1618, including production of TCA in plasma and HA in urine in order to characterize the kinetics of SYNB1618 and to provide mechanistic and clinical insights in patients with PKU. We expect to have data in mid-2019.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Synthetic Biotic Medicines for Rare Metabolic, GI and Immune Disorders with High Unmet Needs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design, preclinical research, clinical planning and scalable manufacturing of our lead programs have already informed development of future clinical candidates. Our initial programs were selected based on applicability of the Synthetic Biotic platform to provide pathway complementation in rare metabolic diseases in which the toxic metabolite was known to be associated with the relevant clinical endpoint and to be accessible in the GI tract. Additional examples in which there is opportunity to expand the potential of Synthetic Biotic medicines include discovery-stage programs for rare metabolic, GI and immune disorders with high unmet needs.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Biotic Medicines for Broader Metabolic Disease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Synthetic Biotic platform combined with our product discovery and development capabilities drive the potential for multiple clinically meaningful opportunities for patients affected by a broad set of metabolic diseases of the liver and central nervous system. For these indications, there is need for a safe, oral therapies with local activity in the gut to reset a metabolic dysfunction.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Biotic Medicines for Immunomodulation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Synthetic Biotic platform has the potential to generate clinically meaningful therapies for patients affected by immune-mediated diseases.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Synthetic Biotic Medicines for Immuno-Oncology (IO)</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believe boosting the body’s immune response against tumor cells is one of the most promising advances in the treatment of cancer. The so-called “hot tumors”, those with robust immune cell infiltration, specifically by T cells, have responded well to immunotherapies such as the PD-1 and CTLA-4 checkpoint inhibitors. Checkpoint inhibitors work by blocking pathways that inhibit T cells thus enabling them to recognize and destroy the tumor. Checkpoint inhibitors have significantly extended the lives of patients with several cancer types and, in some cases, have resulted in complete clinical responses. However, a large proportion of tumors are “cold” (i.e., they lack T cells), and respond poorly to current immunotherapy.</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goal is to leverage our Synthetic Biotic platform to design living medicines that can engage multiple immunomodulatory pathways to enhance tumor inflammation and promote robust T cell responses enabling broad tumor response and remission. We believe that such medicines have the potential to expand the patient population that could benefit from immunotherapy. Our approach is designed to deliver robust therapeutic combinations directly to the tumors, without significant systemic exposure. Synthetic Biotic medicines are being developed to be administered by an intra-tumor injection or, in the case of GI cancers, by oral administration and can be engineered to perform three types of functions: metabolic conversions (consumption of an immune-suppressive metabolite or production of an immuno-activating metabolite, secretions or bacterial surface display of proteins (cytokines, chemokines, receptor ligands), and secretion or bacterial surface display of specific single chain antibody domains, known as scFv.</w:t>
      </w:r>
    </w:p>
    <w:p>
      <w:pPr>
        <w:spacing w:after="0" w:line="189"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believe our Synthetic Biotic platform can be deployed in a rational, mechanistic way, and can deliver multiple validated mechanisms to elicit specific immune responses in the tumor microenvironment. Our main mechanistic areas of focus in the context of tumor immunology include:</w:t>
      </w:r>
    </w:p>
    <w:p>
      <w:pPr>
        <w:spacing w:after="0" w:line="52" w:lineRule="exact"/>
        <w:rPr>
          <w:sz w:val="20"/>
          <w:szCs w:val="20"/>
          <w:color w:val="auto"/>
        </w:rPr>
      </w:pPr>
    </w:p>
    <w:p>
      <w:pPr>
        <w:ind w:left="1040" w:hanging="519"/>
        <w:spacing w:after="0" w:line="25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Immune activation and priming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bacterial Synthetic Biotic chassis is predicted to engage innate immune cells in the tumor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microenvironment, thereby initiating an immune cascade to activate and direct T cells to the tumor. Lack of effective presentation of tumor-specific antigens to T cells is recognized as a significant limitation to the initiation of immune responses in tumors. We are building and optimizing Synthetic Biotics medicines with the potential of addressing this issue. For example, our first Synthetic Biotic development program is SYNB1891, an engineered E.coli Nissle designed to produce a STING (STimulator of INterferon Genes) agonist while taking advantage of the chassis effect. The STING pathway plays a critical role in the control of tumor growth at both steady state and following a variety of cytolytic and immune-based therapies by initiating an antitumor immune response and driving tumor regression. SYNB1891 can be delivered directly into the tumor enabling its localized site of action in the tumor microenvironment. The approach of using intra-tumoral injection elicits STING activation in the tumor but not systematically, potentially decreasing the risk of adverse events that may arise from the production of systemic interferon.</w:t>
      </w:r>
    </w:p>
    <w:p>
      <w:pPr>
        <w:spacing w:after="0" w:line="78" w:lineRule="exact"/>
        <w:rPr>
          <w:rFonts w:ascii="Times New Roman" w:cs="Times New Roman" w:eastAsia="Times New Roman" w:hAnsi="Times New Roman"/>
          <w:sz w:val="18"/>
          <w:szCs w:val="18"/>
          <w:color w:val="auto"/>
        </w:rPr>
      </w:pPr>
    </w:p>
    <w:p>
      <w:pPr>
        <w:ind w:left="1040" w:right="24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Immune augmentation/Reversal of immunosuppression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developed strains that actively consume and transform immunosuppressive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metabolites in the tumor microenvironment, with the goal of setting up a milieu conducive to immune activation and tumor destruction. For example, we have built Synthetic Biotic candidates that consume kynurenine to reprogram the tumor microenvironment and to enable recognition of the tumor by the adaptive immune system.</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7" w:name="page18"/>
    <w:bookmarkEnd w:id="17"/>
    <w:p>
      <w:pPr>
        <w:jc w:val="both"/>
        <w:ind w:left="1040" w:right="40" w:hanging="519"/>
        <w:spacing w:after="0" w:line="26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 cell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 antigen-specific T cell expansion and prevention of exhaustion are recognized as key objectives for successful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immunotherapy. We are developing Synthetic Biotic medicines programs to secrete specific cytokines and scFvs to promote T cell survival and expansion.</w:t>
      </w:r>
    </w:p>
    <w:p>
      <w:pPr>
        <w:spacing w:after="0" w:line="65" w:lineRule="exact"/>
        <w:rPr>
          <w:rFonts w:ascii="Times New Roman" w:cs="Times New Roman" w:eastAsia="Times New Roman" w:hAnsi="Times New Roman"/>
          <w:sz w:val="18"/>
          <w:szCs w:val="18"/>
          <w:color w:val="auto"/>
        </w:rPr>
      </w:pPr>
    </w:p>
    <w:p>
      <w:pPr>
        <w:ind w:left="1040" w:right="280" w:hanging="519"/>
        <w:spacing w:after="0" w:line="259"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Stromal modulation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physical structure of tumors is receiving increasing attention as emerging data demonstrate its importance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orchestrating tumor growth, immune evasion and resistance to chemotherapy, such as in pancreatic ductal adenocarcinoma. Tumor-derived extracellular matrix proteins can limit the perfusion of drugs or antibodies, contributing to the remarkable resistance of this tumor type to therapy. We have developed strains that secrete active enzymes with the capacity to remodel extracellular matrix proteins to make the tumor more permeable.</w:t>
      </w:r>
    </w:p>
    <w:p>
      <w:pPr>
        <w:spacing w:after="0" w:line="18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product vision for immuno-oncology is to use a rational approach to selecting and combining relevant mechanisms of action for the microenvironment of specific tumor types. For example, in animal models we are evaluating Synthetic Biotic medicines that combine the antigen release, activation and priming activities of a STING agonist with the immune augmentation and T cell expansion effects of kynurenine consumption. In early studies with intra-tumoral administration, in preclinical mouse models, we have observed high rates of durable response with evidence of an effect not only on the treated tumor, but also a shrinking of tumors outside the scope of the localized treatment (abscopal effect), while avoiding systemic toxicity.</w:t>
      </w:r>
    </w:p>
    <w:p>
      <w:pPr>
        <w:spacing w:after="0" w:line="18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2018, we selected SYNB1891 as our first Synthetic Biotic IO development candidate and are advancing it through IND-enabling studies. We expect to file an IND application for SYNB1891 in the second half of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Synthetic Biotic Medicines for Inflammatory Bowel Disease</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Among immune conditions, IBD is particularly attractive for our Synthetic Biotic platform, as it allows us to leverage knowledge and expertise gleaned from our metabolic programs to develop living medicines that can act locally at the site of disease in the gut. Because our approach is based on local delivery to the site of inflammation and not on systemic administration, we anticipate that our Synthetic Biotic medicines may offer an attractive safety profile in this setting. In 2015, we entered into a multi-year global collaboration with AbbVie focused on the discovery and development of Synthetic Biotic medicines for the treatment of IBD. In June 2017 and September 2018, we announced the achievement of the first and second milestones, respectively in this collaboration.</w:t>
      </w:r>
    </w:p>
    <w:p>
      <w:pPr>
        <w:spacing w:after="0" w:line="188"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Current approaches to treat IBD are focused on therapeutics that modulate the immune system and suppress inflammation. These therapies include steroids, such as prednisone, and tumor necrosis factor inhibitors, such as Humira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(adalimumab). However, these approaches are associated with systemic immunosuppression, which includes greater susceptibility to infectious diseases and cancer. It is estimated that between 1.0-1.3 million patients have IBD in the United States.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execute these functions, including the metabolic production of factors such short chain fatty acids to enhance barrier function, and secreting proteins, such as immunomodulatory cytokines.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To accelerate the development and commercialization of Synthetic Biotic medicines to patients, we have formed, and intend to seek other opportunities to form, strategic alliances with collaborators that can expand our pipeline of therapeutic development and product candidates. We also work, and intend to seek additional opportunities to work, with multiple academic, research and translational medicine organizations and entities to deepen our understanding and development of living medicines with the potential to treat disease and disorders.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AbbVie</w:t>
      </w:r>
    </w:p>
    <w:p>
      <w:pPr>
        <w:spacing w:after="0" w:line="121" w:lineRule="exact"/>
        <w:rPr>
          <w:sz w:val="20"/>
          <w:szCs w:val="20"/>
          <w:color w:val="auto"/>
        </w:rPr>
      </w:pPr>
    </w:p>
    <w:p>
      <w:pPr>
        <w:jc w:val="both"/>
        <w:ind w:right="340" w:firstLine="518"/>
        <w:spacing w:after="0" w:line="261" w:lineRule="auto"/>
        <w:rPr>
          <w:sz w:val="20"/>
          <w:szCs w:val="20"/>
          <w:color w:val="auto"/>
        </w:rPr>
      </w:pPr>
      <w:r>
        <w:rPr>
          <w:rFonts w:ascii="Times New Roman" w:cs="Times New Roman" w:eastAsia="Times New Roman" w:hAnsi="Times New Roman"/>
          <w:sz w:val="18"/>
          <w:szCs w:val="18"/>
          <w:color w:val="auto"/>
        </w:rPr>
        <w:t>In July 2015, we entered into a license agreement with our subsidiary Synlogic IBDCo, Inc. (IBDCo) and an Agreement and Plan of Merger with AbbVie (together, the AbbVie Agreements) to collaborate on the discovery and development of Synthetic Biotic medicines for the treatment of IBD. The AbbVie Agreements provide AbbVie with an exclusive option to acquire IBDCo, which would then have an exclusive worldwide license to develop and commercialize up to three specified Synthetic Biotic medicines for the treatment of IBD.</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Under the terms of the collaboration with AbbVie, we have the responsibility to discover, characterize and optimize one lead Synthetic Biotic product candidate to the point of an IND-enabling package, together with two backup product candidates, through a research and development program covering a limited number of effectors that modulate the IBD pathophysiology. The multi-year collaboration combines AbbVie’s expertise in inflammatory diseases with our expertise in synthetic biology and metabolic engineering. AbbVie agreed to pay IBDCo an upfront payment of $2.0 million, received in December 2015, and up to $16.5 million upon the achievement of certain research milestones.</w:t>
      </w:r>
    </w:p>
    <w:p>
      <w:pPr>
        <w:spacing w:after="0" w:line="18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May 2017, IBDCo achieved the first of these research milestones under the AbbVie Agreements for which it received $2.0 million. On September 27, 2018, AbbVie and the Company signed an amendment (the Second Amendment) to the AbbVie Agreements. The Second Amendment clarified the requirements necessary to complete the second phase which resulted in additional time and effort in the second phase of the research plan. Additionally, the Second Amendment split the next milestone payment under the AbbVie Agreements into two payments: a milestone payment of $2.0 million earned by the Company upon execution of the Second Amendment and the remaining milestone payment of the balance due upon the successful achievement of specified research and pre-clinical events and the advancement to the third phase of the research plan.</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 December 18, 2018, AbbVie and the Company signed an amendment (the Third Amendment) to the AbbVie Agreements. The Third Amendment provides that in the event AbbVie determines that it is necessary to enter into license agreements with certain third parties in a particular country or other jurisdiction which, but for such license, would be infringed by the manufacture, use or sale of any product governed by the AbbVie Agreements, AbbVie would be entitled to deduct certain expenses related to such license agreements from particular payments made to the Company.</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AbbVie accepts our IND-enabling package covering the lead Synthetic Biotic product candidate, AbbVie may exercise its exclusive option to acquire IBDCo, which would house the lead and two backup product candidates. If this option is exercised, AbbVie would pay us an option exercise fee upon the closing of the IBDCo merger and we would be eligible to receive future development, regulatory and commercial milestone payments, and low single digit royalties on sales of the Synthetic Biotic medicines. In addition, AbbVie would then assume full control of all further clinical development and commercial activity, including responsibility for all expenses and decisions.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Collaborations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view strategic partnerships as important drivers for helping accelerate our goal of effectively treating patients, and we will continue to seek strategic alliances with collaborators who can help fund, develop and commercialize our novel therapeutic development and product candidates, particularly in large metabolic indications and immuno-oncology. As the potential application of our Synthetic Biotics platform is extremely broad, we also plan to continue to identify academic, research and translational medicine organizations and entities that can contribute expertise and resources to our programs, to allow us to more rapidly expand our impact to broader patient populations.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Technology Licenses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We believe we are well positioned in terms of intellectual property because we:</w:t>
      </w:r>
    </w:p>
    <w:p>
      <w:pPr>
        <w:spacing w:after="0" w:line="117" w:lineRule="exact"/>
        <w:rPr>
          <w:sz w:val="20"/>
          <w:szCs w:val="20"/>
          <w:color w:val="auto"/>
        </w:rPr>
      </w:pPr>
    </w:p>
    <w:p>
      <w:pPr>
        <w:ind w:left="1040" w:right="20" w:hanging="519"/>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w:t>
      </w:r>
    </w:p>
    <w:p>
      <w:pPr>
        <w:spacing w:after="0" w:line="68"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believe our intellectual property portfolio provides broad coverage of our Synthetic Biotic platform and applicable disease-related technologies, which are directed to diseases and conditions associated with hyperammonemia, hyperphenylalanemia, other IEMs and metabolic disorders, autoimmune and other inflammatory disorders and oncology. As of March 5, 2019, we had 106 Synlogic-owned patents and patent applications in U.S. and foreign jurisdictions, of which 5 have been issued or allowed.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Synlogic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Disease-related applications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disease-related applications in our intellectual property portfolio relate to certain pathological conditions including, but not limited to hyperammonemia, hyperphenylalaninemia, diseases and conditions arising from IEMs, metabolic disorders diseases and conditions associated with an inflammatory state, diseases associated with gut inflammation, compromised gut mucosal barrier (leaky gut), and various autoimmune disorders as well as use in immuno-oncology and provide coverage for engineered bacteria having genetic circuitry designed to specifically address those conditions and the associated disease states. The intellectual property portfolio provides coverage for compositions directed to engineered bacterial strains, methods of making the bacterial strains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IP has expiration dates ranging from December 2035 to February 2037, depending on the indication and excluding any patent term adjustments or extensions.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Technology Applications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addition to the disease-related technology, our intellectual property portfolio also includes applications directed to platform technologies developed internally by us. Exemplary platform technologies include bacterial chassis-related and genetic circuitry-related technological developments, including, for example, improvements in inducible gene regulation, control of bacterial cell growth, including auto-regulation thereof, and systems for importing metabolites, as well as secreting therapeutic effectors. These platform technologies, and our intellectual property coverage thereof, are broadly applicable to our therapeutic Synthetic Biotic medicines.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Licenses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addition to our own patent applications, we have historically licensed patents and patent applications from MIT and Trustees of Boston University (BU) to access intellectual property covering synthetic biology circuitry. The intellectual property licensed from MIT and BU related to genetic circuitry (designed to be modular components for integration into biological systems), cells containing the genetic circuitry, and methods and systems for gene regulation using the genetic circuitry.</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During 2018, we determined our growing portfolio of internally generated intellectual property superseded the in-licensed intellectual property in the BU license and the MIT license. Accordingly, on December 18, 2018, we provided notice to terminate the license agreements with MIT and BU/MIT. The BU license will be terminated effective February 16, 2019 and the MIT license will be terminated effective June 19, 2019.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Considerations</w:t>
      </w:r>
    </w:p>
    <w:p>
      <w:pPr>
        <w:spacing w:after="0" w:line="12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registered trademark portfolio currently contains 14 registered trademarks, and eight pending applications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NDA process and a new biologic must be approved by the FDA through the Biologics License Application (BLA), process before it may be legally marketed 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81"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GLP other applicable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 controlled human clinical trials according to GCP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approval of a companion diagnostic device if the FDA or the sponsor believes that its use is essential for the safe and effective use of a corresponding product;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GMP to assure that the facilities, methods and controls are adequate to preserve the drug’s identity, strength, quality and purity;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22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a topic at the time that it was issued and although it is not binding on the FDA or a sponsor, it provided us with additional information about what should be included in our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institutional review board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40" w:right="8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8"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This phase involves clinical trials in a limited patient population to identify possible adverse effects and safety risks, to preliminarily evaluate the efficacy of the product for specific targeted diseases and to determine dosage tolerance and optimal dosage.</w:t>
      </w:r>
    </w:p>
    <w:p>
      <w:pPr>
        <w:spacing w:after="0" w:line="53" w:lineRule="exact"/>
        <w:rPr>
          <w:rFonts w:ascii="Times New Roman" w:cs="Times New Roman" w:eastAsia="Times New Roman" w:hAnsi="Times New Roman"/>
          <w:sz w:val="18"/>
          <w:szCs w:val="18"/>
          <w:color w:val="auto"/>
        </w:rPr>
      </w:pPr>
    </w:p>
    <w:p>
      <w:pPr>
        <w:ind w:left="1040" w:right="10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safety in an expanded patient population at geographically dispersed clinical study sites. These clinical trials are intended to establish the overall risk benefit ratio of the product candidate and provide, if appropriate, an adequate basis for product labeling.</w:t>
      </w:r>
    </w:p>
    <w:p>
      <w:pPr>
        <w:spacing w:after="0" w:line="176" w:lineRule="exact"/>
        <w:rPr>
          <w:sz w:val="20"/>
          <w:szCs w:val="20"/>
          <w:color w:val="auto"/>
        </w:rPr>
      </w:pPr>
    </w:p>
    <w:p>
      <w:pPr>
        <w:jc w:val="both"/>
        <w:ind w:right="480" w:firstLine="518"/>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testing may not be completed successfully within any specified period, if at all.</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pivotal Phase 3 clinical trial that they believe will support approval of the new drug.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89"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However, there are evolving rules and increasing requirements for publication of all trial related information, and it is possible that data and other information from trials involving drugs that never garner approval could require disclosure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7"/>
          <w:szCs w:val="17"/>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 BLA requesting approval to market the product. The submission of a BLA is subject to the payment of a significant user fee; although a waiver of such fee may be obtained under certain limited circumstances, including where the biologic has been designated as an orphan drug. 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 depth substantive review. The FDA may refer the BLA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The FDA may issue a complete response letter, which may require additional clinical or other data or impose other conditions that must be met in order to secure final approval of the BLA, or an approval letter following satisfactory completion of all aspects of the review process. The FDA reviews a BLA to determine, among other things, whether the product is safe, pure and potent and the facility in which it is manufactured, processed, packed or held meets standards designed to assure the product’s continued safety, purity and potency. Before approving a BLA, the FDA will inspect the facility or facilities where the product is manufactured.</w:t>
      </w:r>
    </w:p>
    <w:p>
      <w:pPr>
        <w:spacing w:after="0" w:line="18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BLAs receive either standard or priority review. A drug representing a significant improvement in treatment, prevention or diagnosis of disease may receive priority review. Priority review for an original BLA will be six months from the date that the BLA is filed. In addition, products studied for their safety and effectiveness in treating serious or life threatening illnesses and that provide meaningful therapeutic benefit over existing treatments may receive accelerated approval and may be approved on the basis of adequate and well controlled clinical trials establishing that the drug product has an effect on a surrogate endpoint that is reasonably likely to predict clinical benefit or on the basis of an effect on a clinical endpoint other than survival or irreversible morbidity. As a condition of approval, the FDA may require that a sponsor of a drug receiving accelerated approval perform adequate and well controlled Phase 4 clinical trials. Priority review and accelerated approval do not change the standards for approval, but may expedite the approval process.</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8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24" w:name="page25"/>
    <w:bookmarkEnd w:id="24"/>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Pediatric Research Equity Act (PREA), requires a sponsor to conduct pediatric clinical trials for most newly approved drugs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Orphan indications are exempt from PREA. The FDA must send a non-compliance letter to any sponsor that fails to submit the required assessment, keep a deferral current or fails to submit a request for approval of a pediatric formulation.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21" w:lineRule="exact"/>
        <w:rPr>
          <w:sz w:val="20"/>
          <w:szCs w:val="20"/>
          <w:color w:val="auto"/>
        </w:rPr>
      </w:pPr>
    </w:p>
    <w:p>
      <w:pPr>
        <w:ind w:right="40" w:firstLine="518"/>
        <w:spacing w:after="0" w:line="271"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spacing w:after="0" w:line="17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Pediatric exclusivity is a type of marketing exclusivity available in the United States. Under the Best Pharmaceuticals for Children Act (BPCA), an additional six months of marketing exclusivity may be available if a sponsor conducts clinical trials in children in response to a written request from the FDA. If a written request does not include clinical trials in neonates, the FDA is required to include its rationale for not requesting those clinical trials. The FDA may request studies on approved or unapproved indications in separate written requests. The issuance of a written request does not require the sponsor to undertake the described clinical trials. To date, we have not received any written requests.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 of 2009</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of 2010 (collectively, ACA), which included the BPCIA, amended the PHSA to create an abbreviated approval pathway for two types of “generic” biologics, biosimilars and interchangeable biologic products, and provides for a 12-year data exclusivity period for the first approved biological product, or reference product, against which a biosimilar or interchangeable application is evaluated; however if pediatric clinical trials are performed and accepted by the FDA, the 12-year data exclusivity period will be extended for an additional six months. Because our product candidates will be regulated as biologics, if they are approved, they may be subject to competition from biosimilars.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may be substituted for the reference product without the intervention of the health care provider who prescribed the reference product.</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184"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An application for a biosimilar product may not be submitted until four years after the date on which the reference product was first approved. The first approved interchangeable biologic product will be granted an exclusivity period of up to one year after it is first commercially marketed, but the exclusivity period may be shortened under certain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8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seven years of orphan product exclusivity, except in very limited circumstances. The FDA will not recognize orphan drug exclusive approval if a sponsor fails to demonstrate upon approval that the drug is clinically superior to a previously approved drug, regardless of whether or not the approved drug was designated an orphan drug or had orphan drug exclusivity.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188"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In August 2016, the FDA granted orphan drug designation for SYNB1020 for the treatment of UCDs. In October 2017, the FDA granted SYNB1618 orphan drug designation for the treatment of PKU.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Approval</w:t>
      </w:r>
    </w:p>
    <w:p>
      <w:pPr>
        <w:spacing w:after="0" w:line="12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FDA has various programs, including Fast-Track, priority review, and accelerated approval, which are intended to expedite or simplify the process for reviewing drugs, and/or provide for approval on the basis of surrogate endpoints. Even if a drug qualifies for one or more of these programs, the FDA may later decide that the drug no longer meets the conditions for qualification or that the time period for FDA review or approval will not be shortened. Generally, drugs that may be eligible for these programs are those for serious or life-threatening conditions, those with the potential to address unmet medical needs, and those that offer meaningful benefits over existing treatments. For example, Fast-Track is a process designed to facilitate the development, and expedite the review, of drugs to treat serious diseases and fill an unmet medical need. The request may be made at the time of IND submission and generally no later than the pre-BLA meeting. The FDA will respond within 60 calendar days of receipt of the request. Priority review, which is requested at the time of BLA submission, is designed to give drugs that offer major advances in treatment or provide a treatment where no adequate therapy exists an initial review within six months as compared to a standard review time of 10 months. Although Fast-Track and priority review do not affect the standards for approval, the FDA will attempt to facilitate early and frequent meetings with a sponsor of a Fast-Track designated drug and expedite review of the application for a drug designated for priority review. Accelerated approval provides approval of drugs that treat serious diseases, and that fill an unmet medical need based on a surrogate endpoint, which is a laboratory measurement or physical sign used as an indirect or substitute measurement representing a clinically meaningful outcome. Discussions with the FDA about the feasibility of an accelerated approval typically begin early in the development of the drug in order to identify, among other things, an appropriate endpoint. As a condition of approval, the FDA may require a sponsor of a drug receiving accelerated approval to perform post-marketing clinical trials to confirm the appropriateness of the surrogate marker trial.</w:t>
      </w:r>
    </w:p>
    <w:p>
      <w:pPr>
        <w:spacing w:after="0" w:line="197"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 Breakthrough Therapy designation is designed to expedite the development and review of drugs that are intended to treat a serious condition where preliminary clinical evidence indicates that the drug may demonstrate substantial improvement over available therapy on a clinically significant endpoint. A sponsor may request Breakthrough Therapy designation at the time that the IND is submitted, or no later than at the end of Phase 2 meeting. The FDA will respond to a Breakthrough Therapy designation request within 60 days of receipt of the request. A drug that receives Breakthrough Therapy designation is eligible for all Fast-Track designation features, intensive guidance on an efficient drug development program, beginning as early as Phase 1.</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2017, the FDA granted Fast-Track designation for the use of SYNB1020 for the treatment of UCDs.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2018, the FDA granted Fast-Track designation for the use of SYNB1618 for the treatment of PKU.</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GMP and other laws and regulations. We rely, and expect to continue to rely, on third parties for the production of clinical and commercial quantities of our products. Future inspections by the FDA and other regulatory agencies may identify compliance issues at the facilities of our contract manufacturers that may disrupt production or distribution or require substantial resources to correct.</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Any drug products manufactured or distributed by us or our partners pursuant to FDA approvals are subject to continuing regulation by the FDA, including, among other things, record 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84"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changed or what the impact of such changes, if any, may be.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4"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Under European Union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European Medicines Agency where it will be evaluated by the Committee for Medicinal Products for Human Use and a favorable opinion typically results in the grant by the European Commission of a single marketing authorization that is valid for all European Union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in the United States, we may apply for designation of a product as an orphan drug for the treatment of a specific indication in the European Union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third-party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newly-approved healthcare products. We may need to conduct expensive pharmacoeconomic studies in order to demonstrate the cost effectiveness of our products. Our product candidates may not be considered cost effective. It is time consuming and expensive for us to seek reimbursement from third-party payors. Reimbursement may not be available or sufficient to allow us to sell our products on a competitive and profitable basis.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Medicare is a federal healthcare program administered by the federal government that covers individuals age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1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60" w:firstLine="518"/>
        <w:spacing w:after="0" w:line="263" w:lineRule="auto"/>
        <w:rPr>
          <w:sz w:val="20"/>
          <w:szCs w:val="20"/>
          <w:color w:val="auto"/>
        </w:rPr>
      </w:pPr>
      <w:r>
        <w:rPr>
          <w:rFonts w:ascii="Times New Roman" w:cs="Times New Roman" w:eastAsia="Times New Roman" w:hAnsi="Times New Roman"/>
          <w:sz w:val="18"/>
          <w:szCs w:val="18"/>
          <w:color w:val="auto"/>
        </w:rPr>
        <w:t>We have made and continue to make significant investments to develop manufacturing processes designed to allow us to reproducibly manufacture high quality living medicines at clinical scale and, later, at commercial scale to enable approval of our product candidates. We have an internal development group and have recently expanded our manufacturing and process development capabilities with the lease of GMP cleanroom space in Waltham, Massachusetts. This facility enables us to produce clinical trial material for early to mid-stage studies of our rare metabolic disease and IO programs. We continue to build the organization to support scale-up and development towards commercialization. We currently expect to continue to work with contract manufacturing organizations (CMOs) for production of late-stage clinical trial material.</w:t>
      </w:r>
    </w:p>
    <w:p>
      <w:pPr>
        <w:spacing w:after="0" w:line="17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Clinical trial material for our Phase 1 studies of SYNB1020 for hyperammonemia and SYNB1618 for PKU were manufactured by a CMO. These first clinical trials used a liquid formulation. We have invested in the development of a solid dose oral formulation for later stage clinical development and commercial use.</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To enable the production of high levels of cells, or biomass, we can engineer our Synthetic Biotic medicines with switches. These switches are comprised of transcription factor and promoter pairs that allow for controlled expression of the therapeutic effectors produced by our Synthetic Biotic medicines.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we progress in clinical development, we will need to increase our scale and eventually to commercial-scale manufacturing. We are in the process of assessing CMOs who meet our criteria to supply our later-stage clinical development and commercial supply. We will compare the merits of working with one or more CMOs who meet our criteria with the possibility of building GMP manufacturing capacity and capabilities internally.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industry-leading expertise in synthetic biology and metabolic engineering of non-pathogenic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8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Competitors to our efforts to provide living medicines to patients with a wide range of indications include other synthetic biology companies developing other synthetic biology methods, cellular and microbiome-based companies, DNA and RNA-based companies, as well as companies developing small molecules or other biologics. In the case of indications that we are targeting with our own Synthetic Biotic medicines, competitors include, but are not limited to:</w:t>
      </w:r>
    </w:p>
    <w:p>
      <w:pPr>
        <w:spacing w:after="0" w:line="70"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UCD</w:t>
      </w:r>
    </w:p>
    <w:p>
      <w:pPr>
        <w:spacing w:after="0" w:line="119"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 Pharma plc has an approved product; and</w:t>
      </w:r>
    </w:p>
    <w:p>
      <w:pPr>
        <w:spacing w:after="0" w:line="117" w:lineRule="exact"/>
        <w:rPr>
          <w:rFonts w:ascii="Times New Roman" w:cs="Times New Roman" w:eastAsia="Times New Roman" w:hAnsi="Times New Roman"/>
          <w:sz w:val="18"/>
          <w:szCs w:val="18"/>
          <w:color w:val="auto"/>
        </w:rPr>
      </w:pPr>
    </w:p>
    <w:p>
      <w:pPr>
        <w:ind w:left="1540" w:right="200" w:hanging="506"/>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Acer Therapeutics Inc., Aeglea Biotherapeutics, Inc. and Ultragenyx Pharmaceutical Inc., have products in clinical testing. Kaleido Biosciences, Inc. is evaluating a product in a non-IND study. Arcturus Therapeutics Inc., Selecta Biosciences, Inc., Translate Bio, Inc. and Versantis AG each have discovery or pre-clinical stage product candidates in development.</w:t>
      </w:r>
    </w:p>
    <w:p>
      <w:pPr>
        <w:spacing w:after="0" w:line="6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w:t>
      </w:r>
    </w:p>
    <w:p>
      <w:pPr>
        <w:spacing w:after="0" w:line="119"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Bausch Health Companies has an approved product; and</w:t>
      </w:r>
    </w:p>
    <w:p>
      <w:pPr>
        <w:spacing w:after="0" w:line="117" w:lineRule="exact"/>
        <w:rPr>
          <w:rFonts w:ascii="Times New Roman" w:cs="Times New Roman" w:eastAsia="Times New Roman" w:hAnsi="Times New Roman"/>
          <w:sz w:val="18"/>
          <w:szCs w:val="18"/>
          <w:color w:val="auto"/>
        </w:rPr>
      </w:pPr>
    </w:p>
    <w:p>
      <w:pPr>
        <w:ind w:left="1540" w:right="220" w:hanging="506"/>
        <w:spacing w:after="0" w:line="313" w:lineRule="auto"/>
        <w:tabs>
          <w:tab w:leader="none" w:pos="15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Mallinckrodt plc, Rebiotix, Inc./Ferring and Umecrine Cognition AB have programs in clinical testing. Kaleido Biosciences, Inc. is evaluating a product in a non-IND study. Several other pre-clinical and discovery stage companies are developing product candidates.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9" w:name="page30"/>
    <w:bookmarkEnd w:id="29"/>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PKU</w:t>
      </w:r>
    </w:p>
    <w:p>
      <w:pPr>
        <w:spacing w:after="0" w:line="119"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BioMarin, Inc. has two approved products and a development stage product; and</w:t>
      </w:r>
    </w:p>
    <w:p>
      <w:pPr>
        <w:spacing w:after="0" w:line="117" w:lineRule="exact"/>
        <w:rPr>
          <w:rFonts w:ascii="Times New Roman" w:cs="Times New Roman" w:eastAsia="Times New Roman" w:hAnsi="Times New Roman"/>
          <w:sz w:val="18"/>
          <w:szCs w:val="18"/>
          <w:color w:val="auto"/>
        </w:rPr>
      </w:pPr>
    </w:p>
    <w:p>
      <w:pPr>
        <w:ind w:left="1540" w:right="280" w:hanging="506"/>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Censa Pharmaceuticals, Inc. and Codexis, Inc. have products in clinical trials. Rubius Therapeutics, Inc., Homology Medicines, Inc., Moderna Inc., Agios Pharmaceuticals, Inc. and others are developing product candidates.</w:t>
      </w:r>
    </w:p>
    <w:p>
      <w:pPr>
        <w:spacing w:after="0" w:line="6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IO</w:t>
      </w:r>
    </w:p>
    <w:p>
      <w:pPr>
        <w:spacing w:after="0" w:line="119" w:lineRule="exact"/>
        <w:rPr>
          <w:rFonts w:ascii="Times New Roman" w:cs="Times New Roman" w:eastAsia="Times New Roman" w:hAnsi="Times New Roman"/>
          <w:sz w:val="18"/>
          <w:szCs w:val="18"/>
          <w:color w:val="auto"/>
        </w:rPr>
      </w:pPr>
    </w:p>
    <w:p>
      <w:pPr>
        <w:ind w:left="1540" w:hanging="506"/>
        <w:spacing w:after="0" w:line="25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field of immuno-oncology is highly competitive with many companies developing and commercializing a wide range of types of pharmaceutical products and combinations. Companies with STING agonists in clinical development include Aduro BioTech, Inc., in partnership with Novartis AG, Merck &amp; Co. Inc. and GlaxoSmithKline plc. Examples of companies developing other modalities include companies such as Merck and Bristol-Myers Squibb Company that develop and market antibodies called checkpoint inhibitors. Celgene Corporation (currently undergoing a merger with Bristol-Myers Squibb) and Gilead Sciences, Inc. market autologous cell-based therapies called CAR-T. Other companies are developing and or marketing oncolytic viruses, cancer vaccines, cytotoxic agents, and other approaches to treating cancer.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Executives, Founders and Scientific Advisors</w:t>
      </w:r>
    </w:p>
    <w:p>
      <w:pPr>
        <w:spacing w:after="0" w:line="12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Our team of executives has proven track records of successfully translating scientific visions into successful commercial therapeutic products, solving complex issues in developing novel therapeutics and progressing new and novel products through regulatory approval. Our scientific founders, Timothy Lu, M.D., Ph.D., and James Collins, Ph.D., are experts in the emerging field of synthetic biology. In addition to our management team and founders, we have established advisory relationships with researchers and clinicians dedicated to the development of Synthetic Biotic therapeutic products for patients with significant unmet medical needs and whose expertise spans synthetic biology, metabolic engineering, metabolism, immuno-modulation and immuno-oncology arenas. Our scientific advisors include Dr. Lu and Dr. Collins; Paul Miller, Ph.D., Christopher Voigt, Ph.D., Cammie Lesser, M.D., Ph.D. and Kristala Prather, Ph.D., experts in synthetic biology and bacterial metabolism; and Charles Mackay, Ph.D., Ulrich von Andrian, M.D., Ph.D. and Sangeeta Bhatia, M.D., Ph.D., experts in immunomodulation and oncology. We intend to expand our advisory boards as we grow. All of our founders and advisors are equity holders in us and receive compensation as scientific advisors. Although they are regularly available for scientific consultation, our arrangements with these individuals do not entitle us to any of their existing or future intellectual property derived from their independent research or research with other third parties.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5, 2019, we had 74 full-time employees. Of our full-time employees, 58 were primarily engaged in research and development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believe that we have good relations with our employees.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December 2007 under the name “Mirna Therapeutics, Inc.” We carry on our business directly and through our subsidiaries.</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In May 2017, we completed a series of transactions pursuant to which Synlogic, LLC merged with and into Private Synlogic with Private Synlogic continuing as the surviving corporation.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30" w:name="page31"/>
    <w:bookmarkEnd w:id="30"/>
    <w:p>
      <w:pPr>
        <w:ind w:firstLine="518"/>
        <w:spacing w:after="0" w:line="256"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Synlogic, Inc.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1:7 reverse stock split of its common stock (the Reverse Stock Split), and on August 28, 2017, immediately after completion of the Merger, Mirna changed its name to “Synlogic, Inc.” (NASDAQ: SYBX).</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 (Exchange Ratio). In addition, Mirna assumed all of the stock options outstanding under the Synlogic 2017 Stock Incentive Plan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spacing w:after="0" w:line="188"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Securities and Exchange Commission (SEC).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 medicines and we have incurred significant operating losses since our inception. Our net loss was approximately $48.4 million and $40.4 million for the fiscal years ended December 31, 2018 and 2017, respectively. As of December 31, 2018, we had an accumulated deficit of approximately $119.8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8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2" w:name="page33"/>
    <w:bookmarkEnd w:id="32"/>
    <w:p>
      <w:pPr>
        <w:ind w:firstLine="518"/>
        <w:spacing w:after="0" w:line="254"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w:t>
      </w:r>
    </w:p>
    <w:p>
      <w:pPr>
        <w:spacing w:after="0" w:line="68"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2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Annual Report on Form 10-K and others such as:</w:t>
      </w:r>
    </w:p>
    <w:p>
      <w:pPr>
        <w:spacing w:after="0" w:line="68" w:lineRule="exact"/>
        <w:rPr>
          <w:sz w:val="20"/>
          <w:szCs w:val="20"/>
          <w:color w:val="auto"/>
        </w:rPr>
      </w:pPr>
    </w:p>
    <w:p>
      <w:pPr>
        <w:ind w:left="1040" w:right="7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3" w:name="page34"/>
    <w:bookmarkEnd w:id="33"/>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earthquakes or other natural disasters;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in healthy volunteers, in April 2018, we announced that we dosed the first patient in our Phase 1b / 2a clinical trial of SYNB1020 for treatment of hyperammonemia in patients with cirrhosis, and in April 2018 we dosed our first subject in a Phase 1 / 2a clinical trial of SYNB1618 which is being developed for the treatment of patients with PKU, however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140" w:firstLine="518"/>
        <w:spacing w:after="0" w:line="289"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50" w:lineRule="exact"/>
        <w:rPr>
          <w:sz w:val="20"/>
          <w:szCs w:val="20"/>
          <w:color w:val="auto"/>
        </w:rPr>
      </w:pPr>
    </w:p>
    <w:p>
      <w:pPr>
        <w:ind w:left="1040" w:right="18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8" w:lineRule="exact"/>
        <w:rPr>
          <w:rFonts w:ascii="Times New Roman" w:cs="Times New Roman" w:eastAsia="Times New Roman" w:hAnsi="Times New Roman"/>
          <w:sz w:val="18"/>
          <w:szCs w:val="18"/>
          <w:color w:val="auto"/>
        </w:rPr>
      </w:pPr>
    </w:p>
    <w:p>
      <w:pPr>
        <w:ind w:left="1040" w:right="200" w:hanging="519"/>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35" w:name="page36"/>
    <w:bookmarkEnd w:id="3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8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3"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29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6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76"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5"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and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right="120" w:firstLine="518"/>
        <w:spacing w:after="0" w:line="274"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financial condition or results of operations.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6" w:lineRule="exact"/>
        <w:rPr>
          <w:sz w:val="20"/>
          <w:szCs w:val="20"/>
          <w:color w:val="auto"/>
        </w:rPr>
      </w:pPr>
    </w:p>
    <w:p>
      <w:pPr>
        <w:ind w:left="1040" w:hanging="519"/>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8"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right="160" w:hanging="519"/>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1" w:lineRule="exact"/>
        <w:rPr>
          <w:rFonts w:ascii="Times New Roman" w:cs="Times New Roman" w:eastAsia="Times New Roman" w:hAnsi="Times New Roman"/>
          <w:sz w:val="18"/>
          <w:szCs w:val="18"/>
          <w:color w:val="auto"/>
        </w:rPr>
      </w:pPr>
    </w:p>
    <w:p>
      <w:pPr>
        <w:ind w:left="1040" w:right="120" w:hanging="519"/>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2" w:name="page43"/>
    <w:bookmarkEnd w:id="42"/>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9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0"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25"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76"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the United States, California recently adopted the California Consumer Privacy Act of 2018, or CCPA, which will come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45" w:name="page46"/>
    <w:bookmarkEnd w:id="45"/>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4"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8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6" w:name="page47"/>
    <w:bookmarkEnd w:id="46"/>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8" w:name="page49"/>
    <w:bookmarkEnd w:id="48"/>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120" w:firstLine="518"/>
        <w:spacing w:after="0" w:line="272"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0" w:name="page51"/>
    <w:bookmarkEnd w:id="50"/>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2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jc w:val="both"/>
        <w:ind w:firstLine="518"/>
        <w:spacing w:after="0" w:line="289" w:lineRule="auto"/>
        <w:rPr>
          <w:sz w:val="20"/>
          <w:szCs w:val="20"/>
          <w:color w:val="auto"/>
        </w:rPr>
      </w:pPr>
      <w:r>
        <w:rPr>
          <w:rFonts w:ascii="Times New Roman" w:cs="Times New Roman" w:eastAsia="Times New Roman" w:hAnsi="Times New Roman"/>
          <w:sz w:val="17"/>
          <w:szCs w:val="17"/>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5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1" w:name="page52"/>
    <w:bookmarkEnd w:id="51"/>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0"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Acer Therapeutics, Inc., Aeglea BioTherapeutics, Inc., Arcturus Therapeutics Inc., Ultragenyx Pharmaceutical Inc., Horizon Pharma plc, Kaleido Biosciences, Inc., Selecta Biosciences, Inc., Translate Bio, Inc. and Versantis AG have developed or are developing product candidates for the treatment of UCD; Bausch Health Companies Inc., Kaleido Biosciences, Inc., Mallinckrodt plc, Rebiotix, Inc./Ferring, Umecrine Cognition AB, Versantis AG as well as other preclinical and discovery stage companies have developed or are each developing product candidates for the treatment of HE; and American Gene Technologies International Inc., BioMarin, Inc., Censa Pharmaceuticals, Inc., Codexis, Inc., Homology Medicines, Inc., MipSalus ApS, Moderna Therapeutics, and Rubius Therapeutics,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97"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54" w:name="page55"/>
    <w:bookmarkEnd w:id="5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6" w:lineRule="exact"/>
        <w:rPr>
          <w:sz w:val="20"/>
          <w:szCs w:val="20"/>
          <w:color w:val="auto"/>
        </w:rPr>
      </w:pPr>
    </w:p>
    <w:p>
      <w:pPr>
        <w:ind w:left="1040" w:right="7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5" w:name="page56"/>
    <w:bookmarkEnd w:id="55"/>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chief executive officer, and chief medical officer, chief financial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6" w:name="page57"/>
    <w:bookmarkEnd w:id="56"/>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March 5, 2019, our executive officers and directors, together with holders of 5% or more of our common stock outstanding and their respective affiliates, beneficially own approximately 55.9%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5, 2019 there were a total of 25,400,495 shares of our common stock outstanding.</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collaborative, licensing or similar arrangements, and the timing of payments we may make under these arrangements; and</w:t>
      </w:r>
    </w:p>
    <w:p>
      <w:pPr>
        <w:spacing w:after="0" w:line="128"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58" w:name="page59"/>
    <w:bookmarkEnd w:id="58"/>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93"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providing for aggregate cash payments of up to approximately $1.5 million at December 31, 2018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Our corporate headquarters and operations are located in Cambridge, Massachusetts. We currently lease 41,346 square feet of laboratory and office space at 301 Binney Street and until February 2018, we leased 14,390 square feet of laboratory and office space at 200 Sidney Street, both in Cambridge, Massachusetts. The agreement to terminate the lease for the 200 Sidney Street space occurred in July 2017 in conjunction with the execution of the lease for the space in the 301 Binney Street facility. Our 301 Binney Street lease expires in 2028. We believe that our facilities are suitable and adequate for our needs for the foreseeable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20"/>
        <w:spacing w:after="0" w:line="38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Capital Market under the symbol “SYBX” since August 28, 2017, prior to which it was traded under the symbol “MIRN”.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5, 2019, there were approximately 215 stockholders of record of our 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"Private Synlogic" refers to Synlogic, Inc. prior to the consummation of the Merger described herein. The term "Mirna" refers to Mirna Therapeutics, Inc. prior to the consummation of the Merger described herein. Unless otherwise indicated, references to the terms "Synlogic," “the Company," "we," "our" and "us" refer to Private Synlogic prior to the consummation of the Merger described herein and Synlogic, Inc. (formerly known as Mirna Therapeutics, Inc.) upon the consummation of the Merger described herein.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Offerings of Synlogic Common Stock</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 January 2018, we sold 5,899,500 shares of our common stock through a firm commitment, underwritten public offering at a price to the public of $9.75 per share. As a result of the offering, including the exercise of the overallotment option, we received aggregate net proceeds, after underwriting discounts and commissions and other estimated offering expenses, of approximately $53.8 million.</w:t>
      </w:r>
    </w:p>
    <w:p>
      <w:pPr>
        <w:spacing w:after="0" w:line="176"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 April 2018, we sold 3,280,000 shares of our common stock at a price of $9.15 per share in a registered direct offering. After fees and other offering expenses, we received approximately $28.9 million in net proceeds from the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Mirna</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August 2017, Synlogic, Inc., formerly known as Mirna Therapeutics, Inc. (NASDAQ: MIRN) (Mirna), completed its business combination with Synlogic, Inc. (Private Synlogic when referred to prior to the Merger)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As part of the Merger, Mirna was renamed Synlogic, Inc. (Public Synlogic) and Private Synlogic was renamed Synlogic Operating Company, Inc. Following completion of the Merger, Private Synlogic, now known as Synlogic Operating Company, Inc., is the surviving corporation of the Merger and a wholly-owned subsidiary of Public Synlogic. The Merger has been accounted for as a “reverse merger” under the acquisition method of accounting for business combinations with Private Synlogic treated as the accounting acquirer of Mirna. The historical financial statements of Private Synlogic have become the historical financial statements of Public Synlogic, or the combined company, and are included in this Annual Report on Form 10K filing labeled Synlogic, Inc. As a result of the Merger, historical common stock, preferred stock, stock options and additional paid-in capital, including share and per share amounts, were retroactively adjusted to reflect the equity structure of Public Synlogic, including the effect of the Merger exchange ratio and the Public Synlogic common stock par value of $0.001 per share. See “</w:t>
      </w:r>
      <w:r>
        <w:rPr>
          <w:rFonts w:ascii="Times New Roman" w:cs="Times New Roman" w:eastAsia="Times New Roman" w:hAnsi="Times New Roman"/>
          <w:sz w:val="18"/>
          <w:szCs w:val="18"/>
          <w:i w:val="1"/>
          <w:iCs w:val="1"/>
          <w:color w:val="auto"/>
        </w:rPr>
        <w:t>Merger with Mirna Therapeutics</w:t>
      </w:r>
      <w:r>
        <w:rPr>
          <w:rFonts w:ascii="Times New Roman" w:cs="Times New Roman" w:eastAsia="Times New Roman" w:hAnsi="Times New Roman"/>
          <w:sz w:val="18"/>
          <w:szCs w:val="18"/>
          <w:color w:val="auto"/>
        </w:rPr>
        <w:t>” within Note 3 of the notes to our audited consolidated financial statements for the year ended December 31, 2018 included in this Annual Report on Form 10-K for additional discussion of the Merger and the exchange ratio.</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and after giving effect to a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Synlogic 2017 Stock Incentive Plan (the 2017 Plan).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advancing our proprietary drug discovery and development platform to create Synthetic Biotic™ medicines, which are designed using synthetic biology to genetically reprogram beneficial microbes to treat metabolic and inflammatory diseases and cancer. Synthetic Biotic medicines are generated by applying the principles and tools of synthetic biology to engineer beneficial microbes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 to patients.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believe that our Synthetic Biotic platform has potential to address both metabolic and immune-mediated diseases and we are evaluating these medicines at different sites of action via different routes of administration, either orally or via injection. While we have designed and created a number of bacterial strains that could potentially be used therapeutically in a range of diseases, our initial focus is on metabolic diseases that could potentially be treated following oral delivery of a living medicine to the gut. This includes metabolic diseases, which include rare genetic diseases as well as metabolic diseases caused by organ dysfunction. When delivered orally, Synthetic Biotic medicines are designed to act from the gut to compensate for a dysfunctional metabolic pathway that results in the toxic accumulation of a metabolite with the intended consequence of reducing the systemic levels of the metabolite. We believe that success in our lead programs in rare metabolic diseases will enable us to demonstrate the potential of our oral Synthetic Biotic medicines to address metabolic dysfunction while bringing meaningful change to the lives of patients suffering from these debilitating conditions.</w:t>
      </w:r>
    </w:p>
    <w:p>
      <w:pPr>
        <w:spacing w:after="0" w:line="185"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Our two lead therapeutic programs are being developed for the treatment of hyperammonemia and phenylketonuria (PKU). SYNB1020, our first therapeutic program to enter clinical trials, is an oral therapy intended for the treatment of hyperammonemia, which includes patients with liver disease such as hepatic encephalopathy (HE) and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(FDA). We initiated a Phase 1 clinical trial in June 2017 to evaluate the safety and tolerability of SYNB1020 in healthy volunteers. In November 2017, we announced top-line data from this study that demonstrated that SYNB1020 was safe and well-tolerated and achieved proof-of-mechanism. In March 2018, we initiated a clinical trial in patients with cirrhosis and elevated blood ammonia to evaluate the safety and tolerability of SYNB1020 as well as the ability of this Synthetic Biotic medicine to lower systemic levels of ammonia. We expect to have top-line data from this study in mid-2019. Upon receipt of satisfactory evidence of ammonia lowering in patients with cirrhosis, we will determine the clinical development path for SYNB1020 for the treatment of conditions resulting in hyperammonemia.</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SYNB1618, our second program to enter clinical trials, is an oral therapy intended for the treatment of PKU, a rare metabolic disease in which the amino acid phenylalanine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FDA. We initiated a Phase 1 / 2a clinical trial for SYNB1618 in April 2018 and announced top-line data from this study in September 2018 that demonstrated that SYNB1618 was safe and well-tolerated and achieved proof-of-mechanism in healthy volunteers and we are currently evaluating SYNB1618 in patients with PKU. We expect to have patient data from this study in mid-2019.</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have developed a portfolio of immuno-oncology (IO) programs designed to deliver activities to modify the tumor microenvironment, activate the immune system and result in tumor reduction, and we envision that multiple engineered functions could be combined in one Synthetic Biotic medicine. These products could also be used in combination with other cancer therapies such as check-point inhibitors. In November 2018, we announced the selection of our first Synthetic Biotic clinical IO candidate, SYNB1891, and have advanced it into preclinical studies to enable filing of an Investigational New Drug (IND) application with the FDA in the second half of 2019. SYNB1891 is an intratumorally administered Synthetic Biotic medicine designed to act as a dual innate activator of the immune system by stimulation via the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xml:space="preserve"> Nissle chassis and production of cyclic di-AMP, an activator of the STING pathway.</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early-stage metabolic pipeline includes discovery-stage product candidates for rare metabolic diseases, GI and immune disorders with high unmet needs. We are also leveraging our proprietary technology platform to develop Synthetic Biotic medicines to treat a broader range of human diseases, including metabolic diseases, inflammation and cancer. Synthetic Biotic medicines can be designed to locally deliver combinations of complementary therapeutics to treat these complex disease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63" w:name="page64"/>
    <w:bookmarkEnd w:id="63"/>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To progress our pipeline, we collaborate with key disease experts who have developed robust models of relevant diseases to guide selection of our development candidates and to inform our translational medicine strategy. We focus on indications with clear biomarkers associated with disease progression that enable straightforward, early and ongoing assessment of potential clinical benefit throughout the development process. Our collaboration and intellectual property strategies additionally focus on building or leveraging existing third-party expertise in therapeutic research, preclinical and clinical development, manufacturing and commercialization, while also enhancing our industry-leading position in synthetic biology and metabolic engineering.</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a collaboration with AbbVie S.à.r.l. (AbbVie) to develop Synthetic Biotic medicines for the treatment of inflammatory bowel disease (IBD) such as Crohn’s disease and ulcerative colitis. We have also established a technology collaboration with Ginkgo Bioworks, a privately held high-throughput synthetic biology company, to enable the discovery of new living medicines. We may enter into additional strategic partnerships in the future to maximize the value of our programs and our Synthetic Biotic platform.</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As of March 2019, we have received approximately $240.4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$6.0 million in payments received under the AbbVie Agreement, approximately $40.4 million from our merger with Mirna, net of transaction costs, approximately $82.7 million in total net proceeds from the sale of our common stock in our common stock offerings in January and April 2018 and $0.2 million from exercises of stock options.</w:t>
      </w:r>
    </w:p>
    <w:p>
      <w:pPr>
        <w:spacing w:after="0" w:line="189" w:lineRule="exact"/>
        <w:rPr>
          <w:sz w:val="20"/>
          <w:szCs w:val="20"/>
          <w:color w:val="auto"/>
        </w:rPr>
      </w:pPr>
    </w:p>
    <w:p>
      <w:pPr>
        <w:jc w:val="both"/>
        <w:ind w:right="20" w:firstLine="518"/>
        <w:spacing w:after="0" w:line="281" w:lineRule="auto"/>
        <w:rPr>
          <w:sz w:val="20"/>
          <w:szCs w:val="20"/>
          <w:color w:val="auto"/>
        </w:rPr>
      </w:pPr>
      <w:r>
        <w:rPr>
          <w:rFonts w:ascii="Times New Roman" w:cs="Times New Roman" w:eastAsia="Times New Roman" w:hAnsi="Times New Roman"/>
          <w:sz w:val="17"/>
          <w:szCs w:val="17"/>
          <w:color w:val="auto"/>
        </w:rPr>
        <w:t>We have not generated any revenue to date from product sales and have incurred significant operating losses since our inception. We have incurred net losses of approximately $48.4 million and $40.4 million for the years ended December 31, 2018 and 2017, respectively. As of December 31, 2018 and 2017, we had an accumulated deficit of approximately $119.8 million and $71.7 million, respectively, and we expect to incur losses for the foreseeable future as we develop our product candidates. We expect our expenses and capital requirements will increase substantially in connection with our ongoing activities, as we:</w:t>
      </w:r>
    </w:p>
    <w:p>
      <w:pPr>
        <w:spacing w:after="0" w:line="57"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capital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Revenue to date is generated from our collaboration agreement with AbbVie. The collaboration agreement contains multiple deliverables, which include an exclusive option for AbbVie to acquire IBDCo and research and development milestones. See Note 14, “Significant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notes to the consolidated financial statements appearing elsewhere in this Annual Report on Form 10-K for a full discussion of this arrangement. We expect our revenue to fluctuate for the foreseeable future as it is principally based on the achievement of research and development milestones under our collaboration agreement with AbbVie.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 xml:space="preserve">Risks Related to the Development of Our Product Candidates </w:t>
      </w:r>
      <w:r>
        <w:rPr>
          <w:rFonts w:ascii="Times New Roman" w:cs="Times New Roman" w:eastAsia="Times New Roman" w:hAnsi="Times New Roman"/>
          <w:sz w:val="18"/>
          <w:szCs w:val="18"/>
          <w:color w:val="auto"/>
        </w:rPr>
        <w:t>in Part II, Item 1A, found elsewhere in this Annual Report on Form 10-K.</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and SYNB1618 programs to increase as the programs progress through and into clinical trials.</w:t>
      </w:r>
    </w:p>
    <w:p>
      <w:pPr>
        <w:spacing w:after="0" w:line="184"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7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SYNB1020</w:t>
            </w: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SYNB1618</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pre-development candidate expenses and unallocated expenses</w:t>
            </w: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8,615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23,137</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12,634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38,034</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30,341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8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investment income consists primarily of income earned on investments. Interest expense consists of expense related to our capital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consists primarily of gains and losses on foreign currency invoices.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8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“Summary of Significant Accounting Policies”, to our consolidated financial statements appearing elsewhere in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Effective January 1, 2018, we adopted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transition method. See Note 2 “Summary of Significant Accounting Policies”, to our consolidated financial statements appearing elsewhere in this Annual Report on Form 10-K. Under this method, results for reporting periods beginning on and after January 1, 2018 are presented under ASC 606, while prior period amounts are not adjusted and continue to be reported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w:t>
      </w:r>
    </w:p>
    <w:p>
      <w:pPr>
        <w:spacing w:after="0" w:line="180"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We evaluate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our transactions on a gross basis in the consolidated financial statements and describe the rights and obligations under the collaborative arrangement in the notes to the consolidated financial statements.</w:t>
      </w:r>
    </w:p>
    <w:p>
      <w:pPr>
        <w:spacing w:after="0" w:line="182"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66" w:name="page67"/>
    <w:bookmarkEnd w:id="66"/>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 time equivalent time as a measure of satisfaction of performance obligations.</w:t>
      </w:r>
    </w:p>
    <w:p>
      <w:pPr>
        <w:spacing w:after="0" w:line="18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jc w:val="both"/>
        <w:ind w:right="80" w:firstLine="518"/>
        <w:spacing w:after="0" w:line="257"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we evaluate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we recognizes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firstLine="518"/>
        <w:spacing w:after="0" w:line="219" w:lineRule="exact"/>
        <w:rPr>
          <w:sz w:val="20"/>
          <w:szCs w:val="20"/>
          <w:color w:val="auto"/>
        </w:rPr>
      </w:pPr>
      <w:r>
        <w:rPr>
          <w:rFonts w:ascii="Times New Roman" w:cs="Times New Roman" w:eastAsia="Times New Roman" w:hAnsi="Times New Roman"/>
          <w:sz w:val="18"/>
          <w:szCs w:val="18"/>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When third-party service providers’ billing terms do not coincide with our period-end, we are required to make estimates of our obligations to those third parties, including clinical trial costs, contractual service costs and costs for supply of our drug candidates, incurred in a given accounting period and record accruals at the end of the period. We base our estimates on our knowledge of the research and development programs, services performed for the period and the expected duration of the third-party service contract, where applicable.</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9"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4"/>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(48,435)</w:t>
            </w: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(40,377)</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right="55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2018 Compared to Year Ended December 31, 2017 </w:t>
      </w:r>
      <w:r>
        <w:rPr>
          <w:rFonts w:ascii="Times New Roman" w:cs="Times New Roman" w:eastAsia="Times New Roman" w:hAnsi="Times New Roman"/>
          <w:sz w:val="18"/>
          <w:szCs w:val="18"/>
          <w:b w:val="1"/>
          <w:bCs w:val="1"/>
          <w:i w:val="1"/>
          <w:iCs w:val="1"/>
          <w:color w:val="auto"/>
        </w:rPr>
        <w:t>Revenue</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left="34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3"/>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5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Revenue was $2.5 million for the year ended December 31, 2018 compared to $2.4 million for the year ended December 31, 2017. Revenue for the years ended December 31, 2018 and 2017 was related to the recognition of deferred revenue from services performed and payments received under the AbbVie collaboration.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6"/>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38,034</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30,341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15,716</w:t>
            </w:r>
          </w:p>
        </w:tc>
        <w:tc>
          <w:tcPr>
            <w:tcW w:w="4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12,927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53,750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43,268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was $38.0 million for the year ended December 31, 2018 compared to $30.3 million for the year ended December 31, 2017. The increase of $7.7 million was primarily due to an increase of $3.2 million in clinical development costs associated with our SYNB1618 program, primarily due to our Phase 1 / 2a clinical trial, $4.7 million in compensation, benefits and other employee-related expenses associated with increased headcount and equity-based compensation, $1.2 million in expenses associated with external preclinical studies and $3.7 million of research and development support costs. Research and development support costs include increased rent and depreciation from our 301 Binney Street facility in Cambridge, Massachusetts which we occupied in January 2018. These increases were partially offset by decreases of $1.8 million in equity-based charges and $0.3 million in patent related charges both associated with the MIT-BU license signed in April 2017, as well as a decrease of $1.6 million in manufacturing and formulation costs associated with our SYNB1020 and SYNB1618 programs and a decrease of $1.4 million in clinical development costs primarily related to our SYNB1020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$15.7 million for the year ended December 31, 2018 compared to $12.9 million for the year ended December 31, 2017. The increase of $2.8 million was due primarily to an increase of $4.1 million in compensation, benefits and other employee-related expenses associated with increased headcount and equity-based compensation, inclusive of $1.7 million equity-based compensation charges and $0.8 million of severance payments primarily related to the departure of our former Chief Executive Officer, as well as an increase of $0.5 million related to insurance and taxes and $0.1 million in corporate fees related to our investments in marketable securities and public company activities, including filing fees. The increases were partially offset by a decrease of $1.1 million in legal fees associated with both corporate and patent legal expenses and a decrease in audit fees of $0.8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6"/>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2,843</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Other income (expense) for the year ended December 31, 2018 was $2.8 million compared to $0.5 million for the corresponding period in 2017. The increase of $2.3 million was related to an increase in interest and investment income resulting from higher cash balances and higher interest rates generated by our investment account. Additionally, interest expense decreased during the year as the capital leases established during 2017 were paid down. The net increase was partially offset by an increase in other expense associated with foreign currency invoices.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December 31, 2018, we had an accumulated deficit of approximately $119.8 million. We have financed our operations to date primarily through the sale of preferred stock, common stock, preferred units, payments received under our AbbVie collaboration agreement, interest earned on investments, and cash received in the Merger. At December 31, 2018, we had approximately $122.7 million in cash, cash equivalents, and marketable securities. Our cash and cash equivalents include amounts held in money market funds and corporate debt securities, stated at cost plus accrued interest, which approximates fair market value. Our available-for-sale securities include amounts held in corporate debt securities.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our cash, cash equivalents and marketable securities balance increased approximately $35.7 million. The increase was primarily due to the net proceeds of $53.8 million from the sale of our common stock through a firm commitment, underwritten public offering in January 2018 and $28.9 million in net proceeds from the registered direct sale of our common shares in April 2018. These increases were partially offset by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capital leases, net of transaction costs, received in the Merger. The increase was partially offset by the cash used to operate our business, including payments related to, among other things, research and development and general and administrative expenses as we continued to invest in our primary drug candidates and support the development of our proprietary platform.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below:</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6"/>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(42,470)</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(31,055)</w:t>
            </w: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(87,201)</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totaled approximately $42.5 million for the year ended December 31, 2018. The primary use of cash was our net loss of approximately $48.4 million and an increase in working capital of $0.6 million, primarily related to decreases in accounts payable and accrued expenses and deferred revenue offset by an increase in deferred rent from our 301 Binney Street facility. Net loss was partially offset by $5.3 million of non-cash items primarily including depreciation and equity-based compensation.</w:t>
      </w:r>
    </w:p>
    <w:p>
      <w:pPr>
        <w:spacing w:after="0" w:line="1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totaled approximately $31.1 million for the year ended December 31, 2017. The primary use of cash was our net loss of approximately $40.4 million. These uses of cash were partially offset by non-cash items of approximately $6.7 million including equity-based compensation, depreciation and equity-based costs associated with the execution of a license agreement and approximately $2.6 million in working capital, primarily from increases in accounts payable and accrued expenses and decreases in deferred rent associated with the acceleration of recognition due to the 200 Sidney Street lease termination.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Net cash, cash equivalents and restricted cash used in investing activities for the year ended December 31, 2018 totaled approximately $87.2 million and resulted primarily from the purchases of securities of $172.9 million and the purchases of property and equipment of $5.7 million. These uses were partially offset by proceeds from the maturity of marketable securities of $91.3 million.</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cash, cash equivalents and restricted cash provided by investing activities for the year ended December 31, 2017 totaled approximately $9.3 million and resulted from the $40.4 million in net proceeds received in the Merger and the proceeds from the maturity of marketable securities of $22.9 million. These proceeds were partially offset by uses of cash including the purchase of securities of $51.4 million and purchases of property and equipment of $2.6 million, including deposits related to the construction of leasehold improvements associated with the new facilities lease.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Net cash, cash equivalents and restricted cash provided by financing activities for the year ended December 31, 2018 totaled approximately $82.5 million and resulted primarily from $53.8 million in net proceeds from the sale of our common stock through a firm commitment, underwritten public offering in January 2018, $28.9 million in net proceeds from the sale of our common stock in April 2018 and proceeds from exercises of stock options of $0.2 million, partially offset by $0.4 million in payments on our capital leases.</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Net cash, cash equivalents and restricted cash provided by financing activities for the year ended December 31, 2017 totaled approximately $66.7 million and resulted primarily from the net proceeds from the sale of Class B preferred units in March 2017 of $26.6 million and $40.4 million in net proceeds from the sale of Series C preferred stock in May 2017. These sources of cash were partially offset by $0.4 million of payments on our capital leases.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76"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December 31, 2018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Annual Report on Form 10-K. We have based our estimates on assumptions that may prove to be wrong, and we could utilize our available capital resources sooner than we currently expect.</w:t>
      </w:r>
    </w:p>
    <w:p>
      <w:pPr>
        <w:spacing w:after="0" w:line="189" w:lineRule="exact"/>
        <w:rPr>
          <w:sz w:val="20"/>
          <w:szCs w:val="20"/>
          <w:color w:val="auto"/>
        </w:rPr>
      </w:pPr>
    </w:p>
    <w:p>
      <w:pPr>
        <w:ind w:right="580" w:firstLine="518"/>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8"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 and</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6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commitments for operating leases relate to our lease of office and laboratory space at 301 Binney Street in Cambridge, Massachusetts.</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July 2017, we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Additionally, we have paid for a tenant improvement investment of approximately $1.6 million. In conjunction with the lease, we established a letter of credit of approximately $1.0 million.</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On December 7, 2018, Synlogic Operating Company, Inc., a wholly-owned subsidiary of Synlogic, Inc. (the “Company”), entered into a Statement of Work (the “SOW”) with Azzur Group, LLC (“Azzur”) pursuant to a Master Contract Services Agreement (the “Master Services Agreement”), dated September 8, 2018, between the Company and Azzur.</w:t>
      </w:r>
    </w:p>
    <w:p>
      <w:pPr>
        <w:spacing w:after="0" w:line="176"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Pursuant to the SOW, Azzur has agreed to provide the Company with access to, and the use of, an approximately 700 square foot cleanroom space to be constructed in Waltham, Massachusetts (the “Azzur Suite”), for a period of 44 months, from May 1, 2019 to December 31, 2022 (the “Term”). Azzur has also agreed to provide the Company with storage space and personnel support at the Azzur Suite. The total estimated project cost during the Term for access to, and use of, the cleanroom and storage space, and the personnel support and other services, is $4.8 million.</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terminate the SOW on four months’ prior written notice at any time during the Term. In addition, either party may terminate the Master Services Agreement (including the SOW) due to a breach by the other party and failure to cure. If the Azzur Suite is not ready for use by the Company as of May 1, 2019, the Company may (i) elect to terminate the SOW, (ii) wait for the Azzur Suite to become available, without incurring any costs (other than a deposit) relating to the Azzur Suite until it becomes available, or (iii) accept an alternate cleanroom space from Azzur on different terms.</w:t>
      </w:r>
    </w:p>
    <w:p>
      <w:pPr>
        <w:spacing w:after="0" w:line="180" w:lineRule="exact"/>
        <w:rPr>
          <w:sz w:val="20"/>
          <w:szCs w:val="20"/>
          <w:color w:val="auto"/>
        </w:rPr>
      </w:pPr>
    </w:p>
    <w:p>
      <w:pPr>
        <w:ind w:right="160" w:firstLine="518"/>
        <w:spacing w:after="0" w:line="313" w:lineRule="auto"/>
        <w:rPr>
          <w:sz w:val="20"/>
          <w:szCs w:val="20"/>
          <w:color w:val="auto"/>
        </w:rPr>
      </w:pPr>
      <w:r>
        <w:rPr>
          <w:rFonts w:ascii="Times New Roman" w:cs="Times New Roman" w:eastAsia="Times New Roman" w:hAnsi="Times New Roman"/>
          <w:sz w:val="17"/>
          <w:szCs w:val="17"/>
          <w:color w:val="auto"/>
        </w:rPr>
        <w:t>As we are a clinical stage company, having entered the clinic for our first Phase 1 clinical trial in June 2017, we expect our most significant clinical trial expenditures will be with CROs and CMOs. These contracts generally are cancellable, with notice, at our option and do not have cancellation penalties.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special purpose entities, that would have been established for the purpose of facilitating off-balance sheet arrangements (as that term is defined in Item 303 (a) (4)(ii)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Please read Note 2, “Summary of Significant Accounting Policies” to the consolidated financial statements included elsewhere in this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this information required under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appear at pages F-1 through F-37, respectively,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Other than discussed below, there have not been any changes in our internal controls over financial reporting identified in connection with the evaluation of such internal control that occurred during our fiscal quarter ended December 31, 2018 that have materially affected, or are reasonably likely to materially affect, our internal controls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2018. In making this assessment, management used the criteria set forth by the Committee of Sponsoring Organizations of the Treadway Commission (COSO) in Internal Control-Integrated Framework. Based on our assessment, management believes that, as of December 31, 2018, our internal control over financial reporting is effective based on those criteria.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75" w:name="page76"/>
    <w:bookmarkEnd w:id="7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2019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“Executive Officer and Director Compensation” in the Company’s Proxy Statement for the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“Security Ownership of Certain Beneficial Owners and Management” in the Company’s Proxy Statement for the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“Certain Relationships and Related Person Transactions” and “Management and Corporate Governance” in the Company’s Proxy Statement for the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“Independent Registered Public Accounting Firm” in the Company’s Proxy Statement for the 2019 Annual Meeting of Stockholders.</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76" w:name="page77"/>
    <w:bookmarkEnd w:id="76"/>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this Annual Report on Form 10-K:</w:t>
      </w:r>
    </w:p>
    <w:p>
      <w:pPr>
        <w:spacing w:after="0" w:line="117"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15(a)(1) and (2) </w:t>
      </w:r>
      <w:r>
        <w:rPr>
          <w:rFonts w:ascii="Times New Roman" w:cs="Times New Roman" w:eastAsia="Times New Roman" w:hAnsi="Times New Roman"/>
          <w:sz w:val="18"/>
          <w:szCs w:val="18"/>
          <w:color w:val="auto"/>
        </w:rPr>
        <w:t>See “Consolidated Financial Statements and Supplementary Data” at Item 8 to this Annual Report on Form 10-K.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 schedules have not been included because they are not applicable, or the information is included in the financial statements or notes thereto.</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Item 15(a)(3)</w:t>
            </w:r>
          </w:p>
        </w:tc>
        <w:tc>
          <w:tcPr>
            <w:tcW w:w="9520" w:type="dxa"/>
            <w:vAlign w:val="bottom"/>
            <w:gridSpan w:val="31"/>
          </w:tcPr>
          <w:p>
            <w:pPr>
              <w:ind w:left="6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340" w:type="dxa"/>
            <w:vAlign w:val="bottom"/>
            <w:gridSpan w:val="13"/>
            <w:vMerge w:val="restart"/>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06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6"/>
            <w:vMerge w:val="continue"/>
          </w:tcPr>
          <w:p>
            <w:pPr>
              <w:spacing w:after="0"/>
              <w:rPr>
                <w:sz w:val="14"/>
                <w:szCs w:val="14"/>
                <w:color w:val="auto"/>
              </w:rPr>
            </w:pPr>
          </w:p>
        </w:tc>
        <w:tc>
          <w:tcPr>
            <w:tcW w:w="2340" w:type="dxa"/>
            <w:vAlign w:val="bottom"/>
            <w:gridSpan w:val="13"/>
            <w:vMerge w:val="continue"/>
          </w:tcPr>
          <w:p>
            <w:pPr>
              <w:spacing w:after="0"/>
              <w:rPr>
                <w:sz w:val="14"/>
                <w:szCs w:val="14"/>
                <w:color w:val="auto"/>
              </w:rPr>
            </w:pP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5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Agreement and Plan of Merger and Reorganization, dated as of May 15, 2017,</w:t>
              </w:r>
            </w:hyperlink>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5/16/2017</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0" w:type="dxa"/>
            <w:vAlign w:val="bottom"/>
            <w:gridSpan w:val="2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by and among Mirna Therapeutics, Inc., Meerkat Merger Sub, Inc.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Synlogic, Inc.</w:t>
              </w:r>
            </w:hyperlink>
          </w:p>
        </w:tc>
        <w:tc>
          <w:tcPr>
            <w:tcW w:w="7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 and Restated Certificate of Incorporation</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5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Certificate of Amendment (Reverse Stock Split) to the Amended and Restated</w:t>
              </w:r>
            </w:hyperlink>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8/28/2017</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Certificate of Incorporation, dated August 25, 2017</w:t>
              </w:r>
            </w:hyperlink>
          </w:p>
        </w:tc>
        <w:tc>
          <w:tcPr>
            <w:tcW w:w="21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Certificate of Amendment (Name Change) to the Amended and Restated</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8/28/2017</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Certificate of Incorporation</w:t>
              </w:r>
            </w:hyperlink>
          </w:p>
        </w:tc>
        <w:tc>
          <w:tcPr>
            <w:tcW w:w="3260" w:type="dxa"/>
            <w:vAlign w:val="bottom"/>
            <w:tcBorders>
              <w:top w:val="single" w:sz="8" w:color="0000EE"/>
            </w:tcBorders>
            <w:gridSpan w:val="13"/>
          </w:tcPr>
          <w:p>
            <w:pPr>
              <w:spacing w:after="0"/>
              <w:rPr>
                <w:sz w:val="17"/>
                <w:szCs w:val="17"/>
                <w:color w:val="auto"/>
              </w:rPr>
            </w:pPr>
          </w:p>
        </w:tc>
        <w:tc>
          <w:tcPr>
            <w:tcW w:w="5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3.2)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Bylaws</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Common Stock Certificate</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4.2)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2015 Equity Incentive Award Plan</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3/20/2018</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(Exhibit 10.1)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54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Stock Option Grant Notice and Stock Option Agreement under the</w:t>
              </w:r>
            </w:hyperlink>
          </w:p>
        </w:tc>
        <w:tc>
          <w:tcPr>
            <w:tcW w:w="3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0" w:type="dxa"/>
            <w:vAlign w:val="bottom"/>
            <w:gridSpan w:val="2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2015 Equity Incentive Award Plan.</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10.9(B))</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56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Restricted Stock Award Agreement and Restricted Stock Unit Award</w:t>
              </w:r>
            </w:hyperlink>
          </w:p>
        </w:tc>
        <w:tc>
          <w:tcPr>
            <w:tcW w:w="20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0" w:type="dxa"/>
            <w:vAlign w:val="bottom"/>
            <w:gridSpan w:val="2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Grant Notice under the 2015 Equity Incentive Award Plan.</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10.9(C))</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42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2017 Stock Incentive Plan</w:t>
              </w:r>
            </w:hyperlink>
          </w:p>
        </w:tc>
        <w:tc>
          <w:tcPr>
            <w:tcW w:w="158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3/20/2018</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(Exhibit 10.4)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55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Stock Option Grant Notice and Stock Option Agreement under 2017</w:t>
              </w:r>
            </w:hyperlink>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11/13/2017</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Stock Incentive Plan.</w:t>
              </w:r>
            </w:hyperlink>
          </w:p>
        </w:tc>
        <w:tc>
          <w:tcPr>
            <w:tcW w:w="42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10.17)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5800" w:type="dxa"/>
            <w:vAlign w:val="bottom"/>
            <w:gridSpan w:val="25"/>
          </w:tcPr>
          <w:p>
            <w:pPr>
              <w:spacing w:after="0" w:line="207"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Non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Employee Director Compensation Program.</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3/20/2018</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(Exhibit 10.6)</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Indemnification Agreement between the Company and each of its</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directors and officers</w:t>
              </w:r>
            </w:hyperlink>
          </w:p>
        </w:tc>
        <w:tc>
          <w:tcPr>
            <w:tcW w:w="4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5800" w:type="dxa"/>
            <w:vAlign w:val="bottom"/>
            <w:gridSpan w:val="2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Offer Letter by and between Synlogic and Jose Carlos Gutierrez-Ramos,</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8/28/2017</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Ph.D., dated as of March 20, 2015</w:t>
              </w:r>
            </w:hyperlink>
          </w:p>
        </w:tc>
        <w:tc>
          <w:tcPr>
            <w:tcW w:w="2740" w:type="dxa"/>
            <w:vAlign w:val="bottom"/>
            <w:tcBorders>
              <w:top w:val="single" w:sz="8" w:color="0000EE"/>
            </w:tcBorders>
            <w:gridSpan w:val="9"/>
          </w:tcPr>
          <w:p>
            <w:pPr>
              <w:spacing w:after="0"/>
              <w:rPr>
                <w:sz w:val="17"/>
                <w:szCs w:val="17"/>
                <w:color w:val="auto"/>
              </w:rPr>
            </w:pPr>
          </w:p>
        </w:tc>
        <w:tc>
          <w:tcPr>
            <w:tcW w:w="5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gridSpan w:val="16"/>
          </w:tcPr>
          <w:p>
            <w:pPr>
              <w:ind w:left="46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First Amendment to Offer Letter by and between Synlogic and Jose Carlos</w:t>
              </w:r>
            </w:hyperlink>
          </w:p>
        </w:tc>
        <w:tc>
          <w:tcPr>
            <w:tcW w:w="54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Gutierrez-Ramos, Ph.D., dated as of May 8, 2017</w:t>
              </w:r>
            </w:hyperlink>
          </w:p>
        </w:tc>
        <w:tc>
          <w:tcPr>
            <w:tcW w:w="2360" w:type="dxa"/>
            <w:vAlign w:val="bottom"/>
            <w:gridSpan w:val="20"/>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Letter Agreement dated as of May 9, 2018, between Synlogic, Inc. and Jose-</w:t>
              </w:r>
            </w:hyperlink>
          </w:p>
        </w:tc>
        <w:tc>
          <w:tcPr>
            <w:tcW w:w="42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Carlos Gutiérrez-Ramos</w:t>
              </w:r>
            </w:hyperlink>
          </w:p>
        </w:tc>
        <w:tc>
          <w:tcPr>
            <w:tcW w:w="4180" w:type="dxa"/>
            <w:vAlign w:val="bottom"/>
            <w:gridSpan w:val="26"/>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to Option Agreements dated as of June 5, 2018, between</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Synlogic, Inc. and Jose-Carlos Gutiérrez-Ramos</w:t>
              </w:r>
            </w:hyperlink>
          </w:p>
        </w:tc>
        <w:tc>
          <w:tcPr>
            <w:tcW w:w="1520" w:type="dxa"/>
            <w:vAlign w:val="bottom"/>
            <w:tcBorders>
              <w:top w:val="single" w:sz="8" w:color="0000EE"/>
            </w:tcBorders>
            <w:gridSpan w:val="6"/>
          </w:tcPr>
          <w:p>
            <w:pPr>
              <w:spacing w:after="0"/>
              <w:rPr>
                <w:sz w:val="17"/>
                <w:szCs w:val="17"/>
                <w:color w:val="auto"/>
              </w:rPr>
            </w:pPr>
          </w:p>
        </w:tc>
        <w:tc>
          <w:tcPr>
            <w:tcW w:w="940" w:type="dxa"/>
            <w:vAlign w:val="bottom"/>
            <w:gridSpan w:val="16"/>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Offer Letter by and between Synlogic and Todd Shegog, dated as of June 17,</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2016</w:t>
              </w:r>
            </w:hyperlink>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5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First Amendment to Offer Letter by and between Synlogic and Todd Shegog,</w:t>
              </w:r>
            </w:hyperlink>
          </w:p>
        </w:tc>
        <w:tc>
          <w:tcPr>
            <w:tcW w:w="3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40" w:type="dxa"/>
            <w:vAlign w:val="bottom"/>
            <w:gridSpan w:val="3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dated as of May 8, 2017</w:t>
              </w:r>
            </w:hyperlink>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7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Offer Letter by and between Synlogic and Aoife M. Brennan, MB, BCh, BAO,</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40" w:type="dxa"/>
            <w:vAlign w:val="bottom"/>
            <w:gridSpan w:val="3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MMSc, dated as of June 22, 2016</w:t>
              </w:r>
            </w:hyperlink>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First Amendment to Offer Letter by and between Synlogic and Aoife M.</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2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Brennan, MB, BCh, BAO, MMSc, dated as of November 7, 2016</w:t>
              </w:r>
            </w:hyperlink>
          </w:p>
        </w:tc>
        <w:tc>
          <w:tcPr>
            <w:tcW w:w="72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Second Amendment to Offer Letter by and between Synlogic and Aoife M.</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Brennan, MB, BCh, BAO, MMSc, dated as of May 8, 2017</w:t>
              </w:r>
            </w:hyperlink>
          </w:p>
        </w:tc>
        <w:tc>
          <w:tcPr>
            <w:tcW w:w="1120" w:type="dxa"/>
            <w:vAlign w:val="bottom"/>
            <w:tcBorders>
              <w:top w:val="single" w:sz="8" w:color="0000EE"/>
            </w:tcBorders>
            <w:gridSpan w:val="9"/>
          </w:tcPr>
          <w:p>
            <w:pPr>
              <w:spacing w:after="0"/>
              <w:rPr>
                <w:sz w:val="17"/>
                <w:szCs w:val="17"/>
                <w:color w:val="auto"/>
              </w:rPr>
            </w:pPr>
          </w:p>
        </w:tc>
        <w:tc>
          <w:tcPr>
            <w:tcW w:w="52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6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Third Amendment to Offer Letter dated as of June 5, 2018, between Synlogic,</w:t>
              </w:r>
            </w:hyperlink>
          </w:p>
        </w:tc>
        <w:tc>
          <w:tcPr>
            <w:tcW w:w="30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40" w:type="dxa"/>
            <w:vAlign w:val="bottom"/>
            <w:gridSpan w:val="3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 and Aoife Brennan, MB, BCh, BAO, MMSc</w:t>
              </w:r>
            </w:hyperlink>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Letter Agreement by and between Synlogic, Inc. and</w:t>
              </w:r>
            </w:hyperlink>
          </w:p>
        </w:tc>
        <w:tc>
          <w:tcPr>
            <w:tcW w:w="42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40" w:type="dxa"/>
            <w:vAlign w:val="bottom"/>
            <w:gridSpan w:val="3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Aoife M. Brennan, MB, BCh, BAO, MMSc, dated as of October 1, 2018</w:t>
              </w:r>
            </w:hyperlink>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Amended and Restated Letter Agreement by and between Paul Miller, Ph.D.,</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dated as of May 16, 2017</w:t>
              </w:r>
            </w:hyperlink>
          </w:p>
        </w:tc>
        <w:tc>
          <w:tcPr>
            <w:tcW w:w="3720" w:type="dxa"/>
            <w:vAlign w:val="bottom"/>
            <w:tcBorders>
              <w:top w:val="single" w:sz="8" w:color="0000EE"/>
            </w:tcBorders>
            <w:gridSpan w:val="18"/>
          </w:tcPr>
          <w:p>
            <w:pPr>
              <w:spacing w:after="0"/>
              <w:rPr>
                <w:sz w:val="17"/>
                <w:szCs w:val="17"/>
                <w:color w:val="auto"/>
              </w:rPr>
            </w:pPr>
          </w:p>
        </w:tc>
        <w:tc>
          <w:tcPr>
            <w:tcW w:w="38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Employment Agreement, dated as of September 4, 2017, by and between the</w:t>
              </w:r>
            </w:hyperlink>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Company and Andrew W. Gengos.</w:t>
              </w:r>
            </w:hyperlink>
          </w:p>
        </w:tc>
        <w:tc>
          <w:tcPr>
            <w:tcW w:w="3000" w:type="dxa"/>
            <w:vAlign w:val="bottom"/>
            <w:tcBorders>
              <w:top w:val="single" w:sz="8" w:color="0000EE"/>
            </w:tcBorders>
            <w:gridSpan w:val="14"/>
          </w:tcPr>
          <w:p>
            <w:pPr>
              <w:spacing w:after="0"/>
              <w:rPr>
                <w:sz w:val="17"/>
                <w:szCs w:val="17"/>
                <w:color w:val="auto"/>
              </w:rPr>
            </w:pPr>
          </w:p>
        </w:tc>
        <w:tc>
          <w:tcPr>
            <w:tcW w:w="42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Separation Agreement by and between the Company and Paul Lammers, dated</w:t>
              </w:r>
            </w:hyperlink>
          </w:p>
        </w:tc>
        <w:tc>
          <w:tcPr>
            <w:tcW w:w="2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as of August 20, 2017.</w:t>
              </w:r>
            </w:hyperlink>
          </w:p>
        </w:tc>
        <w:tc>
          <w:tcPr>
            <w:tcW w:w="4300" w:type="dxa"/>
            <w:vAlign w:val="bottom"/>
            <w:gridSpan w:val="28"/>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Separation Agreement by and between the Company and Alan Fuhrman, dated</w:t>
              </w:r>
            </w:hyperlink>
          </w:p>
        </w:tc>
        <w:tc>
          <w:tcPr>
            <w:tcW w:w="2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as of August 20, 2017.</w:t>
              </w:r>
            </w:hyperlink>
          </w:p>
        </w:tc>
        <w:tc>
          <w:tcPr>
            <w:tcW w:w="4300" w:type="dxa"/>
            <w:vAlign w:val="bottom"/>
            <w:gridSpan w:val="28"/>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6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Agreement and Plan of Merger by and among AbbVie S.à.r.l., Suffolk Merger</w:t>
              </w:r>
            </w:hyperlink>
          </w:p>
        </w:tc>
        <w:tc>
          <w:tcPr>
            <w:tcW w:w="32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Sub, Inc., Synlogic IBDCo, Inc., Synlogic, LLC, Synlogic, Inc. and the</w:t>
              </w:r>
            </w:hyperlink>
          </w:p>
        </w:tc>
        <w:tc>
          <w:tcPr>
            <w:tcW w:w="80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founders named therein, dated as of July 16, 2015; as amended by a First</w:t>
              </w:r>
            </w:hyperlink>
          </w:p>
        </w:tc>
        <w:tc>
          <w:tcPr>
            <w:tcW w:w="640" w:type="dxa"/>
            <w:vAlign w:val="bottom"/>
            <w:gridSpan w:val="1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Amendment to Agreement and Plan of Merger, dated as of December 14, 2015</w:t>
              </w:r>
            </w:hyperlink>
          </w:p>
        </w:tc>
        <w:tc>
          <w:tcPr>
            <w:tcW w:w="2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940" w:type="dxa"/>
            <w:vAlign w:val="bottom"/>
            <w:gridSpan w:val="3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Second Amendment to Agreement and Plan of Merger by and among AbbVie</w:t>
              </w:r>
            </w:hyperlink>
          </w:p>
        </w:tc>
        <w:tc>
          <w:tcPr>
            <w:tcW w:w="3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0" w:type="dxa"/>
            <w:vAlign w:val="bottom"/>
            <w:gridSpan w:val="11"/>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94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S.à.r.l., Synlogic IBDCo, Inc. and Synlogic Operating Company, Inc., dated as</w:t>
              </w:r>
            </w:hyperlink>
          </w:p>
        </w:tc>
        <w:tc>
          <w:tcPr>
            <w:tcW w:w="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6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of September 27, 2018</w:t>
              </w:r>
            </w:hyperlink>
          </w:p>
        </w:tc>
        <w:tc>
          <w:tcPr>
            <w:tcW w:w="3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940" w:type="dxa"/>
            <w:vAlign w:val="bottom"/>
            <w:gridSpan w:val="30"/>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Third Amendment to Agreement and Plan of Merger and First Amendment to</w:t>
              </w:r>
            </w:hyperlink>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56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License Agreement by and among AbbVie S.à.r.l., Synlogic IBDCo, Inc. and</w:t>
              </w:r>
            </w:hyperlink>
          </w:p>
        </w:tc>
        <w:tc>
          <w:tcPr>
            <w:tcW w:w="34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5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Synlogic Operating Company, Inc., dated as of December 18, 2018</w:t>
              </w:r>
            </w:hyperlink>
          </w:p>
        </w:tc>
        <w:tc>
          <w:tcPr>
            <w:tcW w:w="4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r>
      <w:tr>
        <w:trPr>
          <w:trHeight w:val="453"/>
        </w:trPr>
        <w:tc>
          <w:tcPr>
            <w:tcW w:w="1020" w:type="dxa"/>
            <w:vAlign w:val="bottom"/>
          </w:tcPr>
          <w:p>
            <w:pPr>
              <w:spacing w:after="0"/>
              <w:rPr>
                <w:sz w:val="24"/>
                <w:szCs w:val="24"/>
                <w:color w:val="auto"/>
              </w:rPr>
            </w:pPr>
          </w:p>
        </w:tc>
        <w:tc>
          <w:tcPr>
            <w:tcW w:w="4840" w:type="dxa"/>
            <w:vAlign w:val="bottom"/>
            <w:tcBorders>
              <w:top w:val="single" w:sz="8" w:color="0000EE"/>
            </w:tcBorders>
            <w:gridSpan w:val="13"/>
          </w:tcPr>
          <w:p>
            <w:pPr>
              <w:ind w:left="460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10.3)</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5/15/2018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10.2)</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10.2)</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10.4)</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10.5)</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10.6)</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10.7)</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10.8)</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10.1)</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11/13/2018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10.1)</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10.9)</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10/10/2017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10.1)</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(Exhibit 10.10)</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(Exhibit 10.11)</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(Exhibit 10.12)</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51"/>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11/13/2018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234"/>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(Exhibit 10.2)</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ectPr>
          <w:pgSz w:w="11900" w:h="16838" w:orient="portrait"/>
          <w:cols w:equalWidth="0" w:num="2">
            <w:col w:w="7340" w:space="720"/>
            <w:col w:w="3320"/>
          </w:cols>
          <w:pgMar w:left="240" w:top="446" w:right="27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License Agreement by and between Synlogic, Inc. and Synlogic IBDCo, Inc.,</w:t>
              </w:r>
            </w:hyperlink>
          </w:p>
        </w:tc>
        <w:tc>
          <w:tcPr>
            <w:tcW w:w="300" w:type="dxa"/>
            <w:vAlign w:val="bottom"/>
            <w:gridSpan w:val="2"/>
          </w:tcPr>
          <w:p>
            <w:pPr>
              <w:spacing w:after="0"/>
              <w:rPr>
                <w:sz w:val="17"/>
                <w:szCs w:val="17"/>
                <w:color w:val="auto"/>
              </w:rPr>
            </w:pPr>
          </w:p>
        </w:tc>
        <w:tc>
          <w:tcPr>
            <w:tcW w:w="24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8/28/2017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196"/>
        </w:trPr>
        <w:tc>
          <w:tcPr>
            <w:tcW w:w="1020" w:type="dxa"/>
            <w:vAlign w:val="bottom"/>
          </w:tcPr>
          <w:p>
            <w:pPr>
              <w:spacing w:after="0"/>
              <w:rPr>
                <w:sz w:val="17"/>
                <w:szCs w:val="17"/>
                <w:color w:val="auto"/>
              </w:rPr>
            </w:pPr>
          </w:p>
        </w:tc>
        <w:tc>
          <w:tcPr>
            <w:tcW w:w="5900" w:type="dxa"/>
            <w:vAlign w:val="bottom"/>
            <w:gridSpan w:val="2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dated as of July 16, 2015</w:t>
              </w:r>
            </w:hyperlink>
          </w:p>
        </w:tc>
        <w:tc>
          <w:tcPr>
            <w:tcW w:w="2440" w:type="dxa"/>
            <w:vAlign w:val="bottom"/>
          </w:tcPr>
          <w:p>
            <w:pPr>
              <w:jc w:val="center"/>
              <w:ind w:left="85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5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Sales Agreement, dated as of October 13, 2017 by and between the registrant</w:t>
              </w:r>
            </w:hyperlink>
          </w:p>
        </w:tc>
        <w:tc>
          <w:tcPr>
            <w:tcW w:w="340" w:type="dxa"/>
            <w:vAlign w:val="bottom"/>
            <w:gridSpan w:val="4"/>
          </w:tcPr>
          <w:p>
            <w:pPr>
              <w:spacing w:after="0"/>
              <w:rPr>
                <w:sz w:val="24"/>
                <w:szCs w:val="24"/>
                <w:color w:val="auto"/>
              </w:rPr>
            </w:pPr>
          </w:p>
        </w:tc>
        <w:tc>
          <w:tcPr>
            <w:tcW w:w="24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10/16/2017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196"/>
        </w:trPr>
        <w:tc>
          <w:tcPr>
            <w:tcW w:w="1020" w:type="dxa"/>
            <w:vAlign w:val="bottom"/>
          </w:tcPr>
          <w:p>
            <w:pPr>
              <w:spacing w:after="0"/>
              <w:rPr>
                <w:sz w:val="17"/>
                <w:szCs w:val="17"/>
                <w:color w:val="auto"/>
              </w:rPr>
            </w:pPr>
          </w:p>
        </w:tc>
        <w:tc>
          <w:tcPr>
            <w:tcW w:w="5900" w:type="dxa"/>
            <w:vAlign w:val="bottom"/>
            <w:gridSpan w:val="2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and Cowen and Company, LLC</w:t>
              </w:r>
            </w:hyperlink>
          </w:p>
        </w:tc>
        <w:tc>
          <w:tcPr>
            <w:tcW w:w="2440" w:type="dxa"/>
            <w:vAlign w:val="bottom"/>
          </w:tcPr>
          <w:p>
            <w:pPr>
              <w:jc w:val="center"/>
              <w:ind w:left="830"/>
              <w:spacing w:after="0" w:line="196" w:lineRule="exact"/>
              <w:rPr>
                <w:sz w:val="20"/>
                <w:szCs w:val="20"/>
                <w:color w:val="auto"/>
              </w:rPr>
            </w:pPr>
            <w:r>
              <w:rPr>
                <w:rFonts w:ascii="Times New Roman" w:cs="Times New Roman" w:eastAsia="Times New Roman" w:hAnsi="Times New Roman"/>
                <w:sz w:val="18"/>
                <w:szCs w:val="18"/>
                <w:color w:val="auto"/>
                <w:w w:val="99"/>
              </w:rPr>
              <w:t>(Exhibit 1.1)</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Subscription Agreement, dated as of April 6, 2018, by and among</w:t>
              </w:r>
            </w:hyperlink>
          </w:p>
        </w:tc>
        <w:tc>
          <w:tcPr>
            <w:tcW w:w="520" w:type="dxa"/>
            <w:vAlign w:val="bottom"/>
            <w:gridSpan w:val="7"/>
          </w:tcPr>
          <w:p>
            <w:pPr>
              <w:spacing w:after="0"/>
              <w:rPr>
                <w:sz w:val="24"/>
                <w:szCs w:val="24"/>
                <w:color w:val="auto"/>
              </w:rPr>
            </w:pPr>
          </w:p>
        </w:tc>
        <w:tc>
          <w:tcPr>
            <w:tcW w:w="24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001-37566</w:t>
            </w:r>
          </w:p>
        </w:tc>
      </w:tr>
      <w:tr>
        <w:trPr>
          <w:trHeight w:val="196"/>
        </w:trPr>
        <w:tc>
          <w:tcPr>
            <w:tcW w:w="1020" w:type="dxa"/>
            <w:vAlign w:val="bottom"/>
          </w:tcPr>
          <w:p>
            <w:pPr>
              <w:spacing w:after="0"/>
              <w:rPr>
                <w:sz w:val="17"/>
                <w:szCs w:val="17"/>
                <w:color w:val="auto"/>
              </w:rPr>
            </w:pPr>
          </w:p>
        </w:tc>
        <w:tc>
          <w:tcPr>
            <w:tcW w:w="5900" w:type="dxa"/>
            <w:vAlign w:val="bottom"/>
            <w:gridSpan w:val="2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Synlogic, Inc. and certain investors.</w:t>
              </w:r>
            </w:hyperlink>
          </w:p>
        </w:tc>
        <w:tc>
          <w:tcPr>
            <w:tcW w:w="2440" w:type="dxa"/>
            <w:vAlign w:val="bottom"/>
          </w:tcPr>
          <w:p>
            <w:pPr>
              <w:jc w:val="center"/>
              <w:ind w:left="830"/>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900" w:type="dxa"/>
            <w:vAlign w:val="bottom"/>
            <w:gridSpan w:val="20"/>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Master Contract Services Agreement, dated as of September 8, 2018, between</w:t>
              </w:r>
            </w:hyperlink>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6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Synlogic, Inc. and Azzur Group (d/b/a Azzur of New England LLC).</w:t>
              </w:r>
            </w:hyperlink>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40">
              <w:r>
                <w:rPr>
                  <w:rFonts w:ascii="Times New Roman" w:cs="Times New Roman" w:eastAsia="Times New Roman" w:hAnsi="Times New Roman"/>
                  <w:sz w:val="18"/>
                  <w:szCs w:val="18"/>
                  <w:color w:val="0000EE"/>
                  <w:w w:val="99"/>
                </w:rPr>
                <w:t>Statement of Work dated September 10, 2018 pursuant to Master Contract</w:t>
              </w:r>
            </w:hyperlink>
          </w:p>
        </w:tc>
        <w:tc>
          <w:tcPr>
            <w:tcW w:w="560" w:type="dxa"/>
            <w:vAlign w:val="bottom"/>
            <w:gridSpan w:val="8"/>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00" w:type="dxa"/>
            <w:vAlign w:val="bottom"/>
            <w:gridSpan w:val="20"/>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Services Agreement between Synlogic, Inc. and Azzur Group (d/b/a Azzur of</w:t>
              </w:r>
            </w:hyperlink>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40">
              <w:r>
                <w:rPr>
                  <w:rFonts w:ascii="Times New Roman" w:cs="Times New Roman" w:eastAsia="Times New Roman" w:hAnsi="Times New Roman"/>
                  <w:sz w:val="18"/>
                  <w:szCs w:val="18"/>
                  <w:color w:val="0000EE"/>
                  <w:w w:val="98"/>
                </w:rPr>
                <w:t>New England LLC).</w:t>
              </w:r>
            </w:hyperlink>
          </w:p>
        </w:tc>
        <w:tc>
          <w:tcPr>
            <w:tcW w:w="4100" w:type="dxa"/>
            <w:vAlign w:val="bottom"/>
            <w:tcBorders>
              <w:top w:val="single" w:sz="8" w:color="0000EE"/>
            </w:tcBorders>
            <w:gridSpan w:val="15"/>
          </w:tcPr>
          <w:p>
            <w:pPr>
              <w:spacing w:after="0"/>
              <w:rPr>
                <w:sz w:val="17"/>
                <w:szCs w:val="17"/>
                <w:color w:val="auto"/>
              </w:rPr>
            </w:pPr>
          </w:p>
        </w:tc>
        <w:tc>
          <w:tcPr>
            <w:tcW w:w="320" w:type="dxa"/>
            <w:vAlign w:val="bottom"/>
            <w:gridSpan w:val="3"/>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53">
              <w:r>
                <w:rPr>
                  <w:rFonts w:ascii="Times New Roman" w:cs="Times New Roman" w:eastAsia="Times New Roman" w:hAnsi="Times New Roman"/>
                  <w:sz w:val="18"/>
                  <w:szCs w:val="18"/>
                  <w:color w:val="0000EE"/>
                  <w:w w:val="99"/>
                </w:rPr>
                <w:t>Statement of Work dated December 7, 2018 pursuant to Master Contract</w:t>
              </w:r>
            </w:hyperlink>
          </w:p>
        </w:tc>
        <w:tc>
          <w:tcPr>
            <w:tcW w:w="680" w:type="dxa"/>
            <w:vAlign w:val="bottom"/>
            <w:gridSpan w:val="9"/>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900" w:type="dxa"/>
            <w:vAlign w:val="bottom"/>
            <w:gridSpan w:val="20"/>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Services Agreement between Synlogic, Inc. and Azzur Group (d/b/a Azzur of</w:t>
              </w:r>
            </w:hyperlink>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53">
              <w:r>
                <w:rPr>
                  <w:rFonts w:ascii="Times New Roman" w:cs="Times New Roman" w:eastAsia="Times New Roman" w:hAnsi="Times New Roman"/>
                  <w:sz w:val="18"/>
                  <w:szCs w:val="18"/>
                  <w:color w:val="0000EE"/>
                  <w:w w:val="98"/>
                </w:rPr>
                <w:t>New England LLC).</w:t>
              </w:r>
            </w:hyperlink>
          </w:p>
        </w:tc>
        <w:tc>
          <w:tcPr>
            <w:tcW w:w="4100" w:type="dxa"/>
            <w:vAlign w:val="bottom"/>
            <w:tcBorders>
              <w:top w:val="single" w:sz="8" w:color="0000EE"/>
            </w:tcBorders>
            <w:gridSpan w:val="15"/>
          </w:tcPr>
          <w:p>
            <w:pPr>
              <w:spacing w:after="0"/>
              <w:rPr>
                <w:sz w:val="17"/>
                <w:szCs w:val="17"/>
                <w:color w:val="auto"/>
              </w:rPr>
            </w:pPr>
          </w:p>
        </w:tc>
        <w:tc>
          <w:tcPr>
            <w:tcW w:w="320" w:type="dxa"/>
            <w:vAlign w:val="bottom"/>
            <w:gridSpan w:val="3"/>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900" w:type="dxa"/>
            <w:vAlign w:val="bottom"/>
            <w:gridSpan w:val="20"/>
          </w:tcPr>
          <w:p>
            <w:pPr>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Subsidiaries of the registrant</w:t>
              </w:r>
            </w:hyperlink>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8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65">
              <w:r>
                <w:rPr>
                  <w:rFonts w:ascii="Times New Roman" w:cs="Times New Roman" w:eastAsia="Times New Roman" w:hAnsi="Times New Roman"/>
                  <w:sz w:val="18"/>
                  <w:szCs w:val="18"/>
                  <w:color w:val="0000EE"/>
                  <w:w w:val="99"/>
                </w:rPr>
                <w:t>Consent of Independent Registered Accounting Firm</w:t>
              </w:r>
            </w:hyperlink>
          </w:p>
        </w:tc>
        <w:tc>
          <w:tcPr>
            <w:tcW w:w="2080" w:type="dxa"/>
            <w:vAlign w:val="bottom"/>
            <w:gridSpan w:val="13"/>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Power of Attorney (included in the signature page hereto)</w:t>
              </w:r>
            </w:hyperlink>
          </w:p>
        </w:tc>
        <w:tc>
          <w:tcPr>
            <w:tcW w:w="1740" w:type="dxa"/>
            <w:vAlign w:val="bottom"/>
            <w:gridSpan w:val="12"/>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66">
              <w:r>
                <w:rPr>
                  <w:rFonts w:ascii="Times New Roman" w:cs="Times New Roman" w:eastAsia="Times New Roman" w:hAnsi="Times New Roman"/>
                  <w:sz w:val="18"/>
                  <w:szCs w:val="18"/>
                  <w:color w:val="0000EE"/>
                  <w:w w:val="99"/>
                </w:rPr>
                <w:t>Certification of Chief Executive Officer required by Rule 13a-14(a) or Rule</w:t>
              </w:r>
            </w:hyperlink>
          </w:p>
        </w:tc>
        <w:tc>
          <w:tcPr>
            <w:tcW w:w="440" w:type="dxa"/>
            <w:vAlign w:val="bottom"/>
            <w:gridSpan w:val="5"/>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66">
              <w:r>
                <w:rPr>
                  <w:rFonts w:ascii="Times New Roman" w:cs="Times New Roman" w:eastAsia="Times New Roman" w:hAnsi="Times New Roman"/>
                  <w:sz w:val="18"/>
                  <w:szCs w:val="18"/>
                  <w:color w:val="0000EE"/>
                  <w:w w:val="97"/>
                </w:rPr>
                <w:t>15d-14(a).</w:t>
              </w:r>
            </w:hyperlink>
          </w:p>
        </w:tc>
        <w:tc>
          <w:tcPr>
            <w:tcW w:w="5140" w:type="dxa"/>
            <w:vAlign w:val="bottom"/>
            <w:gridSpan w:val="19"/>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00" w:type="dxa"/>
            <w:vAlign w:val="bottom"/>
            <w:gridSpan w:val="20"/>
          </w:tcPr>
          <w:p>
            <w:pPr>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Certification of Chief Financial Officer required by Rule 13a-14(a) or Rule</w:t>
              </w:r>
            </w:hyperlink>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67">
              <w:r>
                <w:rPr>
                  <w:rFonts w:ascii="Times New Roman" w:cs="Times New Roman" w:eastAsia="Times New Roman" w:hAnsi="Times New Roman"/>
                  <w:sz w:val="18"/>
                  <w:szCs w:val="18"/>
                  <w:color w:val="0000EE"/>
                  <w:w w:val="97"/>
                </w:rPr>
                <w:t>15d-14(a).</w:t>
              </w:r>
            </w:hyperlink>
          </w:p>
        </w:tc>
        <w:tc>
          <w:tcPr>
            <w:tcW w:w="4640" w:type="dxa"/>
            <w:vAlign w:val="bottom"/>
            <w:tcBorders>
              <w:top w:val="single" w:sz="8" w:color="0000EE"/>
            </w:tcBorders>
            <w:gridSpan w:val="13"/>
          </w:tcPr>
          <w:p>
            <w:pPr>
              <w:spacing w:after="0"/>
              <w:rPr>
                <w:sz w:val="17"/>
                <w:szCs w:val="17"/>
                <w:color w:val="auto"/>
              </w:rPr>
            </w:pPr>
          </w:p>
        </w:tc>
        <w:tc>
          <w:tcPr>
            <w:tcW w:w="500" w:type="dxa"/>
            <w:vAlign w:val="bottom"/>
            <w:gridSpan w:val="6"/>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5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Certification required by Rule 13a-14(b) or Rule 15d-14(b) and Section 1350</w:t>
              </w:r>
            </w:hyperlink>
          </w:p>
        </w:tc>
        <w:tc>
          <w:tcPr>
            <w:tcW w:w="340" w:type="dxa"/>
            <w:vAlign w:val="bottom"/>
            <w:gridSpan w:val="4"/>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of Chapter 63 of Title 18 of the United States Code (18 U.S.C. §1350).</w:t>
              </w:r>
            </w:hyperlink>
          </w:p>
        </w:tc>
        <w:tc>
          <w:tcPr>
            <w:tcW w:w="800" w:type="dxa"/>
            <w:vAlign w:val="bottom"/>
            <w:gridSpan w:val="10"/>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5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69">
              <w:r>
                <w:rPr>
                  <w:rFonts w:ascii="Times New Roman" w:cs="Times New Roman" w:eastAsia="Times New Roman" w:hAnsi="Times New Roman"/>
                  <w:sz w:val="18"/>
                  <w:szCs w:val="18"/>
                  <w:color w:val="0000EE"/>
                  <w:w w:val="99"/>
                </w:rPr>
                <w:t>Certification required by Rule 13a-14(b) or Rule 15d-14(b) and Section 1350</w:t>
              </w:r>
            </w:hyperlink>
          </w:p>
        </w:tc>
        <w:tc>
          <w:tcPr>
            <w:tcW w:w="340" w:type="dxa"/>
            <w:vAlign w:val="bottom"/>
            <w:gridSpan w:val="4"/>
          </w:tcPr>
          <w:p>
            <w:pPr>
              <w:spacing w:after="0"/>
              <w:rPr>
                <w:sz w:val="24"/>
                <w:szCs w:val="24"/>
                <w:color w:val="auto"/>
              </w:rPr>
            </w:pP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69">
              <w:r>
                <w:rPr>
                  <w:rFonts w:ascii="Times New Roman" w:cs="Times New Roman" w:eastAsia="Times New Roman" w:hAnsi="Times New Roman"/>
                  <w:sz w:val="18"/>
                  <w:szCs w:val="18"/>
                  <w:color w:val="0000EE"/>
                  <w:w w:val="99"/>
                </w:rPr>
                <w:t>of Chapter 63 of Title 18 of the United States Code (18 U.S.C. §1350).</w:t>
              </w:r>
            </w:hyperlink>
          </w:p>
        </w:tc>
        <w:tc>
          <w:tcPr>
            <w:tcW w:w="800" w:type="dxa"/>
            <w:vAlign w:val="bottom"/>
            <w:gridSpan w:val="10"/>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11" w:lineRule="exact"/>
        <w:rPr>
          <w:sz w:val="20"/>
          <w:szCs w:val="20"/>
          <w:color w:val="auto"/>
        </w:rPr>
      </w:pPr>
    </w:p>
    <w:p>
      <w:pPr>
        <w:ind w:left="520" w:right="30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601(b)(2)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9690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plans or arrangements.</w:t>
      </w:r>
    </w:p>
    <w:p>
      <w:pPr>
        <w:spacing w:after="0" w:line="9"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or granted as to certain portions, which portions have been omitted and filed separately with the SEC.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6" w:right="279" w:bottom="1440" w:gutter="0" w:footer="0" w:header="0"/>
        </w:sectPr>
      </w:pPr>
    </w:p>
    <w:bookmarkStart w:id="79" w:name="page80"/>
    <w:bookmarkEnd w:id="79"/>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Synlogic, Inc.</w:t>
      </w:r>
    </w:p>
    <w:p>
      <w:pPr>
        <w:sectPr>
          <w:pgSz w:w="11900" w:h="16838" w:orient="portrait"/>
          <w:cols w:equalWidth="0" w:num="1">
            <w:col w:w="11420"/>
          </w:cols>
          <w:pgMar w:left="240" w:top="333" w:right="2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12,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17145</wp:posOffset>
            </wp:positionV>
            <wp:extent cx="3378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5040" w:space="720"/>
            <w:col w:w="1620" w:space="720"/>
            <w:col w:w="3320"/>
          </w:cols>
          <w:pgMar w:left="240" w:top="333" w:right="239" w:bottom="1440" w:gutter="0" w:footer="0" w:header="0"/>
          <w:type w:val="continuous"/>
        </w:sectPr>
      </w:pPr>
    </w:p>
    <w:p>
      <w:pPr>
        <w:ind w:left="8220"/>
        <w:spacing w:after="0"/>
        <w:rPr>
          <w:sz w:val="20"/>
          <w:szCs w:val="20"/>
          <w:color w:val="auto"/>
        </w:rPr>
      </w:pPr>
      <w:r>
        <w:rPr>
          <w:rFonts w:ascii="Times New Roman" w:cs="Times New Roman" w:eastAsia="Times New Roman" w:hAnsi="Times New Roman"/>
          <w:sz w:val="18"/>
          <w:szCs w:val="18"/>
          <w:color w:val="auto"/>
        </w:rPr>
        <w:t>Aoife Brennan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President, Chief Executive Officer and Chief Medical Officer</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Aoife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Brennan and Todd Shegog his true and lawful attorney-in-fact and agent, with full power of substitution, for him and in his name, place and stead, in 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capacities, to sign any and all amendments to this Annual Report on Form 10-K, and to file the same, with all exhibits thereto, and other documents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 with the Securities and Exchange Commission, granting unto said attorney-in-fact and agent, full power and authority to do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each and every act and thing requisite and necessary to be done in connection therewith, as fully to all intents and purposes as he might or could do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hereby ratifying and confirming all that said attorney-in-fact and agent, or his or her substitutes or substitute, may lawfully do or cause to be done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virtue hereof.</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82" w:lineRule="exact"/>
        <w:rPr>
          <w:sz w:val="20"/>
          <w:szCs w:val="20"/>
          <w:color w:val="auto"/>
        </w:rPr>
      </w:pPr>
    </w:p>
    <w:p>
      <w:pPr>
        <w:ind w:left="1700"/>
        <w:spacing w:after="0"/>
        <w:tabs>
          <w:tab w:leader="none" w:pos="6200" w:val="left"/>
          <w:tab w:leader="none" w:pos="100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Chief Medical Officer and</w:t>
            </w:r>
          </w:p>
        </w:tc>
        <w:tc>
          <w:tcPr>
            <w:tcW w:w="1440" w:type="dxa"/>
            <w:vAlign w:val="bottom"/>
          </w:tcPr>
          <w:p>
            <w:pPr>
              <w:spacing w:after="0"/>
              <w:rPr>
                <w:sz w:val="18"/>
                <w:szCs w:val="18"/>
                <w:color w:val="auto"/>
              </w:rPr>
            </w:pPr>
          </w:p>
        </w:tc>
      </w:tr>
      <w:tr>
        <w:trPr>
          <w:trHeight w:val="23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Aoife Brennan</w:t>
            </w:r>
          </w:p>
        </w:tc>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440" w:type="dxa"/>
            <w:vAlign w:val="bottom"/>
          </w:tcPr>
          <w:p>
            <w:pPr>
              <w:spacing w:after="0"/>
              <w:rPr>
                <w:sz w:val="20"/>
                <w:szCs w:val="20"/>
                <w:color w:val="auto"/>
              </w:rPr>
            </w:pP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Todd Shegog</w:t>
            </w:r>
          </w:p>
        </w:tc>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tc>
        <w:tc>
          <w:tcPr>
            <w:tcW w:w="1440" w:type="dxa"/>
            <w:vAlign w:val="bottom"/>
          </w:tcPr>
          <w:p>
            <w:pPr>
              <w:spacing w:after="0"/>
              <w:rPr>
                <w:sz w:val="20"/>
                <w:szCs w:val="20"/>
                <w:color w:val="auto"/>
              </w:rPr>
            </w:pP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ETER</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ARRETT</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Barrett</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ATRICIA HURTER</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Patricia Hurter</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HAU</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HUONG</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Chau Khuong</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ESCHLY</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Nick Leschly</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w:t>
            </w:r>
            <w:r>
              <w:rPr>
                <w:rFonts w:ascii="Times New Roman" w:cs="Times New Roman" w:eastAsia="Times New Roman" w:hAnsi="Times New Roman"/>
                <w:sz w:val="12"/>
                <w:szCs w:val="12"/>
                <w:color w:val="auto"/>
                <w:w w:val="99"/>
              </w:rPr>
              <w:t>DWARD</w:t>
            </w:r>
            <w:r>
              <w:rPr>
                <w:rFonts w:ascii="Times New Roman" w:cs="Times New Roman" w:eastAsia="Times New Roman" w:hAnsi="Times New Roman"/>
                <w:sz w:val="18"/>
                <w:szCs w:val="18"/>
                <w:color w:val="auto"/>
                <w:w w:val="99"/>
              </w:rPr>
              <w:t xml:space="preserve"> M</w:t>
            </w:r>
            <w:r>
              <w:rPr>
                <w:rFonts w:ascii="Times New Roman" w:cs="Times New Roman" w:eastAsia="Times New Roman" w:hAnsi="Times New Roman"/>
                <w:sz w:val="12"/>
                <w:szCs w:val="12"/>
                <w:color w:val="auto"/>
                <w:w w:val="99"/>
              </w:rPr>
              <w:t>ATHERS</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Edward Mathers</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OWELL</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Powell</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r>
        <w:trPr>
          <w:trHeight w:val="31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w:t>
            </w:r>
            <w:r>
              <w:rPr>
                <w:rFonts w:ascii="Times New Roman" w:cs="Times New Roman" w:eastAsia="Times New Roman" w:hAnsi="Times New Roman"/>
                <w:sz w:val="12"/>
                <w:szCs w:val="12"/>
                <w:color w:val="auto"/>
                <w:w w:val="98"/>
              </w:rPr>
              <w:t>ICHARD</w:t>
            </w:r>
            <w:r>
              <w:rPr>
                <w:rFonts w:ascii="Times New Roman" w:cs="Times New Roman" w:eastAsia="Times New Roman" w:hAnsi="Times New Roman"/>
                <w:sz w:val="18"/>
                <w:szCs w:val="18"/>
                <w:color w:val="auto"/>
                <w:w w:val="98"/>
              </w:rPr>
              <w:t xml:space="preserve"> P. S</w:t>
            </w:r>
            <w:r>
              <w:rPr>
                <w:rFonts w:ascii="Times New Roman" w:cs="Times New Roman" w:eastAsia="Times New Roman" w:hAnsi="Times New Roman"/>
                <w:sz w:val="12"/>
                <w:szCs w:val="12"/>
                <w:color w:val="auto"/>
                <w:w w:val="98"/>
              </w:rPr>
              <w:t>HEA</w:t>
            </w: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Richard P. Shea</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March 12, 2019</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Synlogic, Inc.</w:t>
            </w:r>
          </w:p>
        </w:tc>
        <w:tc>
          <w:tcPr>
            <w:tcW w:w="1840" w:type="dxa"/>
            <w:vAlign w:val="bottom"/>
          </w:tcPr>
          <w:p>
            <w:pPr>
              <w:spacing w:after="0"/>
              <w:rPr>
                <w:sz w:val="20"/>
                <w:szCs w:val="20"/>
                <w:color w:val="auto"/>
              </w:rPr>
            </w:pPr>
          </w:p>
        </w:tc>
      </w:tr>
      <w:tr>
        <w:trPr>
          <w:trHeight w:val="419"/>
        </w:trPr>
        <w:tc>
          <w:tcPr>
            <w:tcW w:w="9600" w:type="dxa"/>
            <w:vAlign w:val="bottom"/>
            <w:gridSpan w:val="7"/>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Report of Independent Registered Public Accounting Firm</w:t>
              </w:r>
            </w:hyperlink>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F-1</w:t>
            </w:r>
          </w:p>
        </w:tc>
      </w:tr>
      <w:tr>
        <w:trPr>
          <w:trHeight w:val="210"/>
        </w:trPr>
        <w:tc>
          <w:tcPr>
            <w:tcW w:w="21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3"/>
          </w:tcPr>
          <w:p>
            <w:pPr>
              <w:spacing w:after="0"/>
              <w:rPr>
                <w:sz w:val="18"/>
                <w:szCs w:val="18"/>
                <w:color w:val="auto"/>
              </w:rPr>
            </w:pPr>
          </w:p>
        </w:tc>
        <w:tc>
          <w:tcPr>
            <w:tcW w:w="5380" w:type="dxa"/>
            <w:vAlign w:val="bottom"/>
            <w:gridSpan w:val="3"/>
          </w:tcPr>
          <w:p>
            <w:pPr>
              <w:spacing w:after="0"/>
              <w:rPr>
                <w:sz w:val="18"/>
                <w:szCs w:val="18"/>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F-2</w:t>
            </w:r>
          </w:p>
        </w:tc>
      </w:tr>
      <w:tr>
        <w:trPr>
          <w:trHeight w:val="210"/>
        </w:trPr>
        <w:tc>
          <w:tcPr>
            <w:tcW w:w="9600" w:type="dxa"/>
            <w:vAlign w:val="bottom"/>
            <w:gridSpan w:val="7"/>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Operations and Comprehensive Loss</w:t>
              </w:r>
            </w:hyperlink>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0"/>
        </w:trPr>
        <w:tc>
          <w:tcPr>
            <w:tcW w:w="9600" w:type="dxa"/>
            <w:vAlign w:val="bottom"/>
            <w:gridSpan w:val="7"/>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Contingently Redeemable Preferred Equity and Stockholders’ Equity</w:t>
              </w:r>
            </w:hyperlink>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F-4</w:t>
            </w:r>
          </w:p>
        </w:tc>
      </w:tr>
      <w:tr>
        <w:trPr>
          <w:trHeight w:val="210"/>
        </w:trPr>
        <w:tc>
          <w:tcPr>
            <w:tcW w:w="28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Consolidated Statements of Cash Flows</w:t>
              </w:r>
            </w:hyperlink>
          </w:p>
        </w:tc>
        <w:tc>
          <w:tcPr>
            <w:tcW w:w="4140" w:type="dxa"/>
            <w:vAlign w:val="bottom"/>
            <w:tcBorders>
              <w:top w:val="single" w:sz="8" w:color="0000EE"/>
            </w:tcBorders>
            <w:gridSpan w:val="4"/>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F-7</w:t>
            </w:r>
          </w:p>
        </w:tc>
      </w:tr>
      <w:tr>
        <w:trPr>
          <w:trHeight w:val="210"/>
        </w:trPr>
        <w:tc>
          <w:tcPr>
            <w:tcW w:w="9600" w:type="dxa"/>
            <w:vAlign w:val="bottom"/>
            <w:gridSpan w:val="7"/>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Consolidated Financial Statements</w:t>
              </w:r>
            </w:hyperlink>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F-8</w:t>
            </w:r>
          </w:p>
        </w:tc>
      </w:tr>
      <w:tr>
        <w:trPr>
          <w:trHeight w:val="1040"/>
        </w:trPr>
        <w:tc>
          <w:tcPr>
            <w:tcW w:w="210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Synlogic,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Synlogic, Inc. and subsidiaries (the Company) as of December 31, 2018 and 2017, the related consolidated statements of operations and comprehensive loss, contingently redeemable preferred equity and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U.S. generally accepted accounting principles.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Contingently Redeemable Preferred Equity and Stockholders' Equity</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5,000,000 shares authorized, none issued and outstanding as of December 31, 2018 and December</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31, 2017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250,000,000 shares authorized as of December 31, 2018 and December 31, 2017. 25,401,479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shares issued and outstanding as of December 31, 2018 and 16,272,617 shares issued and</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(119,765)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(71,654)</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(48,435)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20" w:type="dxa"/>
            <w:vAlign w:val="bottom"/>
            <w:tcBorders>
              <w:top w:val="single" w:sz="8" w:color="CFF0FC"/>
            </w:tcBorders>
            <w:shd w:val="clear" w:color="auto" w:fill="CFF0FC"/>
          </w:tcPr>
          <w:p>
            <w:pPr>
              <w:ind w:left="240"/>
              <w:spacing w:after="0" w:line="192" w:lineRule="exact"/>
              <w:rPr>
                <w:sz w:val="20"/>
                <w:szCs w:val="20"/>
                <w:color w:val="auto"/>
              </w:rPr>
            </w:pPr>
            <w:r>
              <w:rPr>
                <w:rFonts w:ascii="Times New Roman" w:cs="Times New Roman" w:eastAsia="Times New Roman" w:hAnsi="Times New Roman"/>
                <w:sz w:val="18"/>
                <w:szCs w:val="18"/>
                <w:color w:val="auto"/>
              </w:rPr>
              <w:t>Weighted-average common shares used in computing net loss per share attributable to common</w:t>
            </w: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shareholders -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23,882,685</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6,724,641</w:t>
            </w:r>
          </w:p>
        </w:tc>
        <w:tc>
          <w:tcPr>
            <w:tcW w:w="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(48,435)</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losses on marketable securities</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Contingently Redeemable Preferred Equity and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unit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Contingently redeemable</w:t>
            </w:r>
          </w:p>
        </w:tc>
        <w:tc>
          <w:tcPr>
            <w:tcW w:w="184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Contingently redeemable</w:t>
            </w:r>
          </w:p>
        </w:tc>
        <w:tc>
          <w:tcPr>
            <w:tcW w:w="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360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 preferred</w:t>
            </w:r>
          </w:p>
        </w:tc>
        <w:tc>
          <w:tcPr>
            <w:tcW w:w="1840" w:type="dxa"/>
            <w:vAlign w:val="bottom"/>
            <w:tcBorders>
              <w:right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360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60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64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62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64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68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781,693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3,922,027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B preferred units, net of issuance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costs of $18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1,971,717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80" w:type="dxa"/>
            <w:vAlign w:val="bottom"/>
          </w:tcPr>
          <w:p>
            <w:pPr>
              <w:spacing w:after="0"/>
              <w:rPr>
                <w:sz w:val="20"/>
                <w:szCs w:val="20"/>
                <w:color w:val="auto"/>
              </w:rPr>
            </w:pP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for license</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agreement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founders' units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of preferred and common units into</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and common stock</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(781,693)</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781,693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(3,922,027)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(25,548)</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(3,001,567)</w:t>
            </w: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(40,259)</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C preferred stock, net of issuance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costs of $1,567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and contingently</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 exchanged for</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(781,693)</w:t>
            </w:r>
          </w:p>
        </w:tc>
        <w:tc>
          <w:tcPr>
            <w:tcW w:w="10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exchanged for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the Merger</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2016-09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2014-09 (ASC 606)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Contingently Redeemable Preferred Equity and Stockholders’ Equity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unit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9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r>
      <w:tr>
        <w:trPr>
          <w:trHeight w:val="173"/>
        </w:trPr>
        <w:tc>
          <w:tcPr>
            <w:tcW w:w="3460" w:type="dxa"/>
            <w:vAlign w:val="bottom"/>
          </w:tcPr>
          <w:p>
            <w:pPr>
              <w:spacing w:after="0"/>
              <w:rPr>
                <w:sz w:val="15"/>
                <w:szCs w:val="15"/>
                <w:color w:val="auto"/>
              </w:rPr>
            </w:pPr>
          </w:p>
        </w:tc>
        <w:tc>
          <w:tcPr>
            <w:tcW w:w="20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6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1,847,615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B preferred units,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 $18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for license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agreement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founders' units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of preferred and common units into</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and common stock</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(2,020,367)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3,922,027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3,001,567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40,259</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C preferred stock,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 $1,567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2,882,679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tcPr>
          <w:p>
            <w:pPr>
              <w:spacing w:after="0"/>
              <w:rPr>
                <w:sz w:val="20"/>
                <w:szCs w:val="20"/>
                <w:color w:val="auto"/>
              </w:rPr>
            </w:pPr>
          </w:p>
        </w:tc>
      </w:tr>
      <w:tr>
        <w:trPr>
          <w:trHeight w:val="21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and contingently</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 exchanged for</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(3,922,027)</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(25,548)</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(3,001,567)</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(40,259)</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(2,882,679)</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(40,433)</w:t>
            </w: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exchanged for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the Merger</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2016-09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2014-09 (ASC</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p>
      <w:pPr>
        <w:ind w:left="41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6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Consolidated Statements of Contingently Redeemable Preferred Equity and Stockholders’ Equity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unit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4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20" w:type="dxa"/>
            <w:vAlign w:val="bottom"/>
            <w:tcBorders>
              <w:top w:val="single" w:sz="8" w:color="auto"/>
              <w:bottom w:val="single" w:sz="8" w:color="auto"/>
            </w:tcBorders>
            <w:gridSpan w:val="4"/>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$0.0001 par</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$0.001 par</w:t>
            </w:r>
          </w:p>
        </w:tc>
        <w:tc>
          <w:tcPr>
            <w:tcW w:w="6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90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12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0"/>
                <w:szCs w:val="10"/>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B preferred units, net of issuance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costs of $18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for license</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agreement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founders' units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of preferred and common units into</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and 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2,020,367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C preferred stock, net of issuance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costs of $1,567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and contingently</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 exchanged for</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10,587,966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exchanged for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(2,714,694)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the Merger</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2,979,836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2016-09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(40,377)</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16,272,617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$ 156,685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2014-09 (ASC 606)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9,179,500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(70,468)</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gain/(loss) on securities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(48,435)</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(48,435)</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25,401,479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$ 243,903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124,098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71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center"/>
              <w:ind w:right="1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(48,435)</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(40,377)</w:t>
            </w: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shares issued for license acquisition</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1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71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rent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71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12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assets acquired in reverse merger, net of transaction costs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(51,438)</w:t>
            </w: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(2,578)</w:t>
            </w:r>
          </w:p>
        </w:tc>
      </w:tr>
      <w:tr>
        <w:trPr>
          <w:trHeight w:val="223"/>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 investing activities</w:t>
            </w:r>
          </w:p>
        </w:tc>
        <w:tc>
          <w:tcPr>
            <w:tcW w:w="6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 net of issuance costs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convertible preferred stock, net of issuance costs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preferred units, net of issuance costs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20" w:type="dxa"/>
            <w:vAlign w:val="bottom"/>
          </w:tcPr>
          <w:p>
            <w:pPr>
              <w:spacing w:after="0"/>
              <w:rPr>
                <w:sz w:val="19"/>
                <w:szCs w:val="19"/>
                <w:color w:val="auto"/>
              </w:rPr>
            </w:pPr>
          </w:p>
        </w:tc>
      </w:tr>
      <w:tr>
        <w:trPr>
          <w:trHeight w:val="223"/>
        </w:trPr>
        <w:tc>
          <w:tcPr>
            <w:tcW w:w="7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financing activities</w:t>
            </w:r>
          </w:p>
        </w:tc>
        <w:tc>
          <w:tcPr>
            <w:tcW w:w="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82,483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20" w:type="dxa"/>
            <w:vAlign w:val="bottom"/>
            <w:shd w:val="clear" w:color="auto" w:fill="CFF0FC"/>
          </w:tcPr>
          <w:p>
            <w:pPr>
              <w:spacing w:after="0"/>
              <w:rPr>
                <w:sz w:val="19"/>
                <w:szCs w:val="19"/>
                <w:color w:val="auto"/>
              </w:rPr>
            </w:pPr>
          </w:p>
        </w:tc>
      </w:tr>
      <w:tr>
        <w:trPr>
          <w:trHeight w:val="263"/>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120" w:type="dxa"/>
            <w:vAlign w:val="bottom"/>
            <w:tcBorders>
              <w:bottom w:val="single" w:sz="8" w:color="CFF0FC"/>
            </w:tcBorders>
          </w:tcPr>
          <w:p>
            <w:pPr>
              <w:spacing w:after="0"/>
              <w:rPr>
                <w:sz w:val="22"/>
                <w:szCs w:val="22"/>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Landlord funded allowance for tenant improvements</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9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under capital lease</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Prior period adjustment related to the adoption of ASU 2016-09</w:t>
            </w:r>
          </w:p>
        </w:tc>
        <w:tc>
          <w:tcPr>
            <w:tcW w:w="9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focused on advancing its drug discovery and development platform for Synthetic Biotic™ medicines. Synthetic Biotic medicines are generated from Synlogic’s proprietary drug discovery and development platform applying the principles and tools of synthetic biology to engineer beneficial microbes to perform or deliver critical therapeutic functions to treat metabolic and inflammatory diseases and cancer.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 Since incorporation, the Company has devoted substantially all of its efforts to the research and development of its product candidates.</w:t>
      </w:r>
    </w:p>
    <w:p>
      <w:pPr>
        <w:spacing w:after="0" w:line="18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At December 31, 2018, the Company had approximately $122.7 million in cash, cash equivalents, and marketable securities, approximately $1.1 million of restricted cash, and an accumulated deficit of approximately $119.8 million. Since its inception through December 31, 2018, the Company has primarily financed its operations through the issuance of preferred stock and units, the sale of its common stock, the AbbVie collaboration, and cash received in the Merger. In the absence of positive cash flows from operations, the Company is highly dependent on its ability to find additional sources of funding in the form of debt or equity financing. In January 2018, the Company sold shares of its common stock in a firm commitment, underwritten public offering and received $53.8 million in net proceeds from this offering, after underwriting discounts and commissions and other offering expenses. In April 2018, the Company sold shares of its common stock in a registered direct offering and received $28.9 million in net proceeds from this offering, after fees and other expenses. Management believes that the Company has sufficient cash to fund its operations through at least twelve months from the issuance of these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(“U.S. GAAP” or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revenue recognition, income taxes including the valuation allowance for deferred tax assets, research and development accruals, accrued expenses, contingencies and equity-based compensation.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 remaining maturity when purchased of three months or less to be cash equivalents. Investments qualifying as cash equivalents primarily consist of money market funds and corporate debt securities. Cash equivalents are stated at cost plus accrued interest, which approximates fair value. The amount of cash equivalents included in cash and cash equivalents was approximately $0.3 million and $32.7 million at December 31, 2018 and 2017,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 held cash of approximately $1.0 million at December 31, 2018 in a letter of credit to secure its lease at the 301 Binney Street facility. In addition, the Company held cash of $50,000 at December 31, 2018 and 2017 in a separate restricted bank account as collateral for the Company’s credit cards. The Company has classified these deposits as long-term restricted cash on its balance sheet.</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0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5"/>
                <w:szCs w:val="15"/>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6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Borders>
              <w:bottom w:val="single" w:sz="8" w:color="CFF0FC"/>
            </w:tcBorders>
          </w:tcPr>
          <w:p>
            <w:pPr>
              <w:spacing w:after="0"/>
              <w:rPr>
                <w:sz w:val="19"/>
                <w:szCs w:val="19"/>
                <w:color w:val="auto"/>
              </w:rPr>
            </w:pPr>
          </w:p>
        </w:tc>
      </w:tr>
      <w:tr>
        <w:trPr>
          <w:trHeight w:val="205"/>
        </w:trPr>
        <w:tc>
          <w:tcPr>
            <w:tcW w:w="4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the consolidated statement of cash flows</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60" w:type="dxa"/>
            <w:vAlign w:val="bottom"/>
            <w:shd w:val="clear" w:color="auto" w:fill="CFF0FC"/>
          </w:tcPr>
          <w:p>
            <w:pPr>
              <w:spacing w:after="0"/>
              <w:rPr>
                <w:sz w:val="20"/>
                <w:szCs w:val="20"/>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72"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Utilize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Utilize data points that are either directly or indirectly observable, such as quoted prices, interest rates and yield curves;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Utilize unobservable data points in which there is little or no market data, which require the Company to develop its own assumptions for the asset or liability.</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assets or liabilities between Level 1, Level 2 or Level 3 during the years ended December 31, 2018 and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Company classifies all short-term investments with an original maturity when purchased of greater than three months as available-for-sale.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84"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460" w:firstLine="518"/>
        <w:spacing w:after="0" w:line="222" w:lineRule="exact"/>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and depreciated over their estimated useful lives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Repairs and maintenance costs are expensed as incurred, whereas major improvements are capitalized as additions to property and equipment.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begins at the time the asset is placed in service. Depreciation is provided over the following estimated useful lives:</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9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60" w:type="dxa"/>
            <w:vAlign w:val="bottom"/>
            <w:tcBorders>
              <w:bottom w:val="single" w:sz="8" w:color="CFF0FC"/>
            </w:tcBorders>
          </w:tcPr>
          <w:p>
            <w:pPr>
              <w:spacing w:after="0"/>
              <w:rPr>
                <w:sz w:val="15"/>
                <w:szCs w:val="15"/>
                <w:color w:val="auto"/>
              </w:rPr>
            </w:pPr>
          </w:p>
        </w:tc>
        <w:tc>
          <w:tcPr>
            <w:tcW w:w="39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shd w:val="clear" w:color="auto" w:fill="CFF0FC"/>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0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r>
    </w:tbl>
    <w:p>
      <w:pPr>
        <w:spacing w:after="0" w:line="32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-51435</wp:posOffset>
            </wp:positionV>
            <wp:extent cx="6413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ind w:right="60" w:firstLine="518"/>
        <w:spacing w:after="0" w:line="228"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 Expense</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Company’s leases for both the 301 Binney Street facility and the 200 Sidney Street facility in Cambridge, Massachusetts provide for a rent-free period as well as fixed increases in minimum annual rental payments. The total amount of rental payments due over the lease term is being charged to rent expense on a straight-line basis over the term of the lease. Tenant improvement allowances and other incentives are recorded as deferred rent and amortized as a reduction of periodic rent expense, over the term of the lease. Deferred rent consists of the difference between cash payments and the recognition of rent expense on a straight-line basis for the Company’s facilities. The Company began to accelerate the recognition of deferred rent on its 200 Sidney Street facility when it agreed to terminate the lease in July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 candidates are expensed as incurred. The Company defers and capitalizes nonrefundable advance payments made by the Company for research and development activities until the related goods are received or the related services are performed.</w:t>
      </w:r>
    </w:p>
    <w:p>
      <w:pPr>
        <w:spacing w:after="0" w:line="17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and the expected duration of the third-party service contract, where applicable.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Company generates revenue through a collaboration and license arrangement with a strategic partner for the development and commercialization of product candidates.</w:t>
      </w:r>
    </w:p>
    <w:p>
      <w:pPr>
        <w:spacing w:after="0" w:line="16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transition method. Refer to the Recently Adopted Accounting Pronouncements section below for additional information on the new standard and the impact to our results of operations. Under this method, results for reporting periods beginning after January 1, 2018 are presented under ASC 606, while prior period amounts are not adjusted and continue to be reported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7"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The Company evaluates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18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80"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 time equivalent time as a measure of satisfaction of performance obligations.</w:t>
      </w:r>
    </w:p>
    <w:p>
      <w:pPr>
        <w:spacing w:after="0" w:line="17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the Company considers factors such as the research,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the Company to perform research and development services, the Company must determine whether these services are distinct from the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Equity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-51435</wp:posOffset>
            </wp:positionV>
            <wp:extent cx="6413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Company measures equity-based compensation to employees and directors based on the grant date fair value of the awards and recognizes the associated expense in the financial statements over the requisite service period of the award, which is generally the vesting period.</w:t>
      </w:r>
    </w:p>
    <w:p>
      <w:pPr>
        <w:spacing w:after="0" w:line="133" w:lineRule="exact"/>
        <w:rPr>
          <w:sz w:val="20"/>
          <w:szCs w:val="20"/>
          <w:color w:val="auto"/>
        </w:rPr>
      </w:pPr>
    </w:p>
    <w:p>
      <w:pPr>
        <w:ind w:right="40" w:firstLine="518"/>
        <w:spacing w:after="0" w:line="230" w:lineRule="exact"/>
        <w:rPr>
          <w:sz w:val="20"/>
          <w:szCs w:val="20"/>
          <w:color w:val="auto"/>
        </w:rPr>
      </w:pPr>
      <w:r>
        <w:rPr>
          <w:rFonts w:ascii="Times New Roman" w:cs="Times New Roman" w:eastAsia="Times New Roman" w:hAnsi="Times New Roman"/>
          <w:sz w:val="18"/>
          <w:szCs w:val="18"/>
          <w:color w:val="auto"/>
        </w:rPr>
        <w:t>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costs for nonemployee awards are recognized as services are provided, which is generally the vesting period,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The measurement date for nonemployee awards is generally the date the performance of services required from the nonemployee is complete. The Company believes that the fair value of the equity is more reliably measurable than the fair value of the services rendered. The fair value of the award granted to a nonemployee is remeasured at each reporting date until performance is completed with any increase or decrease in fair value recorded as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78" w:lineRule="exact"/>
        <w:rPr>
          <w:sz w:val="20"/>
          <w:szCs w:val="20"/>
          <w:color w:val="auto"/>
        </w:rPr>
      </w:pPr>
    </w:p>
    <w:p>
      <w:pPr>
        <w:ind w:right="80" w:firstLine="518"/>
        <w:spacing w:after="0" w:line="218" w:lineRule="exact"/>
        <w:rPr>
          <w:sz w:val="20"/>
          <w:szCs w:val="20"/>
          <w:color w:val="auto"/>
        </w:rPr>
      </w:pPr>
      <w:r>
        <w:rPr>
          <w:rFonts w:ascii="Times New Roman" w:cs="Times New Roman" w:eastAsia="Times New Roman" w:hAnsi="Times New Roman"/>
          <w:sz w:val="18"/>
          <w:szCs w:val="18"/>
          <w:color w:val="auto"/>
        </w:rPr>
        <w:t xml:space="preserve">Prior to the Merger in August 2017, the Company’s Board of Directors determined the estimated per share fair market value of the common stock and common units at various dates considering contemporaneous valuations performed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or the Practice Aid. The fair market value of the common stock and common units was determined by the Board of Directors at each award grant date based on assumptions, each of which are subjective and generally require judgement and estimation by management, including results obtained from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valuations, the Company’s financial position and historical financial performance, the status of technological developments within the Company’s product candidates, the composition and ability of the research and management team, an evaluation or benchmark of the Company’s competition, the business climate in the marketplace, the illiquid nature of the common stock and common units, arm’s length sales of the Company’s capital stock (including convertible preferred stock), the effect of the rights and preferences of the preferred stock, and the prospects of a liquidity event.</w:t>
      </w:r>
    </w:p>
    <w:p>
      <w:pPr>
        <w:spacing w:after="0" w:line="176" w:lineRule="exact"/>
        <w:rPr>
          <w:sz w:val="20"/>
          <w:szCs w:val="20"/>
          <w:color w:val="auto"/>
        </w:rPr>
      </w:pPr>
    </w:p>
    <w:p>
      <w:pPr>
        <w:ind w:right="20" w:firstLine="518"/>
        <w:spacing w:after="0" w:line="224" w:lineRule="exact"/>
        <w:rPr>
          <w:sz w:val="20"/>
          <w:szCs w:val="20"/>
          <w:color w:val="auto"/>
        </w:rPr>
      </w:pPr>
      <w:r>
        <w:rPr>
          <w:rFonts w:ascii="Times New Roman" w:cs="Times New Roman" w:eastAsia="Times New Roman" w:hAnsi="Times New Roman"/>
          <w:sz w:val="18"/>
          <w:szCs w:val="18"/>
          <w:color w:val="auto"/>
        </w:rPr>
        <w:t>The fair value of each option was estimated on the date of grant or remeasurement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Expected volatility for the Company’s common stock was determined based on an average of the historical volatility of a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of similar public companies. The expected term of options granted for employees was calculated using the simplified method, which represented the average of the contractual term of the option and the weighted-average vesting period of the option. The assumed dividend yield is based upon the Company’s expectation of not paying dividends in the foreseeable future.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upon the U.S. Treasury yield curve commensurate with the expected term at the time of grant or remeasurement. Forfeitures are recognized as they occur as allowed under ASU 2016-09.</w:t>
      </w:r>
    </w:p>
    <w:p>
      <w:pPr>
        <w:spacing w:after="0" w:line="20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estimated the threshold price for each incentive unit issued by Synlogic, LLC, which is the price at which an incentive unit would have had a liquidation value of zero, considering the fair value of the Company’s assets at the date of grant and performed an analysis to determine the per unit amount that a holder would have received upon a distribution event. In determining the fair value of its assets, the Company relied on independent third-party valuations, which take into account a variety of factors, including the Company’s financial position and historical financial performance, the status of technological developments within the Company’s products, the composition and ability of the research and management team, an evaluation or benchmark of the Company’s competition, the business climate in the marketplace, the illiquid nature of the common units and incentive units, arm’s-length sales of the Company’s equity, the effect of the rights and preferences of the preferred unit holders, and the prospects of a liquidity event, among others.</w:t>
      </w:r>
    </w:p>
    <w:p>
      <w:pPr>
        <w:spacing w:after="0" w:line="157" w:lineRule="exact"/>
        <w:rPr>
          <w:sz w:val="20"/>
          <w:szCs w:val="20"/>
          <w:color w:val="auto"/>
        </w:rPr>
      </w:pPr>
    </w:p>
    <w:p>
      <w:pPr>
        <w:ind w:firstLine="518"/>
        <w:spacing w:after="0" w:line="226" w:lineRule="exact"/>
        <w:rPr>
          <w:sz w:val="20"/>
          <w:szCs w:val="20"/>
          <w:color w:val="auto"/>
        </w:rPr>
      </w:pPr>
      <w:r>
        <w:rPr>
          <w:rFonts w:ascii="Times New Roman" w:cs="Times New Roman" w:eastAsia="Times New Roman" w:hAnsi="Times New Roman"/>
          <w:sz w:val="18"/>
          <w:szCs w:val="18"/>
          <w:color w:val="auto"/>
        </w:rPr>
        <w:t>The fair value of each incentive unit award was estimated on the date of grant or remeasurement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with barrier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Assumptions utilized in the model for valuing the incentive units including expected volatility, dividend yield and risk-free interest rate were arrived at in the same manner as those utilized for the stock option model described above. Forfeitures are treated in the manner described above. Incentive units did not have an expiration date, thus, the expected term of incentive units granted was determined based on the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estimated term to a liquidity event.</w:t>
      </w:r>
    </w:p>
    <w:p>
      <w:pPr>
        <w:spacing w:after="0" w:line="20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Company records the expense for equity grants subject to performance-based milestone vesting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Company computed basic and diluted net loss per shares using the two-class method, which gives effect to the impact of the outstanding participating securities. As the years ended December 31, 2018 and 2017 resulted in net losses attributable to common stockholders, there is no income allocation required under the two-class method or dilution attributed to weighted-average shares outstanding in the calculation of diluted net loss per share because the preferred stockholders do not participate in losses of the Company. Accordingly, for periods in which the Company reports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the 2017 Reorganization resulted in a one for one conversion of preferred units for preferred stock and common units for common stock, the conversion was not substantive for the purposes of this calculation and the weighted average was calculated as if outstanding equity was outstanding from the beginning of the period presented.</w:t>
      </w:r>
    </w:p>
    <w:p>
      <w:pPr>
        <w:spacing w:after="0" w:line="176"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Additionally, at the Effective Time of the Merger, the Company issued shares of its common stock to Private Synlogic stockholders, at the Exchange Ratio of 0.5532 shares of common stock, after taking into account the Reverse Stock Split, in exchange for each share of Private Synlogic preferred and common stock outstanding immediately prior to the Merger. The Exchange Ratio was calculated by a formula pursuant to the Merger Agreement. For the purposes of calculating net loss per share, the Exchange Ratio was applied retroactively to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w:t>
      </w:r>
    </w:p>
    <w:p>
      <w:pPr>
        <w:ind w:right="120"/>
        <w:spacing w:after="0" w:line="254" w:lineRule="auto"/>
        <w:rPr>
          <w:sz w:val="20"/>
          <w:szCs w:val="20"/>
          <w:color w:val="auto"/>
        </w:rPr>
      </w:pPr>
      <w:r>
        <w:rPr>
          <w:rFonts w:ascii="Times New Roman" w:cs="Times New Roman" w:eastAsia="Times New Roman" w:hAnsi="Times New Roman"/>
          <w:sz w:val="18"/>
          <w:szCs w:val="18"/>
          <w:color w:val="auto"/>
        </w:rPr>
        <w:t>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In May 2014, the FASB, issued Accounting Standards Update, (ASU), No. 2014-09, which amends the guidance for accounting for revenue from contracts with customers. This ASU supersedes the revenue recognition requirements in ASC 605 and creates ASC 606. In 2015 and 2017, the FASB issued additional ASUs related to ASC 606 that delayed the effective date of the guidance and clarified various aspects of the new revenue guidance, including principal versus agent considerations, identifying performance obligations, and licensing, and they include other improvements and practical expedients.</w:t>
      </w:r>
    </w:p>
    <w:p>
      <w:pPr>
        <w:spacing w:after="0" w:line="16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605. This standard applies to all contracts with customers, except for contracts that are within the scope of other standards, such as leases, insurance and financial instruments. As a result of adopting ASC 606 on January 1, 2018, the Company recorded a cumulative-effect decrease to opening accumulated deficit of $0.3 million as of January 1, 2018 and a corresponding decrease to deferred revenue. Total revenue recorded in the twelve months ended December 31, 2018 under ASC 606 was $2.5 million, as compared to $2.4 million that would have been recorded under ASC 605. Deferred revenue as of December 31, 2018 was $0.3 million under ASC 606, as compared to a balance of $0.7 million which would have resulted under ASC 605.</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most significant changes relate to the Company’s revenue recognition pattern for the AbbVie collaboration and the accounting for milestone payments. Under ASC 605, the Company was recognizing the revenue allocated to each unit of accounting on a straight line basis over the period the Company is expected to complete its obligations. Under ASC 606, the Company is recognizing the revenue allocated to each performance obligation measuring progress using an input method over the period the Company is expected to complete each performance obligation. Under ASC 605, the Company recognized revenue related to milestone payments as the milestone was achieved, using the milestone method. Under ASC 606, the Company determined that the milestones at the beginning of certain research and development phases represent a 90-day contract with daily customer renewal options for the Company’s continued research and development services. As a result, revenue from these milestones is recognized over a performance obligation consisting of the next phase of research and development 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March 2018, the FASB issued Accounting Standards Update No. 2018-05, Income Taxes (Topic 740): Amendments to SEC Paragraphs Pursuant to SEC Staff Accounting Bulletin No. 118 (“ASU 2018-05”). The standard amends ASC 740, Income Taxes (“ASC 740”), to provide guidance on accounting for the tax effects of the Tax Act pursuant to Staff Accounting Bulletin No. 118, effective immediately. The ASU permits companies to use provisional amounts for certain income tax effects of the Tax Act during a one-year measurement period. The provisional reporting period ended on December 22, 2018 and no further adjustment was required for the year ended December 31, 2018.</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11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May 2017, the FASB issued ASU 2017-09, Compensation – Stock Compensation (Topic 718): Scope of Modification Accounting. The new standard is intended to reduce the diversity in practice, cost and complexity when applying the guidance in Topic 718 to a change to the terms or conditions of a share-based payment award. The new standard will be effective for annual reporting periods and interim periods within those annual periods, beginning after December 15, 2018. The amendments in this update will be applied prospectively to an award modified on or after the adoption date. The Company adopted this standard as of January 1, 2018 and it did not have a material impact on the Company’s financial position or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In July 2018, the FASB issued ASU 2018-11 Leases – Targeted Improvements, intended to ease the implementation of the new lease standard for financial statement preparers by, among other things, allowing for an additional transition method. In lieu of presenting transition requirements to comparative periods, as previously required, an entity may now elect to show a cumulative effect adjustment on the date of adoption without the requirement to recast prior period financial statements or disclosures presented in accordance with ASU 2016-</w:t>
      </w:r>
    </w:p>
    <w:p>
      <w:pPr>
        <w:spacing w:after="0" w:line="4" w:lineRule="exact"/>
        <w:rPr>
          <w:sz w:val="20"/>
          <w:szCs w:val="20"/>
          <w:color w:val="auto"/>
        </w:rPr>
      </w:pPr>
    </w:p>
    <w:p>
      <w:pPr>
        <w:ind w:right="60" w:firstLine="8"/>
        <w:spacing w:after="0" w:line="261"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adopt the new standard and elect to use the cumulative effect adjustment transition option effective January 1, 2019, which will be the initial date of application per ASU 2018-11.</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expects to elect the available package of practical expedients which allows us to not reassess previous accounting conclusions around whether arrangements are or contain leases, the classification of our leases, and the treatment of initial direct costs. The Company also expects it will make an accounting policy election to keep leases with an initial term of 12 months or less off of the balance sheet. The Company is continuing to evaluate developments within the new lease guidance and is finalizing its evaluation of its existing population of contracts to ensure all contracts that meet the definition of a lease contract under the new standard are identified. The Company has assessed the impact that the adoption of this guidance will have on its financial statements and footnote disclosures. The standard will have a material impact on the consolidated balance sheet related to the recognition of right-of-use assets and lease liabilities for operating leases. The standard will not have a material impact on the consolidated statement of operations. The Company has designed and implemented changes to related processes, controls and disclosures.</w:t>
      </w:r>
    </w:p>
    <w:p>
      <w:pPr>
        <w:spacing w:after="0" w:line="18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February 2018, the FASB issued ASU 2018-02 – Income Statement – Reporting Comprehensive Income (Topic 220), which provides amended guidance on income tax accounting. The amended guidance permits the reclassification of the income tax effect on amounts recorded within other comprehensive income impacted by the Tax Cuts and Jobs Act into retained earnings. The amended guidance is effective for periods beginning after December 15, 2018 and applies only to those amounts remaining in Other Comprehensive Income at the date of enactment of the Act. The amended guidance may be adopted on either a retrospective basis or at the beginning of the period of adoption. The Company is assessing the potential impact of the amended standard but does not expect it to have a material impact on its consolidated financial statements.</w:t>
      </w:r>
    </w:p>
    <w:p>
      <w:pPr>
        <w:spacing w:after="0" w:line="18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2018-07 – Compensation –Stock Compensation (Topic 718): Improvements to Nonemployee Share-Based Payment Accounting. The standard is effective for fiscal years beginning after December 15, 2018, including interim periods within that fiscal year. Early adoption is permitted, but no earlier than an entity’s adoption date of ASC 606. The standard expands the scope of ASC 718 to include all share-based payment arrangements related to the acquisition of goods and services from both nonemployees and employees. Under the amended guidance, equity-classified share-based payment awards issued to nonemployees will be measured at grant date fair value. Upon transition, the entity is required to remeasure these nonemployee awards at fair value as of the adoption date. The Company is currently evaluating the new guidance but does not expect it to have a material impact on its consolidated financial statements.</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 Fair Value Measurement - Disclosure Framework (Topic 820). The standard modifies the disclosure requirements for fair value measurements. The standard is effective for public companies for annual and interim periods beginning after December 15, 2019. Early adoption is permitted for any removed or modified disclosures. Management is currently assessing the impact adoption will have on the Company, but it is not expected to have a material impact on the Company’s financial statement disclosures.</w:t>
      </w:r>
    </w:p>
    <w:p>
      <w:pPr>
        <w:spacing w:after="0" w:line="180" w:lineRule="exact"/>
        <w:rPr>
          <w:sz w:val="20"/>
          <w:szCs w:val="20"/>
          <w:color w:val="auto"/>
        </w:rPr>
      </w:pPr>
    </w:p>
    <w:p>
      <w:pPr>
        <w:ind w:right="100" w:firstLine="518"/>
        <w:spacing w:after="0" w:line="272" w:lineRule="auto"/>
        <w:rPr>
          <w:sz w:val="20"/>
          <w:szCs w:val="20"/>
          <w:color w:val="auto"/>
        </w:rPr>
      </w:pPr>
      <w:r>
        <w:rPr>
          <w:rFonts w:ascii="Times New Roman" w:cs="Times New Roman" w:eastAsia="Times New Roman" w:hAnsi="Times New Roman"/>
          <w:sz w:val="17"/>
          <w:szCs w:val="17"/>
          <w:color w:val="auto"/>
        </w:rPr>
        <w:t>In August 2018, the FASB issued ASU 2018-15 - Customer's Accounting for Implementation Costs Incurred in a Cloud Computing Arrangement that is a Service Contract. The standard requires implementation costs incurred by customers in cloud computing arrangements to be deferred over the noncancelable term of the cloud computing arrangements plus any optional renewal periods (1) that are reasonably certain to be exercised by the customer or</w:t>
      </w:r>
    </w:p>
    <w:p>
      <w:pPr>
        <w:spacing w:after="0" w:line="2" w:lineRule="exact"/>
        <w:rPr>
          <w:sz w:val="20"/>
          <w:szCs w:val="20"/>
          <w:color w:val="auto"/>
        </w:rPr>
      </w:pPr>
    </w:p>
    <w:p>
      <w:pPr>
        <w:ind w:right="80" w:firstLine="8"/>
        <w:spacing w:after="0" w:line="254"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exercise of the renewal option is controlled by the cloud service provider. The effective date of this pronouncement is for fiscal years beginning after December 15, 2019, and interim periods within those fiscal years, and early adoption is permitted. The standard can be adopted either using the prospective or retrospective transition approach. The Company is currently evaluating the impact of this pronouncement on the Company's consolidated financial statements and disclosures.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In November 2018, the FASB issued ASU 2018-18 - Collaborative Arrangements (Topic 808): Clarifying the Interaction Between Topic 808 and Topic 606,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is in the process of evaluating the impact the standard will have on its financial statements.</w:t>
      </w:r>
    </w:p>
    <w:p>
      <w:pPr>
        <w:spacing w:after="0" w:line="28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with Mirna Therapeutics</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On August 28, 2017, Private Synlogic completed the Merger with Mirna as discussed in Note 1. For accounting purposes, Private Synlogic is considered to have acquired Mirna in the Merger. Private Synlogic was determined to be the accounting acquirer based upon the terms of the Merger and other factors including: (i) Private Synlogic stockholders owned approximately 83% of the combined company immediately following the closing of the Merger, (ii) Private Synlogic directors held five of the seven board seats in the combined company, and (iii) Private Synlogic management held all key positions in the management of the combined company. The Merger was accounted for as an asset acquisition rather than a business combination because the assets acquired and liabilities assumed by the Company do not meet the definition of a business as defined by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net assets acquired in connection with this transaction were recorded at their estimated acquisition date fair values as of August 28, 2017, the date the Merger was completed (the “Merger Closing Date”).</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 Mirna assumed all of the stock options outstanding under the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 The consolidated financial statements give retroactive effect to the Exchange Ratio for all periods presented.</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On the Merger Closing Date, Mirna had approximately 20.9 million shares of common stock outstanding and a market capitalization of approximately $35.0 million. The estimated fair value of the net assets of Mirna on August 28, 2017 was approximately $42.6 million. The fair value of the Mirna common stock on the Merger Closing Date was below the fair value of Mirna’s net assets. As Mirna’s net assets were predominantly comprised of cash, cash equivalents and marketable securities, partially offset by current liabilities, the fair value of Mirna’s net assets as of the Merger Closing Date is considered to be the best indicator of the fair value and, therefore, the estimated preliminary purchase consideration.</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All of Mirna’s assets and liabilities were reflected at their fair value on the Merger Closing Date. No goodwill or intangible assets were recognized. Consistent with accounting for an asset acquisition, the Company capitalized the costs associated with the Merger. Transaction costs primarily included bank fees and professional fees associated with legal counsel, auditors and printers. The following table shows the net assets acquired in the Merger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August 28, 2017</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9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Transaction costs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assets acquired less transaction costs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58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color w:val="auto"/>
              </w:rPr>
              <w:t>F-18</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30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as of December 31, 2018 and 2017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Significant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2018 and 2017, the Company has classified assets measured at fair value on a recurring basis as follows (in thousands):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34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4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(included in short-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term investments)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treasuries (included in short-term investments)</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34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4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(included in cash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 (included in short-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investments)</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December 31, 2018 and December 31, 2017 are carried at amounts that approximate fair value due to their short-term maturities. Capital lease obligations at December 31, 2018 and December 31, 2017 approximate fair value as they bear interest at a rate approximating a market interest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December 31, 2018 and 2017 (in thousands):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107,571</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vMerge w:val="restart"/>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28,593</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9"/>
                <w:szCs w:val="19"/>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contractual maturity of all securities held at December 31, 2018 was one year or less. There were 37 investments in an unrealized loss position at December 31, 2018, none of which had been in an unrealized loss position for more than twelve months. The aggregate fair value of the securities in an unrealized loss position at December 31, 2018 and 2017 was $96.5 million and $19.3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December 31, 2018.</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2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consists of the following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316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w:t>
            </w:r>
          </w:p>
        </w:tc>
        <w:tc>
          <w:tcPr>
            <w:tcW w:w="2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42"/>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20" w:type="dxa"/>
            <w:vAlign w:val="bottom"/>
            <w:gridSpan w:val="2"/>
          </w:tcPr>
          <w:p>
            <w:pPr>
              <w:jc w:val="right"/>
              <w:ind w:right="1335"/>
              <w:spacing w:after="0"/>
              <w:rPr>
                <w:sz w:val="20"/>
                <w:szCs w:val="20"/>
                <w:color w:val="auto"/>
              </w:rPr>
            </w:pPr>
            <w:r>
              <w:rPr>
                <w:rFonts w:ascii="Times New Roman" w:cs="Times New Roman" w:eastAsia="Times New Roman" w:hAnsi="Times New Roman"/>
                <w:sz w:val="18"/>
                <w:szCs w:val="18"/>
                <w:color w:val="auto"/>
              </w:rPr>
              <w:t>F-20</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1" w:name="page102"/>
    <w:bookmarkEnd w:id="10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(3,115)</w:t>
            </w:r>
          </w:p>
        </w:tc>
      </w:tr>
      <w:tr>
        <w:trPr>
          <w:trHeight w:val="223"/>
        </w:trPr>
        <w:tc>
          <w:tcPr>
            <w:tcW w:w="5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518"/>
        <w:spacing w:after="0" w:line="271" w:lineRule="auto"/>
        <w:rPr>
          <w:sz w:val="20"/>
          <w:szCs w:val="20"/>
          <w:color w:val="auto"/>
        </w:rPr>
      </w:pPr>
      <w:r>
        <w:rPr>
          <w:rFonts w:ascii="Times New Roman" w:cs="Times New Roman" w:eastAsia="Times New Roman" w:hAnsi="Times New Roman"/>
          <w:sz w:val="18"/>
          <w:szCs w:val="18"/>
          <w:color w:val="auto"/>
        </w:rPr>
        <w:t>At December 31, 2018 and 2017, leasehold improvements include approximately $6.6 million and $1.3 million, respectively, of lessor-paid tenant improvements for which the Company was deemed to be the accounting owner of the tenant improvements primarily because it was responsible for project cost overruns. Also, at December 31, 2017, construction in progress contained approximately $5.0 million of lessor-paid tenant improvements placed in service in 2018, for which the Company was deemed to be the accounting owner primarily because it was responsible for project cost overruns.</w:t>
      </w:r>
    </w:p>
    <w:p>
      <w:pPr>
        <w:spacing w:after="0" w:line="20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both 2018 and 2017, the Company entered into leases for certain laboratory equipment which were capital leases. The leases had either a present value of expected payments in excess of 90% of the fair value of the equipment or a bargain purchase option at the end of the lease. As such, as of December 31, 2018 and 2017, the Company had approximately $1.3 million and $1.4 million, respectively, of assets under a capital lease having accumulated depreciation of approximately $0.9 million and $0.2 million, respectively.</w:t>
      </w:r>
    </w:p>
    <w:p>
      <w:pPr>
        <w:spacing w:after="0" w:line="284"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consists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has the following characteristics:</w:t>
      </w:r>
    </w:p>
    <w:p>
      <w:pPr>
        <w:spacing w:after="0" w:line="117" w:lineRule="exact"/>
        <w:rPr>
          <w:rFonts w:ascii="Times New Roman" w:cs="Times New Roman" w:eastAsia="Times New Roman" w:hAnsi="Times New Roman"/>
          <w:sz w:val="18"/>
          <w:szCs w:val="18"/>
          <w:b w:val="1"/>
          <w:bCs w:val="1"/>
          <w:color w:val="auto"/>
        </w:rPr>
      </w:pPr>
    </w:p>
    <w:p>
      <w:pPr>
        <w:ind w:left="1040" w:hanging="519"/>
        <w:spacing w:after="0"/>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receive dividends, if and when, declared by the Company’s board of directors. Since inception, no cash dividends have been declared.</w:t>
      </w:r>
    </w:p>
    <w:p>
      <w:pPr>
        <w:spacing w:after="0" w:line="16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Company holds forfeiture rights relating to 118,679 shares of common stock. The forfeiture right lapses over time and is triggered when a holder ceases providing services to the Company. As of December 31, 2018, 86,581 shares of common stock have been forfeited back to the Company.</w:t>
      </w:r>
    </w:p>
    <w:p>
      <w:pPr>
        <w:spacing w:after="0" w:line="16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Company holds repurchase rights which are at a price equal to the initial purchase price by the founders of Private Synlogic, adjusted by the Merger Exchange Ratio. The repurchase right lapses over time and is exercisable should the founders cease providing services to the Company prior to the end of a four-year period which began in April or May 2014, as the case may be. All repurchase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terminated during 2018. As of December 31, 2018, the Company has exercised its repurchase right on 41,819 shares of common stock.</w:t>
      </w:r>
    </w:p>
    <w:p>
      <w:pPr>
        <w:spacing w:after="0" w:line="225"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In January 2018, the Company sold 5,899,500 shares of its common stock through a firm commitment, underwritten public offering at a price to the public of $9.75 per share. As a result of the offering, including the exercise of the overallotment option, the Company received aggregate net proceeds, after underwriting discounts and commissions and other estimated offering expenses, of approximately $53.8 million.</w:t>
      </w:r>
    </w:p>
    <w:p>
      <w:pPr>
        <w:spacing w:after="0" w:line="1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April 2018, the Company sold 3,280,000 shares of its common stock at a price of $9.15 per share in a registered direct offering. After fees and other offering expenses, the Company received approximately $28.9 million in net proceeds from the offering.</w:t>
      </w:r>
    </w:p>
    <w:p>
      <w:pPr>
        <w:spacing w:after="0" w:line="266"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of Synlogic, Inc.</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Company’s preferred stock may be issued from time to time in one or more series, with each such series to consist of such number of shares and to have such terms as adopted by the board of directors. Authority is given to the board of directors to determine and fix such voting powers, full or limited, or no voting powers, and such designations, preferences and relative participating, optional or other special rights, and qualifications, limitation or restrictions thereof, including without limitation, dividend rights, conversion rights, redemption privileges and liquidation preferences.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of Private Synlogic</w:t>
      </w:r>
    </w:p>
    <w:p>
      <w:pPr>
        <w:spacing w:after="0" w:line="12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Prior to the Merger, Private Synlogic had contingently redeemable preferred stock and three series of convertible preferred stock. On the Merger Closing Date, Mirna issued shares of its common stock to holders of these shares, at an exchange rate of 0.5532 shares of common stock, after taking into account the Reverse Stock Split, in exchange for each share of preferred stock outstanding immediately prior to the Merger.</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Pursuant to, and at the time of, the 2017 Reorganization, preferred stock was granted to all holders of preferred units. The Synlogic preferred stock had substantially similar rights and preferences as the preferred units, except that the preferred stock was convertible into common stock at the option of the holder, on a one-for-one basis, subject to an antidilution adjustment. Conversion of the preferred stock would have been automatically triggered upon a firm-commitment underwritten public offering or upon a supermajority preferred interest vote (see (a)(v) below).</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After the 2017 Reorganization, in May 2017, the Company sold and issued 2,882,679 shares of Series C preferred stock at $8.06 per share to investors for total consideration of approximately $40.4 million, net of offering costs of approximately $1.6 million. The Series C preferred stock was issued with the same terms as the then-existing preferred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Preferred stock had the following rights and preferences:</w:t>
      </w:r>
    </w:p>
    <w:p>
      <w:pPr>
        <w:spacing w:after="0" w:line="331"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w:t>
      </w:r>
    </w:p>
    <w:p>
      <w:pPr>
        <w:spacing w:after="0" w:line="119" w:lineRule="exact"/>
        <w:rPr>
          <w:rFonts w:ascii="Times New Roman" w:cs="Times New Roman" w:eastAsia="Times New Roman" w:hAnsi="Times New Roman"/>
          <w:sz w:val="18"/>
          <w:szCs w:val="18"/>
          <w:i w:val="1"/>
          <w:iCs w:val="1"/>
          <w:color w:val="auto"/>
        </w:rPr>
      </w:pPr>
    </w:p>
    <w:p>
      <w:pPr>
        <w:ind w:left="1040" w:right="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holders of the preferred stock were entitled to vote, together with the holders of common stock, on all matters submitted to stockholders for a vote, except with respect to matters on which Delaware General Corporation Law required that a vote would be by a separate class, in which case the holders of the preferred stock would have voted separately as a class. Each holder of preferred stock was entitled to the number of votes equal to the number of shares of common stock into which each share of preferred stock was convertible at the time of such vote.</w:t>
      </w:r>
    </w:p>
    <w:p>
      <w:pPr>
        <w:spacing w:after="0" w:line="286" w:lineRule="exact"/>
        <w:rPr>
          <w:rFonts w:ascii="Times New Roman" w:cs="Times New Roman" w:eastAsia="Times New Roman" w:hAnsi="Times New Roman"/>
          <w:sz w:val="18"/>
          <w:szCs w:val="18"/>
          <w:i w:val="1"/>
          <w:iCs w:val="1"/>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w:t>
      </w:r>
    </w:p>
    <w:p>
      <w:pPr>
        <w:spacing w:after="0" w:line="119" w:lineRule="exact"/>
        <w:rPr>
          <w:rFonts w:ascii="Times New Roman" w:cs="Times New Roman" w:eastAsia="Times New Roman" w:hAnsi="Times New Roman"/>
          <w:sz w:val="18"/>
          <w:szCs w:val="18"/>
          <w:i w:val="1"/>
          <w:iCs w:val="1"/>
          <w:color w:val="auto"/>
        </w:rPr>
      </w:pPr>
    </w:p>
    <w:p>
      <w:pPr>
        <w:ind w:left="1040" w:right="280"/>
        <w:spacing w:after="0" w:line="31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In the event that a dividend was declared for the holders of common stock, the holders of the preferred stock would have been entitled to the amount of dividends on an as-converted basis. Through December 31, 2018 and December 31, 2017, no dividends were declared or paid.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3" w:name="page104"/>
    <w:bookmarkEnd w:id="103"/>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ind w:left="520" w:hanging="519"/>
        <w:spacing w:after="0"/>
        <w:tabs>
          <w:tab w:leader="none" w:pos="5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rFonts w:ascii="Times New Roman" w:cs="Times New Roman" w:eastAsia="Times New Roman" w:hAnsi="Times New Roman"/>
          <w:sz w:val="18"/>
          <w:szCs w:val="18"/>
          <w:i w:val="1"/>
          <w:iCs w:val="1"/>
          <w:color w:val="auto"/>
        </w:rPr>
      </w:pPr>
    </w:p>
    <w:p>
      <w:pPr>
        <w:ind w:left="520" w:right="2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any voluntary or involuntary liquidation, dissolution or winding up of the Company, the holders of shares of preferred stock then outstanding would have been entitled to be paid, on a pari passu basis, out of the assets of the Company available for distribution to its stockholders before any payment was made to the holders of common stock by reason of their ownership thereof, with respect to each series of preferred stock, an amount per share equal to the greater of (i) the applicable original issue price, plus any dividends declared but unpaid thereon, or (ii) such amount per share as would have been payable had all shares been converted into common stock immediately prior to such liquidation, dissolution or winding up of the Company.</w:t>
      </w:r>
    </w:p>
    <w:p>
      <w:pPr>
        <w:spacing w:after="0" w:line="187" w:lineRule="exact"/>
        <w:rPr>
          <w:rFonts w:ascii="Times New Roman" w:cs="Times New Roman" w:eastAsia="Times New Roman" w:hAnsi="Times New Roman"/>
          <w:sz w:val="18"/>
          <w:szCs w:val="18"/>
          <w:i w:val="1"/>
          <w:iCs w:val="1"/>
          <w:color w:val="auto"/>
        </w:rPr>
      </w:pPr>
    </w:p>
    <w:p>
      <w:pPr>
        <w:jc w:val="both"/>
        <w:ind w:left="5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upon any such liquidation, dissolution or winding up of the Company, the assets of the Company available for distribution to its stockholders were insufficient to pay the holders of shares of preferred stock the full amount to which they should have been entitled, the holders of shares of preferred stock would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290" w:lineRule="exact"/>
        <w:rPr>
          <w:rFonts w:ascii="Times New Roman" w:cs="Times New Roman" w:eastAsia="Times New Roman" w:hAnsi="Times New Roman"/>
          <w:sz w:val="18"/>
          <w:szCs w:val="18"/>
          <w:i w:val="1"/>
          <w:iCs w:val="1"/>
          <w:color w:val="auto"/>
        </w:rPr>
      </w:pPr>
    </w:p>
    <w:p>
      <w:pPr>
        <w:ind w:left="520" w:hanging="519"/>
        <w:spacing w:after="0"/>
        <w:tabs>
          <w:tab w:leader="none" w:pos="5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Par Value</w:t>
      </w:r>
    </w:p>
    <w:p>
      <w:pPr>
        <w:spacing w:after="0" w:line="119" w:lineRule="exact"/>
        <w:rPr>
          <w:rFonts w:ascii="Times New Roman" w:cs="Times New Roman" w:eastAsia="Times New Roman" w:hAnsi="Times New Roman"/>
          <w:sz w:val="18"/>
          <w:szCs w:val="18"/>
          <w:i w:val="1"/>
          <w:iCs w:val="1"/>
          <w:color w:val="auto"/>
        </w:rPr>
      </w:pPr>
    </w:p>
    <w:p>
      <w:pPr>
        <w:ind w:left="5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Par value was assigned as $0.0001.</w:t>
      </w:r>
    </w:p>
    <w:p>
      <w:pPr>
        <w:spacing w:after="0" w:line="331" w:lineRule="exact"/>
        <w:rPr>
          <w:rFonts w:ascii="Times New Roman" w:cs="Times New Roman" w:eastAsia="Times New Roman" w:hAnsi="Times New Roman"/>
          <w:sz w:val="18"/>
          <w:szCs w:val="18"/>
          <w:i w:val="1"/>
          <w:iCs w:val="1"/>
          <w:color w:val="auto"/>
        </w:rPr>
      </w:pPr>
    </w:p>
    <w:p>
      <w:pPr>
        <w:ind w:left="520" w:hanging="519"/>
        <w:spacing w:after="0"/>
        <w:tabs>
          <w:tab w:leader="none" w:pos="5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w:t>
      </w:r>
    </w:p>
    <w:p>
      <w:pPr>
        <w:spacing w:after="0" w:line="119" w:lineRule="exact"/>
        <w:rPr>
          <w:rFonts w:ascii="Times New Roman" w:cs="Times New Roman" w:eastAsia="Times New Roman" w:hAnsi="Times New Roman"/>
          <w:sz w:val="18"/>
          <w:szCs w:val="18"/>
          <w:i w:val="1"/>
          <w:iCs w:val="1"/>
          <w:color w:val="auto"/>
        </w:rPr>
      </w:pPr>
    </w:p>
    <w:p>
      <w:pPr>
        <w:ind w:left="520" w:right="8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Each share of preferred stock, at the option of the holder, was convertible into that number of fully paid shares of common stock as determined by dividing the sum of the original issue price, plus any declared but unpaid dividends, by the conversion price in effect at the time of conversion. The initial conversion price for each share of preferred stock would have been the original issue price, subject to adjustment in accordance with antidilution provisions. Each share of preferred stock would have been automatically converted upon (i) the closing of a firm commitment underwritten public offering in which the public offering price exceeded $12.09 (adjusted to reflect subsequent stock dividends, stock splits or recapitalization) and the aggregate proceeds raised were not less than $50,000,000, or (ii) upon the vote or written consent of a supermajority preferred interest (or a majority preferred interest in the event of a public offering that did not result in the offering price or aggregate proceeds amount set forth in clause (i) above).</w:t>
      </w:r>
    </w:p>
    <w:p>
      <w:pPr>
        <w:spacing w:after="0" w:line="291" w:lineRule="exact"/>
        <w:rPr>
          <w:rFonts w:ascii="Times New Roman" w:cs="Times New Roman" w:eastAsia="Times New Roman" w:hAnsi="Times New Roman"/>
          <w:sz w:val="18"/>
          <w:szCs w:val="18"/>
          <w:i w:val="1"/>
          <w:iCs w:val="1"/>
          <w:color w:val="auto"/>
        </w:rPr>
      </w:pPr>
    </w:p>
    <w:p>
      <w:pPr>
        <w:ind w:left="520" w:hanging="519"/>
        <w:spacing w:after="0"/>
        <w:tabs>
          <w:tab w:leader="none" w:pos="5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Redemption</w:t>
      </w:r>
    </w:p>
    <w:p>
      <w:pPr>
        <w:spacing w:after="0" w:line="119" w:lineRule="exact"/>
        <w:rPr>
          <w:rFonts w:ascii="Times New Roman" w:cs="Times New Roman" w:eastAsia="Times New Roman" w:hAnsi="Times New Roman"/>
          <w:sz w:val="18"/>
          <w:szCs w:val="18"/>
          <w:i w:val="1"/>
          <w:iCs w:val="1"/>
          <w:color w:val="auto"/>
        </w:rPr>
      </w:pPr>
    </w:p>
    <w:p>
      <w:pPr>
        <w:ind w:left="5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preferred stock was not redeemable except upon a deemed liquidation event. Deemed liquidation events included a merger or acquisition in which the majority of the stock of the pre-merger corporation was not owned by the majority of the stockholders of the post-merger entity or the sale of all or substantially all of the Company’s assets. All holders of equally and more subordinated equity instruments of the Company would have been entitled to receive the same form of consideration upon the occurrence of a deemed liquidation event, consequently, the preferred stock was classified as permanent equity.</w:t>
      </w:r>
    </w:p>
    <w:p>
      <w:pPr>
        <w:spacing w:after="0" w:line="183" w:lineRule="exact"/>
        <w:rPr>
          <w:rFonts w:ascii="Times New Roman" w:cs="Times New Roman" w:eastAsia="Times New Roman" w:hAnsi="Times New Roman"/>
          <w:sz w:val="18"/>
          <w:szCs w:val="18"/>
          <w:i w:val="1"/>
          <w:iCs w:val="1"/>
          <w:color w:val="auto"/>
        </w:rPr>
      </w:pPr>
    </w:p>
    <w:p>
      <w:pPr>
        <w:ind w:left="520" w:right="2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September 2014, the Company entered into a letter agreement with the Bill &amp; Melinda Gates Foundation (“the Gates Foundation”) with respect to the Gates Foundation purchase of 781,693 shares of the Company’s Series A Preferred Stock. The Gates Foundation investment was made in three tranches of 201,163 shares in September 2014, 218,646 shares in May 2015 and 361,884 shares in February 2016. Under the letter agreement, the Company was required to spend the approximately $5.0 million invested by the Gates Foundation for research on a particular disease, further develop the Company’s proprietary technology platform and provide assistance with access to use of such technology in developing countries. If the Company failed to spend the amount appropriately, or defaulted under certain other commitments in the agreement and the Company did not cure such default within 90 days of notice, if requested by the Gates Foundation, the Company would have been obligated to redeem the shares of Series A Preferred Stock or shares of common stock into which they had converted then held by the Gates Foundation or find a third-party to purchase such shares at a price equal to the greater of the initial purchase price and the then current fair value of such shares. In either case, if the Company, over the 6 months following such redemption, had sold substantially all of its equity or assets or completed an initial public offering at a value greater than 200% of the price paid upon redemption, then the Company would have had to reimburse the Gates Foundation for the difference. As of December 31, 2017, all obligations with respect to the Gates Foundation investment have been satisfied.</w:t>
      </w:r>
    </w:p>
    <w:p>
      <w:pPr>
        <w:spacing w:after="0" w:line="18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17"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Rights in Future Equity Issuances</w:t>
      </w:r>
    </w:p>
    <w:p>
      <w:pPr>
        <w:spacing w:after="0" w:line="119" w:lineRule="exact"/>
        <w:rPr>
          <w:sz w:val="20"/>
          <w:szCs w:val="20"/>
          <w:color w:val="auto"/>
        </w:rPr>
      </w:pPr>
    </w:p>
    <w:p>
      <w:pPr>
        <w:ind w:left="1040" w:right="120"/>
        <w:spacing w:after="0" w:line="258" w:lineRule="auto"/>
        <w:rPr>
          <w:sz w:val="20"/>
          <w:szCs w:val="20"/>
          <w:color w:val="auto"/>
        </w:rPr>
      </w:pPr>
      <w:r>
        <w:rPr>
          <w:rFonts w:ascii="Times New Roman" w:cs="Times New Roman" w:eastAsia="Times New Roman" w:hAnsi="Times New Roman"/>
          <w:sz w:val="18"/>
          <w:szCs w:val="18"/>
          <w:color w:val="auto"/>
        </w:rPr>
        <w:t>For series of preferred stock that were issued in multiple tranches, all holders of preferred stock had a pro rata right and obligation, based on their percentage equity ownership within the series, to participate in subsequent issuances within the same series of equity securities of the Company approved by 70% vote of holders of preferred stock. Should any such holder have chosen not to purchase its full pro rata share, they would have been deemed a defaulting purchaser and all preferred stock held by a defaulting purchaser would have been automatically converted into common stock of the Company.</w:t>
      </w:r>
    </w:p>
    <w:p>
      <w:pPr>
        <w:spacing w:after="0" w:line="288"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Units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Prior to the 2017 Reorganization, the Company had one class of contingently redeemable preferred units and two classes of convertible preferred units. Pursuant to the 2015 Reorganization, each share of the Company’s Series A Preferred Stock and Series A Contingently Redeemable Preferred Stock was exchanged for a like type and number of the Company’s Class A Preferred Units and Contingently Redeemable Class A Preferred Units, respectively.</w:t>
      </w:r>
    </w:p>
    <w:p>
      <w:pPr>
        <w:spacing w:after="0" w:line="17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In February 2016, Synlogic issued and sold 2,005,348 units of Class A-3 Preferred Units and 361,884 units of Contingently Redeemable Class A-3 Preferred Stock at $7.23 per unit to investors for net proceeds of approximately $17.1 million. There were no issuance costs related to these transactions.</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February 2016, Synlogic also issued and sold 1,029,850 units of Class B Preferred Units at $13.53 per unit to investors for net proceeds of approximately $13.6 million. Issuance costs related to this transaction of approximately $0.3 million were recorded as a reduction of proceeds within Class B Preferred Units (together with the Class A Preferred Units, Contingently Redeemable Class A Preferred Units, Class A-2 Preferred Units, Class A-2 Contingently Redeemable Preferred Units, Class A-3 Preferred Units and Contingently Redeemable Class A-3 Preferred Units, the “Preferred Units”).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Preferred Units had substantially similar rights and preferences as were conferred upon the preferred stock as follows:</w:t>
      </w:r>
    </w:p>
    <w:p>
      <w:pPr>
        <w:spacing w:after="0" w:line="331" w:lineRule="exact"/>
        <w:rPr>
          <w:sz w:val="20"/>
          <w:szCs w:val="20"/>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holders of the Preferred Units were entitled to vote, together with the holders of the Company’s common units as a single class, on all matters submitted to unit holders for a vote. In addition, holders of at least a majority of the outstanding Preferred Units and common units voting as a single class were entitled to take any action required or permitted to be taken at any meeting of the members, unless a different vote is required by the Delaware Limited Liability Company Act or the Company’s operating agreement.</w:t>
      </w:r>
    </w:p>
    <w:p>
      <w:pPr>
        <w:spacing w:after="0" w:line="286" w:lineRule="exact"/>
        <w:rPr>
          <w:sz w:val="20"/>
          <w:szCs w:val="20"/>
          <w:color w:val="auto"/>
        </w:rPr>
      </w:pPr>
    </w:p>
    <w:p>
      <w:pPr>
        <w:ind w:left="1040" w:hanging="519"/>
        <w:spacing w:after="0"/>
        <w:tabs>
          <w:tab w:leader="none" w:pos="10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Distributions were governed by the Company’s operating agreement (Note 13). No distributions were made in either of the years ended December 31, 2018 or December 31,2017.</w:t>
      </w:r>
    </w:p>
    <w:p>
      <w:pPr>
        <w:spacing w:after="0" w:line="268" w:lineRule="exact"/>
        <w:rPr>
          <w:sz w:val="20"/>
          <w:szCs w:val="20"/>
          <w:color w:val="auto"/>
        </w:rPr>
      </w:pPr>
    </w:p>
    <w:p>
      <w:pPr>
        <w:ind w:left="1040" w:hanging="519"/>
        <w:spacing w:after="0"/>
        <w:tabs>
          <w:tab w:leader="none" w:pos="104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the assets of the Company would have been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distributed, after the payout or provision for payment of all creditors of the Company, in accordance with the same order of priority as distributions (Note 13).</w:t>
      </w:r>
    </w:p>
    <w:p>
      <w:pPr>
        <w:spacing w:after="0" w:line="324" w:lineRule="exact"/>
        <w:rPr>
          <w:sz w:val="20"/>
          <w:szCs w:val="20"/>
          <w:color w:val="auto"/>
        </w:rPr>
      </w:pPr>
    </w:p>
    <w:p>
      <w:pPr>
        <w:ind w:left="1040" w:hanging="519"/>
        <w:spacing w:after="0"/>
        <w:tabs>
          <w:tab w:leader="none" w:pos="10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Par Value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Preferred Units did not have a par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The Preferred Units were not redeemable except upon a deemed liquidation event. Deemed liquidation events included the merger, acquisition or sale of all or substantially all of the Company’s assets. All holders of equally and more subordinated equity instruments of the Company would have been entitled to receive the same form of consideration upon the occurrence of a deemed liquidation event, consequently, the Preferred Units were classified as permanent equity.</w:t>
      </w:r>
    </w:p>
    <w:p>
      <w:pPr>
        <w:spacing w:after="0" w:line="180"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In September 2014, the Company entered into a letter agreement with the Bill &amp; Melinda Gates Foundation (“the Gates Foundation”) (Note 10) with respect to the Gates Foundation purchase of 781,693 shares of the Company’s Series A Preferred Stock. The Gates Foundation investment was made in three tranches of 201,163 shares in September 2014, 218,646 shares in May 2015 and 361,884 units in February 2016. The first two tranches, totaling 419,809 shares were exchanged for Class A Preferred Units pursuant to the 2015 Reorganization in July 2015. As a result, 781,693 units of Class A Preferred Units with a cost of approximately $5.0 million were classified as Contingently Redeemable Preferred Units in mezzanine equity, as of December 31, 2016.</w:t>
      </w:r>
    </w:p>
    <w:p>
      <w:pPr>
        <w:spacing w:after="0" w:line="274" w:lineRule="exact"/>
        <w:rPr>
          <w:sz w:val="20"/>
          <w:szCs w:val="20"/>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Participation Rights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Holders of Class A Preferred Units had the right and obligation to participate in additional closings of Class A Preferred Units upon the achievement of certain milestones by the Company. If any holder of Class A Preferred Units did not purchase the number of Class A Preferred Units required to be purchased by it at any such additional closing, then each Class A Preferred Unit held by such member would have automatically been converted into common units at the applicable adjustment ratio in effect with respect to such units immediately prior to such closing. All holders of Class A Preferred Units participated in additional closings at the required levels. Holders of Class B Preferred Units had the right and obligation to participate in additional closings of Class B Preferred Units upon the achievement of certain milestones by the Company. If any holder of Class B Preferred Units did not purchase the number of Class B Preferred Units required to be purchased by it at any such additional closing, then each Class B Preferred Unit held by such member would have automatically been converted into common units at the applicable adjustment ratio in effect with respect to such units immediately prior to such closing.</w:t>
      </w:r>
    </w:p>
    <w:p>
      <w:pPr>
        <w:spacing w:after="0" w:line="291" w:lineRule="exact"/>
        <w:rPr>
          <w:sz w:val="20"/>
          <w:szCs w:val="20"/>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Initial Public Offering</w:t>
      </w:r>
    </w:p>
    <w:p>
      <w:pPr>
        <w:spacing w:after="0" w:line="119"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preparation for an initial public offering, upon request of holder of at least 70% of the Preferred Units, all unit holders would have been required to have taken appropriate steps to implement a reorganization of the Company that may have included, for example, contribution of their units to a newly formed corporation.</w:t>
      </w:r>
    </w:p>
    <w:p>
      <w:pPr>
        <w:spacing w:after="0" w:line="255" w:lineRule="exact"/>
        <w:rPr>
          <w:sz w:val="20"/>
          <w:szCs w:val="20"/>
          <w:color w:val="auto"/>
        </w:rPr>
      </w:pPr>
    </w:p>
    <w:p>
      <w:pPr>
        <w:ind w:left="520" w:hanging="512"/>
        <w:spacing w:after="0" w:line="207" w:lineRule="exact"/>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and Equity Incentive Plans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a number of equity plans, two of which are currently active.</w:t>
      </w:r>
    </w:p>
    <w:p>
      <w:pPr>
        <w:spacing w:after="0" w:line="225" w:lineRule="exact"/>
        <w:rPr>
          <w:sz w:val="20"/>
          <w:szCs w:val="20"/>
          <w:color w:val="auto"/>
        </w:rPr>
      </w:pPr>
    </w:p>
    <w:p>
      <w:pPr>
        <w:ind w:firstLine="518"/>
        <w:spacing w:after="0" w:line="221" w:lineRule="exact"/>
        <w:rPr>
          <w:sz w:val="20"/>
          <w:szCs w:val="20"/>
          <w:color w:val="auto"/>
        </w:rPr>
      </w:pPr>
      <w:r>
        <w:rPr>
          <w:rFonts w:ascii="Times New Roman" w:cs="Times New Roman" w:eastAsia="Times New Roman" w:hAnsi="Times New Roman"/>
          <w:sz w:val="18"/>
          <w:szCs w:val="18"/>
          <w:color w:val="auto"/>
        </w:rPr>
        <w:t>The 2015 Equity Incentive Award Plan (“2015 Plan”) was adopted by Mirna in 2015 and remains active after the Merger, now functioning as the primary equity plan for the Company. Following the Merger, there were 647,893 shares authorized under the 2015 Plan.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The 2015 Plan provides for the granting of a variety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18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2017 Stock Incentive Plan was adopted by Private Synlogic in 2017 at the time of the 2017 Reorganization and provides for the grant of incentive stock options, non-qualified stock options, restricted and unrestricted stock awards and other stock-based awards. Under the 2017 Plan, 1,753,061 shares were initially authorized and reserved for issuance. Pursuant to the 2017 Reorganization, Private Synlogic issued restricted common stock awards under the 2017 Plan to replace the canceled incentive units pursuant to the termination of the 2015 LLC Plan (“2015 LLC Plan”). In addition, Private Synlogic also issued stock options to certain employees prior to the Merger. Pursuant to the Merger Agreement, each restricted common stock award of Private Synlogic under the 2017 Plan that was outstanding immediately prior to the Merger and each option to purchase common stock of Private Synlogic under the 2017 Plan that was outstanding and unexercised immediately prior to the Merger was converted into and became restricted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common stock and options to purchase shares of the Company’s common stock, respectively, based on the Exchange Ratio of 0.5532 and the Company assumed the 2017 Plan.</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2015 Employee Stock Purchase Plan (“ESPP”) was adopted by Mirna in 2015 and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w:t>
      </w:r>
    </w:p>
    <w:p>
      <w:pPr>
        <w:spacing w:after="0" w:line="184" w:lineRule="exact"/>
        <w:rPr>
          <w:sz w:val="20"/>
          <w:szCs w:val="20"/>
          <w:color w:val="auto"/>
        </w:rPr>
      </w:pPr>
    </w:p>
    <w:p>
      <w:pPr>
        <w:jc w:val="both"/>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2008 Long Term Incentive Plan (“2008 Plan”) was adopted by Mirna in 2008 and allowed for the grant of incentive stock options to employees and nonqualified stock options and other equity awards to employees and nonemployees. The 2015 Plan is the successor to the 2008 Plan and at the time of the Merger, the remaining awards outstanding thereunder were cancelled and the number of shares with respect to those awards were transferred to the 2015 Plan. As of the Merger, the 2008 Plan was retired.</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2015 LLC Plan was adopted by Private Synlogic at the time of the 2015 Reorganization, which provided for the grant of equity incentive units to employees, officers, directors or consultants. The 2015 LLC Plan was cancelled pursuant to the 2017 Reorganization as described above.</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2018, there were 477,414 shares available for future grant under the Company’s two active equity incentive plans, the 2017 Plan and the 2015 Plan.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displaying all equity in its post-Merger amounts, as impacted by the Exchange Ratio.</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option-pricing model for stock options issued to employees under its two active equity plans, the 2015 Plan and the 2017 Plan, during the years ended December 31, 2018 and 2017 and to nonemployees during the year ended December 31, 2017 were:</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9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000" w:type="dxa"/>
            <w:vAlign w:val="bottom"/>
            <w:gridSpan w:val="2"/>
            <w:vMerge w:val="continue"/>
          </w:tcPr>
          <w:p>
            <w:pPr>
              <w:spacing w:after="0"/>
              <w:rPr>
                <w:sz w:val="13"/>
                <w:szCs w:val="13"/>
                <w:color w:val="auto"/>
              </w:rPr>
            </w:pPr>
          </w:p>
        </w:tc>
        <w:tc>
          <w:tcPr>
            <w:tcW w:w="1220" w:type="dxa"/>
            <w:vAlign w:val="bottom"/>
            <w:tcBorders>
              <w:top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adjusted for the Exchange Ratio under the 2015 and 2017 Plans.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8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1,267,221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919,496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(394,136)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8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1,739,884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1,739,884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489,236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F-26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ind w:left="200" w:right="400" w:hanging="192"/>
        <w:spacing w:after="0" w:line="222" w:lineRule="auto"/>
        <w:tabs>
          <w:tab w:leader="none" w:pos="20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aggregate intrinsic value is calculated as the difference between the exercise price of the options and the fair market value of the underlying common stock for the options that were in the money at December 31, 2018 . No options were in the money at December 31, 2018 .</w:t>
      </w:r>
    </w:p>
    <w:p>
      <w:pPr>
        <w:spacing w:after="0" w:line="272" w:lineRule="exact"/>
        <w:rPr>
          <w:sz w:val="20"/>
          <w:szCs w:val="20"/>
          <w:color w:val="auto"/>
        </w:rPr>
      </w:pPr>
    </w:p>
    <w:p>
      <w:pPr>
        <w:ind w:right="70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2017, 919,496 and 1,281,647 stock options were granted to employees and nonemployees, respectively. Approximately $3.2 million and $2.0 million in equity compensation was recognized related to stock options granted to employees and nonemployees for the years ended December 31, 2018 and 2017, respectively.</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per share of options granted to employees during the year ended December 31, 2018 was approximately $6.35. The total fair value of awards that vested during the year ended December 31, 2018 was $3.3 million.</w:t>
      </w:r>
    </w:p>
    <w:p>
      <w:pPr>
        <w:spacing w:after="0" w:line="16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of December 31, 2018, there was approximately $8.4 million of unrecognized share-based compensation related to employees for unvested stock option grants which is expected to be recognized over a weighted average period of 2.6 years. The total unrecognized share-based compensation cost will be adjusted for actual forfeitures as they occur. In addition, there was approximately $53,000 of unrecognized share-based compensation, related to unvested stock option grants to nonemployees which is expected to be recognized over a weighted average period of 2.4 years. The amount of equity-based compensation expense related to nonemployees that will ultimately be recorded will depend on the remeasurement of the outstanding awards through their vesting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no shares of restricted common stock were granted. During the year ended December 31, 2017, 1,062,794 shares of restricted common stock were granted, including 1,059,912 shares of restricted common stock (adjusted for the Exchange Ratio) granted in exchange for the restricted common units and incentive units that were cancelled as part of the 2017 Reorganization. These shares retained the same vesting schedule as the cancelled restricted common units and incentive units. Private Synlogic treated these as modifications to the original grants of incentive units because the cancellation and reissuance was deemed to be concurrent. The calculation of the incremental compensation expense was based on the excess of the fair value of the award measured immediately before and after the modification. As a result of the modification, Private Synlogic recognized approximately $26,000 in equity-based compensation.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restricted common stock activity:</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5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r>
      <w:tr>
        <w:trPr>
          <w:trHeight w:val="131"/>
        </w:trPr>
        <w:tc>
          <w:tcPr>
            <w:tcW w:w="54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54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4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Awards exchanged upon 2017 Reorganization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(70,468)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and 2017, 186,332 and 671,204 shares of restricted common stock vested and approximately $1.0 and $0.5 million in equity compensation was recognized, respectively.</w:t>
      </w:r>
    </w:p>
    <w:p>
      <w:pPr>
        <w:spacing w:after="0" w:line="16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2018, there was approximately $0.2 million of unrecognized share-based compensation related to restricted stock awards granted to employees, which is expected to be recognized over a weighted average period of 1.6 years. The total unrecognized share-based compensation cost will be adjusted for actual forfeitures as they occur. There was no unrecognized share-based compensation related to unvested restricted stock awards granted to nonemployees at December 31, 2018.</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Units</w:t>
      </w:r>
    </w:p>
    <w:p>
      <w:pPr>
        <w:spacing w:after="0" w:line="13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Incentive units issued by Synlogic, LLC under the 2015 LLC Plan generally vested 25% after one year and ratably monthly thereafter over the next 36 months. Certain awards provided for accelerated vesting upon a change in control, as defined in the 2015 LLC Plan. Incentive units did not expire. Holders of incentive units had no voting rights in connection with such incentive units. Each incentive unit was intended to be a profits interest within the meaning of IRS regulations promulgated under the Internal Revenue Code. Each incentive unit had a threshold price, which was the price above which an incentive unit would participate in distributions. In this way, an incentive unit was designed to participate in the future profits and appreciation of Synlogic, LLC. Holders of incentive units would have been entitled to receive profits when and if distributions were in excess of the threshold price of the award set by the Board of Directors on the date of grant.</w:t>
      </w:r>
    </w:p>
    <w:p>
      <w:pPr>
        <w:spacing w:after="0" w:line="25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Synlogic, LLC measured and recorded the value of incentive units granted to nonemployees over the period of time that services were provided and, as such, unvested portions were subject to remeasurement at subsequent reporting periods.</w:t>
      </w:r>
    </w:p>
    <w:p>
      <w:pPr>
        <w:spacing w:after="0" w:line="162"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No incentive units were issued during the years ended December 31, 2018 and 2017. In May 2017, all incentive units were cancelled pursuant to the 2017 Reorganization and reissued as restricted common stock. As a result, there was no incentive unit activity during the year ended December 31, 2018 or unrecognized compensation expense related to incentive units as of December 31, 2018</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summary of incentive unit activity, as adjusted for the Merger, under the 2015 LLC Plan:</w:t>
      </w:r>
    </w:p>
    <w:p>
      <w:pPr>
        <w:spacing w:after="0" w:line="327"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Incentive units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2"/>
                <w:szCs w:val="12"/>
                <w:color w:val="auto"/>
              </w:rPr>
            </w:pPr>
          </w:p>
        </w:tc>
        <w:tc>
          <w:tcPr>
            <w:tcW w:w="74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strike</w:t>
            </w: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units at December 31, 2016</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971,906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(73,719)</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(260,145)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units cancelled upon 2017 Reorganization</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(638,042)</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units at December 31, 2017</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Units</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In May 2017, all restricted common unit awards were cancelled pursuant to the 2017 Reorganization and reissued as restricted common stock. As a result, there was no unrecognized compensation expense related to unvested restricted common units as of December 31, 2018.</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the restricted common unit activity for the year ended December 31, 2017, prior to the 2017 Reorganization, as adjusted for the Merger: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Restricted common units</w:t>
            </w:r>
          </w:p>
        </w:tc>
        <w:tc>
          <w:tcPr>
            <w:tcW w:w="1740" w:type="dxa"/>
            <w:vAlign w:val="bottom"/>
          </w:tcPr>
          <w:p>
            <w:pPr>
              <w:spacing w:after="0"/>
              <w:rPr>
                <w:sz w:val="15"/>
                <w:szCs w:val="15"/>
                <w:color w:val="auto"/>
              </w:rPr>
            </w:pPr>
          </w:p>
        </w:tc>
      </w:tr>
      <w:tr>
        <w:trPr>
          <w:trHeight w:val="144"/>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20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219,087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(37,770)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Exchanged as part of 2017 Reorganization</w:t>
            </w:r>
          </w:p>
        </w:tc>
        <w:tc>
          <w:tcPr>
            <w:tcW w:w="3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(181,317)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5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20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20" w:type="dxa"/>
            <w:vAlign w:val="bottom"/>
            <w:gridSpan w:val="3"/>
          </w:tcPr>
          <w:p>
            <w:pPr>
              <w:jc w:val="right"/>
              <w:ind w:right="2600"/>
              <w:spacing w:after="0"/>
              <w:rPr>
                <w:sz w:val="20"/>
                <w:szCs w:val="20"/>
                <w:color w:val="auto"/>
              </w:rPr>
            </w:pPr>
            <w:r>
              <w:rPr>
                <w:rFonts w:ascii="Times New Roman" w:cs="Times New Roman" w:eastAsia="Times New Roman" w:hAnsi="Times New Roman"/>
                <w:sz w:val="18"/>
                <w:szCs w:val="18"/>
                <w:color w:val="auto"/>
              </w:rPr>
              <w:t>F-28</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92" w:lineRule="exact"/>
        <w:rPr>
          <w:sz w:val="20"/>
          <w:szCs w:val="20"/>
          <w:color w:val="auto"/>
        </w:rPr>
      </w:pPr>
    </w:p>
    <w:p>
      <w:pPr>
        <w:ind w:right="140" w:firstLine="518"/>
        <w:spacing w:after="0" w:line="226" w:lineRule="exact"/>
        <w:rPr>
          <w:sz w:val="20"/>
          <w:szCs w:val="20"/>
          <w:color w:val="auto"/>
        </w:rPr>
      </w:pPr>
      <w:r>
        <w:rPr>
          <w:rFonts w:ascii="Times New Roman" w:cs="Times New Roman" w:eastAsia="Times New Roman" w:hAnsi="Times New Roman"/>
          <w:sz w:val="18"/>
          <w:szCs w:val="18"/>
          <w:color w:val="auto"/>
        </w:rPr>
        <w:t>The Company has recorded total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$4.3 million and $2.7 million, during the years ended December 31, 2018 and 2017, respectively. Equity compensation during the years ended December 31, 2018 and 2017 is derived from stock options and restricted stock awards. Equity-based compensation during the year ended December 31, 2018 also includes $0.7 million related to modifications in equity awards in connection with the separation of the Company’s former Chief Executive Officer. Equity compensation during the year ended December 31, 2017 additionally includes equity compensation derived from incentive units and restricted common units granted prior to the 2017 Reorganization.</w:t>
      </w:r>
    </w:p>
    <w:p>
      <w:pPr>
        <w:spacing w:after="0" w:line="20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July 2015, in connection with the 2015 Reorganization, all outstanding stock options and awards were canceled and reissued as incentive units and restricted common units. As such, equity compensation prior to the Merger was derived from incentive units and from a grant of restricted common units.</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May 2017, in connection with the 2017 Reorganization, the incentive units and restricted common units were cancelled and exchanged for restricted stock awards and stock options. Equity compensation after May 2017, was derived from stock options and restricted stock awards.</w:t>
      </w:r>
    </w:p>
    <w:p>
      <w:pPr>
        <w:spacing w:after="0" w:line="133" w:lineRule="exact"/>
        <w:rPr>
          <w:sz w:val="20"/>
          <w:szCs w:val="20"/>
          <w:color w:val="auto"/>
        </w:rPr>
      </w:pPr>
    </w:p>
    <w:p>
      <w:pPr>
        <w:ind w:right="80" w:firstLine="518"/>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years ended December 31, 2018 and 2017 (in thousands):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Borders>
              <w:top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1,333</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1,410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2,984</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1,242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4,317</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2,652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20" w:firstLine="518"/>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years ended December 31, 2018 and 2017 (in thousands):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Borders>
              <w:top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3,361</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1,956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units</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common units</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4,317</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2,652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9"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Board of Directors of Synlogic, LLC had the authority to determine the amount, if any, of proceeds available for distribution to unit holders. In the event that a distribution of proceeds was declared by the Board of Directors, such proceeds would have been distributed in accordance with the following order of priority:</w:t>
      </w:r>
    </w:p>
    <w:p>
      <w:pPr>
        <w:spacing w:after="0" w:line="68" w:lineRule="exact"/>
        <w:rPr>
          <w:sz w:val="20"/>
          <w:szCs w:val="20"/>
          <w:color w:val="auto"/>
        </w:rPr>
      </w:pPr>
    </w:p>
    <w:p>
      <w:pPr>
        <w:ind w:left="1040" w:right="140" w:hanging="519"/>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holders of Class B Preferred Units, pro rata in proportion to their unpaid contributed capital, until such holder had received an amount equal to its capital contribution;</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holders of Class A Preferred Units and Class A Contingently Redeemable Preferred Units, pro rata in proportion to their unpaid contributed capital, until such holder had received an amount equal to its capital contribution;</w:t>
      </w:r>
    </w:p>
    <w:p>
      <w:pPr>
        <w:spacing w:after="0" w:line="53" w:lineRule="exact"/>
        <w:rPr>
          <w:rFonts w:ascii="Times New Roman" w:cs="Times New Roman" w:eastAsia="Times New Roman" w:hAnsi="Times New Roman"/>
          <w:sz w:val="18"/>
          <w:szCs w:val="18"/>
          <w:color w:val="auto"/>
        </w:rPr>
      </w:pPr>
    </w:p>
    <w:p>
      <w:pPr>
        <w:ind w:left="1040" w:right="100" w:hanging="519"/>
        <w:spacing w:after="0" w:line="25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all holders of preferred units, common units and incentive units, pro rata in proportion to the remaining amount to be distributed, until an aggregate amount had been distributed in respect of each preferred unit, common unit and incentive unit equal to the greatest aggregate amount per unit distributed in respect of any preferred unit under the first and second priority described above; provided, that no holder of an incentive unit shall participate in any distributions until a total amount equal to the threshold price with respect to such incentive unit has been distributed in respect of any common unit outstanding on the date of issuance of such incentive unit subsequent to the issuance of such incentive unit;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51" w:lineRule="exact"/>
        <w:rPr>
          <w:sz w:val="20"/>
          <w:szCs w:val="20"/>
          <w:color w:val="auto"/>
        </w:rPr>
      </w:pPr>
    </w:p>
    <w:p>
      <w:pPr>
        <w:ind w:left="1040" w:right="180" w:hanging="519"/>
        <w:spacing w:after="0" w:line="266"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each holder of certain incentive units for which the Board of Directors had established a strike price, pro rata in proportion to the remaining amount to be distributed, an amount equal to the difference between the strike price for such incentive unit, and the threshold price for such incentive unit; and</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to all holders of preferred units, common units and incentive units, pro rata in proportion to their percentage interest.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distributions were made to unit holders prior to the 2017 Reorganization.</w:t>
      </w:r>
    </w:p>
    <w:p>
      <w:pPr>
        <w:spacing w:after="0" w:line="329"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Collaboration Agreement</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8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research and development will be performed by the Company over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was initially considered to be approximately 54 months. However, AbbVie has the right to terminate the contract at any time with 90 days’ notice.</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85" w:lineRule="exact"/>
        <w:rPr>
          <w:sz w:val="20"/>
          <w:szCs w:val="20"/>
          <w:color w:val="auto"/>
        </w:rPr>
      </w:pPr>
    </w:p>
    <w:p>
      <w:pPr>
        <w:ind w:right="220" w:firstLine="518"/>
        <w:spacing w:after="0" w:line="281" w:lineRule="auto"/>
        <w:rPr>
          <w:sz w:val="20"/>
          <w:szCs w:val="20"/>
          <w:color w:val="auto"/>
        </w:rPr>
      </w:pPr>
      <w:r>
        <w:rPr>
          <w:rFonts w:ascii="Times New Roman" w:cs="Times New Roman" w:eastAsia="Times New Roman" w:hAnsi="Times New Roman"/>
          <w:sz w:val="17"/>
          <w:szCs w:val="17"/>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6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Company reevaluates the transaction price at the end of each reporting period and as uncertain events are resolved or other changes in circumstances occur, and, if necessary, adjust its estimate of the transaction price.</w:t>
      </w:r>
    </w:p>
    <w:p>
      <w:pPr>
        <w:spacing w:after="0" w:line="162"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September 27, 2018, AbbVie and the Company signed an amendment (the “Amendment”) to the AbbVie Agreement. The Amendment clarified the requirements necessary to complete the second phase which resulted in additional time and effort in the second phase of the research plan. Additionally, the Amendment split the next milestone payment under the AbbVie Agreement into two payments: a milestone payment of $2.0 million earned by the Company upon execution of the Amendment and the remaining milestone payment of the balance due upon the successful achievement of specified research and pre-clinical events and the advancement to the third phase of the research plan.</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Company determined that the Amendment represented a modification to the AbbVie Agreement. The additional research and development services are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 The cumulative catch-up adjustment to revenue, as a result of the contract modification, was $1.8 million recognized during September 2018. Additionally, deferred revenue increased by $0.3 million as a result of the contract modification.</w:t>
      </w:r>
    </w:p>
    <w:p>
      <w:pPr>
        <w:spacing w:after="0" w:line="18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Revenue associated with performance obligations under the AbbVie Agreement are recognized as the research and development services are provided using an input method, according to the full time equivalents incurred. The research and development activities are expected to be performed over a period of approximately 54 months.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84"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the Company had recognized $ 2.5 million and $2.4 million, respectively, as collaboration revenue in the Company’s consolidated statements of operations and comprehensive loss. Deferred revenue amounted to $0.3 million as of December 31, 2018, all of which is included in current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Massachusetts Institute of Technology and Boston University</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April 2017, the Company exercised an option associated with the October 2014 agreement with Boston University and the Massachusetts Institute of Technology to acquire a license for certain intellectual property in exchange for $50,000. The execution of this option triggered an equity award for the issuance of 325,377 common units, which were converted to 325,377 common shares upon the 2017 Reorganization and converted to 179,999 common shares during the Merger. Based on the fair value of common units at the time of the execution of the license, the Company recognized license fees of approximately $1.8 million upon issuance of the common units associated with the equity award. Additionally, the Company was required to pay approximately $0.3 million for prior patent costs incurred in connection with the option agreement. The Company recorded these amounts, including the fair value of the common stock issued to the licensors as research and development expense in the 2017 consolidated statement of operations, as the licenses do not have future alternative use, in accordance with ASC Topic 730, </w:t>
      </w:r>
      <w:r>
        <w:rPr>
          <w:rFonts w:ascii="Times New Roman" w:cs="Times New Roman" w:eastAsia="Times New Roman" w:hAnsi="Times New Roman"/>
          <w:sz w:val="18"/>
          <w:szCs w:val="18"/>
          <w:i w:val="1"/>
          <w:iCs w:val="1"/>
          <w:color w:val="auto"/>
        </w:rPr>
        <w:t>Research and Development.</w:t>
      </w:r>
    </w:p>
    <w:p>
      <w:pPr>
        <w:spacing w:after="0" w:line="185"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Company determined that its growing portfolio of internally generated intellectual property superseded the in-licensed intellectual property in the BU license and the MIT license. Accordingly, on December 18, 2018, it provided notice to terminate the license agreements with MIT and BU/MIT. The BU license will be terminated effective as of February 16, 2019 and the MIT license will be terminated effective as of June 19,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 with Cowen and Company</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newly issued shares into the secondary trading market through a designated broker-dealer at prevailing market prices. No sales of common stock were made pursuant to the ATM during 2017 and 2018.</w:t>
      </w:r>
    </w:p>
    <w:p>
      <w:pPr>
        <w:spacing w:after="0" w:line="32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for share and per share amounts):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8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(48,435)</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(40,377)</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4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23,882,685</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6,724,641</w:t>
            </w:r>
          </w:p>
        </w:tc>
        <w:tc>
          <w:tcPr>
            <w:tcW w:w="80" w:type="dxa"/>
            <w:vAlign w:val="bottom"/>
            <w:tcBorders>
              <w:bottom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and unvested restricted common stock, are considered to be common share equivalents and are only included in the calculation of diluted net loss per share when their effect is dilutive.</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82"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7620</wp:posOffset>
            </wp:positionV>
            <wp:extent cx="17411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 w:lineRule="exact"/>
        <w:rPr>
          <w:sz w:val="20"/>
          <w:szCs w:val="20"/>
          <w:color w:val="auto"/>
        </w:rPr>
      </w:pPr>
    </w:p>
    <w:p>
      <w:pPr>
        <w:ind w:left="794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118,679</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1,739,884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1,267,221</w:t>
            </w:r>
          </w:p>
        </w:tc>
        <w:tc>
          <w:tcPr>
            <w:tcW w:w="80" w:type="dxa"/>
            <w:vAlign w:val="bottom"/>
          </w:tcPr>
          <w:p>
            <w:pPr>
              <w:spacing w:after="0"/>
              <w:rPr>
                <w:sz w:val="20"/>
                <w:szCs w:val="20"/>
                <w:color w:val="auto"/>
              </w:rPr>
            </w:pPr>
          </w:p>
        </w:tc>
      </w:tr>
    </w:tbl>
    <w:p>
      <w:pPr>
        <w:spacing w:after="0" w:line="337"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4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consist of the following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32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3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1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3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33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33</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40" w:type="dxa"/>
            <w:vAlign w:val="bottom"/>
            <w:gridSpan w:val="2"/>
          </w:tcPr>
          <w:p>
            <w:pPr>
              <w:jc w:val="right"/>
              <w:ind w:right="2319"/>
              <w:spacing w:after="0"/>
              <w:rPr>
                <w:sz w:val="20"/>
                <w:szCs w:val="20"/>
                <w:color w:val="auto"/>
              </w:rPr>
            </w:pPr>
            <w:r>
              <w:rPr>
                <w:rFonts w:ascii="Times New Roman" w:cs="Times New Roman" w:eastAsia="Times New Roman" w:hAnsi="Times New Roman"/>
                <w:sz w:val="18"/>
                <w:szCs w:val="18"/>
                <w:color w:val="auto"/>
              </w:rPr>
              <w:t>F-32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consist of the following (in thousands):</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2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Amortizable intangibles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(26,515)</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$40.3 million and $26.5 million was established at December 31, 2018 and 2017,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 (dollars in thousands):</w:t>
      </w:r>
    </w:p>
    <w:p>
      <w:pPr>
        <w:spacing w:after="0" w:line="24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6060" w:type="dxa"/>
            <w:vAlign w:val="bottom"/>
            <w:gridSpan w:val="2"/>
          </w:tcPr>
          <w:p>
            <w:pPr>
              <w:spacing w:after="0"/>
              <w:rPr>
                <w:sz w:val="13"/>
                <w:szCs w:val="13"/>
                <w:color w:val="auto"/>
              </w:rPr>
            </w:pPr>
          </w:p>
        </w:tc>
        <w:tc>
          <w:tcPr>
            <w:tcW w:w="9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ind w:left="208"/>
              <w:spacing w:after="0" w:line="155" w:lineRule="exact"/>
              <w:rPr>
                <w:sz w:val="20"/>
                <w:szCs w:val="20"/>
                <w:color w:val="auto"/>
              </w:rPr>
            </w:pPr>
            <w:r>
              <w:rPr>
                <w:rFonts w:ascii="Times New Roman" w:cs="Times New Roman" w:eastAsia="Times New Roman" w:hAnsi="Times New Roman"/>
                <w:sz w:val="14"/>
                <w:szCs w:val="14"/>
                <w:b w:val="1"/>
                <w:bCs w:val="1"/>
                <w:color w:val="auto"/>
                <w:w w:val="98"/>
              </w:rPr>
              <w:t>Tax Rate</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22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rate due to Tax Reform</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tcPr>
          <w:p>
            <w:pPr>
              <w:spacing w:after="0"/>
              <w:rPr>
                <w:sz w:val="19"/>
                <w:szCs w:val="19"/>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Mirna acquisition</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20" w:type="dxa"/>
            <w:vAlign w:val="bottom"/>
          </w:tcPr>
          <w:p>
            <w:pPr>
              <w:spacing w:after="0"/>
              <w:rPr>
                <w:sz w:val="19"/>
                <w:szCs w:val="19"/>
                <w:color w:val="auto"/>
              </w:rPr>
            </w:pPr>
          </w:p>
        </w:tc>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valuation allowance for the years ended December 31, 2018 and 2017 is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0"/>
              </w:rPr>
              <w:t>(26,515)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0"/>
              </w:rPr>
              <w:t>(13,060)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(13,775)</w:t>
            </w:r>
          </w:p>
        </w:tc>
        <w:tc>
          <w:tcPr>
            <w:tcW w:w="30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(13,455)</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0"/>
              </w:rPr>
              <w:t>(40,290)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0"/>
              </w:rPr>
              <w:t>(26,515)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42"/>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F-33</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8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2018 and 2017, the Company had federal and state net operating loss carryforwards that may be available to reduce future taxable income of approximately $125.5 million and $82.0 million, respectively, which begin to expire in 2034. In addition, at December 31, 2018, the Company had federal and state research and development tax credit carryforwards available to reduce future tax liabilities of approximately $2.8 million and $1.6 million, respectively. These credits begin to expire in 2034 and 2029, respectively.</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respectively. The Company has not completed a study to assess whether an ownership change has occurred, or whether there have been multiple ownership changes since its formation, due to a significant complexity and related costs associated with such a study. There could be additional ownership changes in the future that may result in additional limitations on the utilization of NOL carryforwards and credits.</w:t>
      </w:r>
    </w:p>
    <w:p>
      <w:pPr>
        <w:spacing w:after="0" w:line="185"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2018.</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2015 to the present are open to examination under the statute. The Company’s policy is to record interest and penalties related to income taxes as part of the tax provision. There are no interest or penalties accrued at December 31, 2018 and 2017.</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Tax Cuts and Jobs Act</w:t>
      </w:r>
    </w:p>
    <w:p>
      <w:pPr>
        <w:spacing w:after="0" w:line="11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On December 22, 2017, President Trump signed into U.S. law the Tax Cuts and Jobs Act of 2017 (“Tax Reform”). ASC Topic 740,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companies to recognize the effect of tax law changes in the period of enactment even though the effective date for most provisions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tax years beginning after December 31, 2017, or in the case of certain other provisions of the law, January 1, 2018. Given the significance of the legislation, the U.S. Securities and Exchange Commission (the "SEC") staff issued Staff Accounting Bulletin ("SAB") No. 118 (“SAB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8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Tax Cuts and Jobs Act.</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However, several provisions of the Tax Reform have significant impact on the Company’s U.S. tax attributes, generally consisting of credits, loss carry-forwards, and amortizable intangibles. The provisional reporting period ended on December 22, 2018. The Company has reevaluated its assets and liabilities associated with such future tax benefits in the current year and determined that no further adjustment is necessary to its deferred tax asset and liabilities. This reduction in the deferred tax asset has been offset by a coinciding reduction in the associated valuation allowance, creating a zero net impact to the Company’s statement of operations. The Company’s tax attributes are generally subject to a full valuation allowance in the United States and thus, any adjustments to the attributes will not impact the tax provision. Although the Company has made a reasonable estimate of the gross amounts of the attributes disclosed, a final determination of the Tax Reform’s impact on the attributes and related valuation allowance requirements remain incomplete pending a full analysis of the provisions and their interpretations.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Other significant provisions that are not yet effective but may impact income taxes in future years include: a limitation on the current deductibility of net interest expense in excess of 30 percent of adjusted taxable income and a limitation of net operating losses generated after fiscal 2018 to 80 percent of taxable income.</w:t>
      </w:r>
    </w:p>
    <w:p>
      <w:pPr>
        <w:spacing w:after="0" w:line="280"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rent expense of approximately $2.5 million for the year ended December 31, 2018. The Company recorded a rent credit of approximately $0.2 million for the year ended December 31, 2017 due to the accelerated amortization the deferred rent associated with the 200 Sidney Street facility. In July 2017, the Company agreed to terminate its lease and revised its estimate of the remaining amortization period from 63 months to seven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July 2017, the Company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In addition to approximately $1.6 million the Company has committed to for tenant improvements, the operating lease also provided for a tenant improvement allowance, at the cost of the lessor, not to exceed approximately $6.6 million. The Company was deemed to be the accounting owner of the tenant improvements primarily because it was responsible for project cost overruns. Therefore, the amounts will be recorded as a leasehold improvement and deferred rent and will be recorded as a reduction to rent expense ratably over the lease term. At December 31, 2018, the Company has capitalized approximately $5.0 million of the landlord-funded tenant improvements, representing the completed portion of the buildout. In conjunction with the lease, the Company established a letter of credit of approximately $1.0 million secured by cash balances included in restricted cash.</w:t>
      </w:r>
    </w:p>
    <w:p>
      <w:pPr>
        <w:spacing w:after="0" w:line="200" w:lineRule="exact"/>
        <w:rPr>
          <w:sz w:val="20"/>
          <w:szCs w:val="20"/>
          <w:color w:val="auto"/>
        </w:rPr>
      </w:pPr>
    </w:p>
    <w:p>
      <w:pPr>
        <w:spacing w:after="0" w:line="205" w:lineRule="exact"/>
        <w:rPr>
          <w:sz w:val="20"/>
          <w:szCs w:val="20"/>
          <w:color w:val="auto"/>
        </w:rPr>
      </w:pPr>
    </w:p>
    <w:p>
      <w:pPr>
        <w:ind w:right="40" w:firstLine="518"/>
        <w:spacing w:after="0" w:line="218" w:lineRule="exact"/>
        <w:rPr>
          <w:sz w:val="20"/>
          <w:szCs w:val="20"/>
          <w:color w:val="auto"/>
        </w:rPr>
      </w:pPr>
      <w:r>
        <w:rPr>
          <w:rFonts w:ascii="Times New Roman" w:cs="Times New Roman" w:eastAsia="Times New Roman" w:hAnsi="Times New Roman"/>
          <w:sz w:val="18"/>
          <w:szCs w:val="18"/>
          <w:color w:val="auto"/>
        </w:rPr>
        <w:t>In July 2015, the Company entered into an operating lease for office and laboratory space at 200 Sidney Street in Cambridge, Massachusetts. The operating lease term commenced in February 2016 and expired in April 2021 with a one year renewal option to extend the lease. The Company agreed to terminate the lease in July 2017 at a date that was 30 days after the commencement of its new lease. No penalties were associated with the termination of the lease. Rent expense commenced on February 1, 2016 and was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duration of the term. The operating lease provided for annual rent of approximately $0.9 million, payable on a monthly basis, which increased at a rate of 3% annually, and included three months of rent abatement during the first year. The Company was responsible for real estate taxes, maintenance, and other operating expenses applicable to the leased premises. The Company was deemed to be the accounting owner of the tenant improvements primarily because it was responsible for project cost overruns. Therefore, the amounts were recorded as a leasehold improvement and deferred rent and were being recorded as a reduction to rent expense ratably over the lease term of 63 months. As a result of the agreement to terminate its lease, the Company revised its estimate of the remaining amortization period of the deferred rent and its estimate of the remaining useful life of its leasehold improvements to seven months through January 2018.</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June 2017, the Company entered two non-cancellable thirty-six month lease agreements for certain lab equipment of approximately $0.2 million and $0.7 million, respectively. The lease term and payments for each agreement began upon delivery and installation of the equipment. Both leases are accounted for as a capital lease as one has a bargain purchase option and in the other, the present value of the lease exceeds 90% of the fair market value. At December 31, 2018, the interest rate on each capital lease obligation was approximately 1.1% and 7.3%, respectively.</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October 2016, the Company entered into a twenty-four month, non-cancellable lease agreement for approximately $0.4 million for certain lab equipment. Due to the existence of a bargain purchase option, the lease has been accounted for as a capital lease. At December 31, 2017, the interest rate on the outstanding capital lease obligation was approximately 9.6%. The agreement terminated per the terms of the lease agreement in November 2018.</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and capital leases as of December 31, 2018, are as follows (in thousands):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34,925</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Borders>
              <w:bottom w:val="single" w:sz="8" w:color="CFF0FC"/>
            </w:tcBorders>
          </w:tcPr>
          <w:p>
            <w:pPr>
              <w:spacing w:after="0"/>
              <w:rPr>
                <w:sz w:val="22"/>
                <w:szCs w:val="22"/>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FF0FC"/>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at December 31, 2018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On December 7, 2018, Synlogic Operating Company, Inc., a wholly-owned subsidiary of Synlogic, Inc. (the “Company”), entered into a Statement of Work (the “SOW”) with Azzur Group, LLC (“Azzur”) pursuant to a Master Contract Services Agreement (the “Master Services Agreement”), dated September 8, 2018, between the Company and Azzur.</w:t>
      </w:r>
    </w:p>
    <w:p>
      <w:pPr>
        <w:spacing w:after="0" w:line="176"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Pursuant to the SOW, Azzur has agreed to provide the Company with access to, and the use of, an approximately 700 square foot cleanroom space to be constructed in Waltham, Massachusetts (the “Azzur Suite”), for a period of 44 months, from May 1, 2019 to December 31, 2022 (the “Term”). Azzur has also agreed to provide the Company with storage space and personnel support at the Azzur Suite. The total estimated project cost during the Term for access to, and use of, the cleanroom and storage space, and the personnel support and other services, is $4.8 million.</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terminate the SOW on four months’ prior written notice at any time during the Term. In addition, either party may terminate the Master Services Agreement (including the SOW) due to a breach by the other party and failure to cure. If the Azzur Suite is not ready for use by the Company as of May 1, 2019, the Company may (i) elect to terminate the SOW, (ii) wait for the Azzur Suite to become available, without incurring any costs (other than a deposit) relating to the Azzur Suite until it becomes available, or (iii) accept an alternate cleanroom space from Azzur on different terms.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0"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has not made any matching contributions since the adoption of the 401(k) plan.</w:t>
      </w:r>
    </w:p>
    <w:p>
      <w:pPr>
        <w:spacing w:after="0" w:line="280"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there were no related-party transactions. During the year ended December 31, 2017, before the Company became a public company, the Company received repayment of the loan to its then-existing chief executive officer of approximately $0.2 million. The loan was repaid in June 2017, including interest which accrued at a rate of 0.6%.</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7" w:name="page118"/>
    <w:bookmarkEnd w:id="1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Data (Unaudited)</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tables contain quarterly financial information for 2018 and 2017 (in thousands).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2018 Quarter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8"/>
        </w:trPr>
        <w:tc>
          <w:tcPr>
            <w:tcW w:w="4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12,819</w:t>
            </w: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(12,708)</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4"/>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392"/>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2017 Quarter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12,029</w:t>
            </w: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(11,918)</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4"/>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1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unit attributable to common unit holders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bl>
    <w:p>
      <w:pPr>
        <w:spacing w:after="0" w:line="34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40" w:firstLine="518"/>
        <w:spacing w:after="0" w:line="289" w:lineRule="auto"/>
        <w:rPr>
          <w:sz w:val="20"/>
          <w:szCs w:val="20"/>
          <w:color w:val="auto"/>
        </w:rPr>
      </w:pPr>
      <w:r>
        <w:rPr>
          <w:rFonts w:ascii="Times New Roman" w:cs="Times New Roman" w:eastAsia="Times New Roman" w:hAnsi="Times New Roman"/>
          <w:sz w:val="17"/>
          <w:szCs w:val="17"/>
          <w:color w:val="auto"/>
        </w:rPr>
        <w:t>On February 28, 2019, the Joint Research Committee related to the Company’s collaboration with AbbVie concluded that the remaining milestone of $2.5 million under the Second Amendment in the Company’s collaboration with AbbVie was achieved. Related revenue will be recognized as the research and development services are provided using an input method, according to the full time equivalents incurred over the third phase of the research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00"/>
          </w:cols>
          <w:pgMar w:left="240" w:top="117"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 AGREEMENT AND PLAN OF MERGER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LICENSE AGREEMENT</w:t>
      </w:r>
    </w:p>
    <w:p>
      <w:pPr>
        <w:spacing w:after="0" w:line="39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THIRD AMENDMENT TO AGREEMENT AND PLAN OF MERGER and FIRST AMENDMENT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LICENSE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is entered into as of December [ 18 ], 2018 (the “</w:t>
      </w:r>
      <w:r>
        <w:rPr>
          <w:rFonts w:ascii="Times New Roman" w:cs="Times New Roman" w:eastAsia="Times New Roman" w:hAnsi="Times New Roman"/>
          <w:sz w:val="22"/>
          <w:szCs w:val="22"/>
          <w:b w:val="1"/>
          <w:bCs w:val="1"/>
          <w:color w:val="auto"/>
        </w:rPr>
        <w:t>Third Amendment Effective Date</w:t>
      </w:r>
      <w:r>
        <w:rPr>
          <w:rFonts w:ascii="Times New Roman" w:cs="Times New Roman" w:eastAsia="Times New Roman" w:hAnsi="Times New Roman"/>
          <w:sz w:val="22"/>
          <w:szCs w:val="22"/>
          <w:color w:val="auto"/>
        </w:rPr>
        <w:t>”), by and among AbbVie S.A.r.l., a corporation organized under the laws of Luxembourg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Synlogic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IBDCo,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Synlogic Operating Company, Inc., a Delaware corporation formerly known as, and as successor to, Synlogic, LLC (the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77"/>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Buyer, Company, Parent, Suffolk Merger Sub, Inc., a Delaware corporation (“</w:t>
      </w:r>
      <w:r>
        <w:rPr>
          <w:rFonts w:ascii="Times New Roman" w:cs="Times New Roman" w:eastAsia="Times New Roman" w:hAnsi="Times New Roman"/>
          <w:sz w:val="21"/>
          <w:szCs w:val="21"/>
          <w:b w:val="1"/>
          <w:bCs w:val="1"/>
          <w:color w:val="auto"/>
        </w:rPr>
        <w:t>Merger Sub</w:t>
      </w:r>
      <w:r>
        <w:rPr>
          <w:rFonts w:ascii="Times New Roman" w:cs="Times New Roman" w:eastAsia="Times New Roman" w:hAnsi="Times New Roman"/>
          <w:sz w:val="21"/>
          <w:szCs w:val="21"/>
          <w:color w:val="auto"/>
        </w:rPr>
        <w:t>”), Synlogic,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 a wholly-owned subsidiary of the Parent (“</w:t>
      </w:r>
      <w:r>
        <w:rPr>
          <w:rFonts w:ascii="Times New Roman" w:cs="Times New Roman" w:eastAsia="Times New Roman" w:hAnsi="Times New Roman"/>
          <w:sz w:val="21"/>
          <w:szCs w:val="21"/>
          <w:b w:val="1"/>
          <w:bCs w:val="1"/>
          <w:color w:val="auto"/>
        </w:rPr>
        <w:t>Synlogic</w:t>
      </w:r>
      <w:r>
        <w:rPr>
          <w:rFonts w:ascii="Times New Roman" w:cs="Times New Roman" w:eastAsia="Times New Roman" w:hAnsi="Times New Roman"/>
          <w:sz w:val="21"/>
          <w:szCs w:val="21"/>
          <w:color w:val="auto"/>
        </w:rPr>
        <w:t>”), and certain individuals (the “</w:t>
      </w:r>
      <w:r>
        <w:rPr>
          <w:rFonts w:ascii="Times New Roman" w:cs="Times New Roman" w:eastAsia="Times New Roman" w:hAnsi="Times New Roman"/>
          <w:sz w:val="21"/>
          <w:szCs w:val="21"/>
          <w:b w:val="1"/>
          <w:bCs w:val="1"/>
          <w:color w:val="auto"/>
        </w:rPr>
        <w:t>Founders</w:t>
      </w:r>
      <w:r>
        <w:rPr>
          <w:rFonts w:ascii="Times New Roman" w:cs="Times New Roman" w:eastAsia="Times New Roman" w:hAnsi="Times New Roman"/>
          <w:sz w:val="21"/>
          <w:szCs w:val="21"/>
          <w:color w:val="auto"/>
        </w:rPr>
        <w:t>”) (each of the Founders, Buyer, Merger Sub, Company, Parent and Synlogic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entered into an Agreement and Plan of Merger, dated as of July 16, 2015 (as amended, the “</w:t>
      </w:r>
      <w:r>
        <w:rPr>
          <w:rFonts w:ascii="Times New Roman" w:cs="Times New Roman" w:eastAsia="Times New Roman" w:hAnsi="Times New Roman"/>
          <w:sz w:val="21"/>
          <w:szCs w:val="21"/>
          <w:b w:val="1"/>
          <w:bCs w:val="1"/>
          <w:color w:val="auto"/>
        </w:rPr>
        <w:t>Merger Agreement</w:t>
      </w:r>
      <w:r>
        <w:rPr>
          <w:rFonts w:ascii="Times New Roman" w:cs="Times New Roman" w:eastAsia="Times New Roman" w:hAnsi="Times New Roman"/>
          <w:sz w:val="21"/>
          <w:szCs w:val="21"/>
          <w:color w:val="auto"/>
        </w:rPr>
        <w:t>”; capitalized terms not otherwise defined herein shall the respective meanings assigned to such terms in the Merger Agreement);</w:t>
      </w:r>
    </w:p>
    <w:p>
      <w:pPr>
        <w:spacing w:after="0" w:line="16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and Company entered into a License Agreement dated as of July 16, 2015 (as amended,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Buyer, Parent and the Company first amended the Merger Agreement pursuant to that certain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Agreement and Plan of Merger dated as of December 14, 2015;</w:t>
      </w:r>
    </w:p>
    <w:p>
      <w:pPr>
        <w:spacing w:after="0" w:line="150"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Buyer, Parent and the Company also amended the Merger Agreement pursuant to that certain 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Agreement and Plan of Merger dated as of September 27, 2018;</w:t>
      </w:r>
    </w:p>
    <w:p>
      <w:pPr>
        <w:spacing w:after="0" w:line="150"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12.6(c) of the Merger Agreement, the Merger Agreement may be amended by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Parent and the Company;</w:t>
      </w:r>
    </w:p>
    <w:p>
      <w:pPr>
        <w:spacing w:after="0" w:line="150"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9.9 of the License Agreement, the License Agreement may be amended by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Parent and the Company; and</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Buyer has provided its written consent to Parent’s termination of the University Licenses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therewith, the Parties desire to further amend the Merger Agreement and to amend the License Agreement as set forth herein.</w:t>
      </w:r>
    </w:p>
    <w:p>
      <w:pPr>
        <w:spacing w:after="0" w:line="16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premises and the mutual covenants and conditions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Third Amendment, the Parties agree as follows:</w:t>
      </w:r>
    </w:p>
    <w:p>
      <w:pPr>
        <w:spacing w:after="0" w:line="159"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20" w:lineRule="exact"/>
        <w:rPr>
          <w:sz w:val="20"/>
          <w:szCs w:val="20"/>
          <w:color w:val="auto"/>
        </w:rPr>
      </w:pPr>
    </w:p>
    <w:p>
      <w:pPr>
        <w:ind w:left="820" w:hanging="812"/>
        <w:spacing w:after="0"/>
        <w:tabs>
          <w:tab w:leader="none" w:pos="8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ARTICLE I of the Merger Agreement</w:t>
      </w:r>
    </w:p>
    <w:p>
      <w:pPr>
        <w:spacing w:after="0" w:line="206"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 set forth in Section 1.13 of the Merger Agreement is hereby deleted in its entirety and replaced with “1.13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740" w:right="20" w:hanging="868"/>
        <w:spacing w:after="0" w:line="258" w:lineRule="auto"/>
        <w:tabs>
          <w:tab w:leader="none" w:pos="174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 set forth in Section 1.139 of the Merger Agreement is hereby deleted in its entirety and replaced with “1.139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740" w:right="20" w:hanging="868"/>
        <w:spacing w:after="0" w:line="282" w:lineRule="auto"/>
        <w:tabs>
          <w:tab w:leader="none" w:pos="174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“University Licenses” set forth in Section 1.214 of the Merger Agreement is hereby deleted in its entirety and replaced with the following new Sections and definitions in the appropriate alphabetical order:</w:t>
      </w:r>
    </w:p>
    <w:p>
      <w:pPr>
        <w:spacing w:after="0" w:line="131" w:lineRule="exact"/>
        <w:rPr>
          <w:sz w:val="20"/>
          <w:szCs w:val="20"/>
          <w:color w:val="auto"/>
        </w:rPr>
      </w:pPr>
    </w:p>
    <w:p>
      <w:pPr>
        <w:jc w:val="both"/>
        <w:ind w:left="1760" w:right="20" w:firstLine="743"/>
        <w:spacing w:after="0" w:line="262" w:lineRule="auto"/>
        <w:rPr>
          <w:sz w:val="20"/>
          <w:szCs w:val="20"/>
          <w:color w:val="auto"/>
        </w:rPr>
      </w:pPr>
      <w:r>
        <w:rPr>
          <w:rFonts w:ascii="Times New Roman" w:cs="Times New Roman" w:eastAsia="Times New Roman" w:hAnsi="Times New Roman"/>
          <w:sz w:val="22"/>
          <w:szCs w:val="22"/>
          <w:color w:val="auto"/>
        </w:rPr>
        <w:t>“Section 1.214 “</w:t>
      </w:r>
      <w:r>
        <w:rPr>
          <w:rFonts w:ascii="Times New Roman" w:cs="Times New Roman" w:eastAsia="Times New Roman" w:hAnsi="Times New Roman"/>
          <w:sz w:val="22"/>
          <w:szCs w:val="22"/>
          <w:i w:val="1"/>
          <w:iCs w:val="1"/>
          <w:color w:val="auto"/>
        </w:rPr>
        <w:t>University Party</w:t>
      </w:r>
      <w:r>
        <w:rPr>
          <w:rFonts w:ascii="Times New Roman" w:cs="Times New Roman" w:eastAsia="Times New Roman" w:hAnsi="Times New Roman"/>
          <w:sz w:val="22"/>
          <w:szCs w:val="22"/>
          <w:color w:val="auto"/>
        </w:rPr>
        <w:t>” means either [***], their respective Affiliates or any combination thereof.</w:t>
      </w:r>
    </w:p>
    <w:p>
      <w:pPr>
        <w:spacing w:after="0" w:line="150" w:lineRule="exact"/>
        <w:rPr>
          <w:sz w:val="20"/>
          <w:szCs w:val="20"/>
          <w:color w:val="auto"/>
        </w:rPr>
      </w:pPr>
    </w:p>
    <w:p>
      <w:pPr>
        <w:jc w:val="both"/>
        <w:ind w:left="1760" w:firstLine="743"/>
        <w:spacing w:after="0" w:line="246" w:lineRule="auto"/>
        <w:rPr>
          <w:sz w:val="20"/>
          <w:szCs w:val="20"/>
          <w:color w:val="auto"/>
        </w:rPr>
      </w:pPr>
      <w:r>
        <w:rPr>
          <w:rFonts w:ascii="Times New Roman" w:cs="Times New Roman" w:eastAsia="Times New Roman" w:hAnsi="Times New Roman"/>
          <w:sz w:val="22"/>
          <w:szCs w:val="22"/>
          <w:color w:val="auto"/>
        </w:rPr>
        <w:t>Section 1.214A “</w:t>
      </w:r>
      <w:r>
        <w:rPr>
          <w:rFonts w:ascii="Times New Roman" w:cs="Times New Roman" w:eastAsia="Times New Roman" w:hAnsi="Times New Roman"/>
          <w:sz w:val="22"/>
          <w:szCs w:val="22"/>
          <w:i w:val="1"/>
          <w:iCs w:val="1"/>
          <w:color w:val="auto"/>
        </w:rPr>
        <w:t>University Patent Right”</w:t>
      </w:r>
      <w:r>
        <w:rPr>
          <w:rFonts w:ascii="Times New Roman" w:cs="Times New Roman" w:eastAsia="Times New Roman" w:hAnsi="Times New Roman"/>
          <w:sz w:val="22"/>
          <w:szCs w:val="22"/>
          <w:color w:val="auto"/>
        </w:rPr>
        <w:t xml:space="preserve"> means any Patent Right that (i) was, or absent termination would have been, the subject of the [***] among [***] or (ii) was, or absent termination would have been, the subject of the [***] between [***].”</w:t>
      </w:r>
    </w:p>
    <w:p>
      <w:pPr>
        <w:spacing w:after="0" w:line="171" w:lineRule="exact"/>
        <w:rPr>
          <w:sz w:val="20"/>
          <w:szCs w:val="20"/>
          <w:color w:val="auto"/>
        </w:rPr>
      </w:pPr>
    </w:p>
    <w:p>
      <w:pPr>
        <w:ind w:left="820" w:hanging="812"/>
        <w:spacing w:after="0"/>
        <w:tabs>
          <w:tab w:leader="none" w:pos="8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2.10(c)(ii) of the Merger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Section 2.10(c)(ii) of the Merger Agreement is hereby amended by inserting the following sentence at the end</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thereof:</w:t>
      </w:r>
    </w:p>
    <w:p>
      <w:pPr>
        <w:spacing w:after="0" w:line="182" w:lineRule="exact"/>
        <w:rPr>
          <w:sz w:val="20"/>
          <w:szCs w:val="20"/>
          <w:color w:val="auto"/>
        </w:rPr>
      </w:pPr>
    </w:p>
    <w:p>
      <w:pPr>
        <w:jc w:val="both"/>
        <w:ind w:left="880" w:firstLine="810"/>
        <w:spacing w:after="0" w:line="236" w:lineRule="auto"/>
        <w:rPr>
          <w:sz w:val="20"/>
          <w:szCs w:val="20"/>
          <w:color w:val="auto"/>
        </w:rPr>
      </w:pPr>
      <w:r>
        <w:rPr>
          <w:rFonts w:ascii="Times New Roman" w:cs="Times New Roman" w:eastAsia="Times New Roman" w:hAnsi="Times New Roman"/>
          <w:sz w:val="22"/>
          <w:szCs w:val="22"/>
          <w:color w:val="auto"/>
        </w:rPr>
        <w:t>“Notwithstanding the foregoing and the last sentence of Section 2.10(c)(iii), in the event that, after the Closing Date, Buyer determines that it is necessary to enter into an agreement negotiated on arms’ length terms with [***] in order to obtain a license under any [***] owned or controlled by [***] in a particular country or other jurisdiction which, but for such license, would be infringed by the manufacture, use or sale of such Product in such country or other jurisdiction, Buyer shall be entitled to deduct [***] actually paid to [***] from [***] that would otherwise be owed under this Section 2.10(c) with respect to [***] in the applicable country or other jurisdiction.”</w:t>
      </w:r>
    </w:p>
    <w:p>
      <w:pPr>
        <w:spacing w:after="0" w:line="182" w:lineRule="exact"/>
        <w:rPr>
          <w:sz w:val="20"/>
          <w:szCs w:val="20"/>
          <w:color w:val="auto"/>
        </w:rPr>
      </w:pPr>
    </w:p>
    <w:p>
      <w:pPr>
        <w:ind w:left="820" w:hanging="812"/>
        <w:spacing w:after="0"/>
        <w:tabs>
          <w:tab w:leader="none" w:pos="8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ARTICLE I of the License Agreement</w:t>
      </w:r>
    </w:p>
    <w:p>
      <w:pPr>
        <w:spacing w:after="0" w:line="206" w:lineRule="exact"/>
        <w:rPr>
          <w:rFonts w:ascii="Times New Roman" w:cs="Times New Roman" w:eastAsia="Times New Roman" w:hAnsi="Times New Roman"/>
          <w:sz w:val="22"/>
          <w:szCs w:val="22"/>
          <w:color w:val="auto"/>
        </w:rPr>
      </w:pPr>
    </w:p>
    <w:p>
      <w:pPr>
        <w:ind w:left="1740" w:right="20" w:hanging="868"/>
        <w:spacing w:after="0" w:line="258" w:lineRule="auto"/>
        <w:tabs>
          <w:tab w:leader="none" w:pos="17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 set forth in Section 1.7 of the License Agreement is hereby deleted in its entirety and replaced with “1.7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 set forth in Section 1.36 of the License Agreement is hereby deleted in its entirety and replaced with “1.36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20" w:lineRule="exact"/>
        <w:rPr>
          <w:sz w:val="20"/>
          <w:szCs w:val="20"/>
          <w:color w:val="auto"/>
        </w:rPr>
      </w:pPr>
    </w:p>
    <w:p>
      <w:pPr>
        <w:ind w:left="820" w:hanging="812"/>
        <w:spacing w:after="0"/>
        <w:tabs>
          <w:tab w:leader="none" w:pos="8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Amendment to Merger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740" w:hanging="868"/>
        <w:spacing w:after="0" w:line="239" w:lineRule="auto"/>
        <w:tabs>
          <w:tab w:leader="none" w:pos="17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Agreement is further amended by deleting all references to the “University Licenses”, the “[***]” and the “[***]”, including any and all terms and conditions in the Merger Agreement pertaining to the such references (including without limitation such references to the University Licenses, [***] and/or [***], as the case may be, in Sections 4.2(h), 5.13(q), 5.13(r), 7.1(b)(xiv) and 7.15 of the Merger Agreement.</w:t>
      </w:r>
    </w:p>
    <w:p>
      <w:pPr>
        <w:spacing w:after="0" w:line="180"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the terms and conditions of the Merger Agreement shall, unless the context expressly requires otherwise, shall be interpreted to account for the termination of the University Licenses.</w:t>
      </w:r>
    </w:p>
    <w:p>
      <w:pPr>
        <w:spacing w:after="0" w:line="158"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Amendment to License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740" w:hanging="868"/>
        <w:spacing w:after="0" w:line="244" w:lineRule="auto"/>
        <w:tabs>
          <w:tab w:leader="none" w:pos="17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Agreement is further amended by deleting all references to the “[***]” and the “[***]”, including any and all terms and conditions in the License Agreement pertaining to such references (including without limitation Sections 2.5, 2.6 and 6.2 of the License Agreement).</w:t>
      </w:r>
    </w:p>
    <w:p>
      <w:pPr>
        <w:spacing w:after="0" w:line="173"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the terms and conditions of the License Agreement shall, unless the context expressly requires otherwise, shall be interpreted to account for the termination of the [***] and the [***].</w:t>
      </w:r>
    </w:p>
    <w:p>
      <w:pPr>
        <w:spacing w:after="0" w:line="158" w:lineRule="exact"/>
        <w:rPr>
          <w:sz w:val="20"/>
          <w:szCs w:val="20"/>
          <w:color w:val="auto"/>
        </w:rPr>
      </w:pPr>
    </w:p>
    <w:p>
      <w:pPr>
        <w:jc w:val="both"/>
        <w:ind w:left="880" w:hanging="872"/>
        <w:spacing w:after="0" w:line="238" w:lineRule="auto"/>
        <w:tabs>
          <w:tab w:leader="none" w:pos="8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This Third Amendment was prepared in the English language, which language shall govern the interpretation of, and any dispute regarding, the terms of this Third Amendment. This Third Amendment and all disputes arising out of or related to this Third Amendment or any breach hereof shall be governed by and construed under the laws of the State of Delaware, USA, without giving effect to any choice of law principles that would require the application of the laws of a different jurisdiction.</w:t>
      </w:r>
    </w:p>
    <w:p>
      <w:pPr>
        <w:spacing w:after="0" w:line="177" w:lineRule="exact"/>
        <w:rPr>
          <w:rFonts w:ascii="Times New Roman" w:cs="Times New Roman" w:eastAsia="Times New Roman" w:hAnsi="Times New Roman"/>
          <w:sz w:val="22"/>
          <w:szCs w:val="22"/>
          <w:color w:val="auto"/>
        </w:rPr>
      </w:pPr>
    </w:p>
    <w:p>
      <w:pPr>
        <w:jc w:val="both"/>
        <w:ind w:left="880" w:right="20" w:hanging="872"/>
        <w:spacing w:after="0" w:line="244" w:lineRule="auto"/>
        <w:tabs>
          <w:tab w:leader="none" w:pos="8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Conflicts</w:t>
      </w:r>
      <w:r>
        <w:rPr>
          <w:rFonts w:ascii="Times New Roman" w:cs="Times New Roman" w:eastAsia="Times New Roman" w:hAnsi="Times New Roman"/>
          <w:sz w:val="22"/>
          <w:szCs w:val="22"/>
          <w:color w:val="auto"/>
        </w:rPr>
        <w:t>. Where there is any conflict between the terms of this Third Amendment and the terms of the Merger Agreement, the License Agreement or any other agreement between the Parties (or their respective Affiliates), the terms of this Third Amendment shall prevail.</w:t>
      </w:r>
    </w:p>
    <w:p>
      <w:pPr>
        <w:spacing w:after="0" w:line="173" w:lineRule="exact"/>
        <w:rPr>
          <w:rFonts w:ascii="Times New Roman" w:cs="Times New Roman" w:eastAsia="Times New Roman" w:hAnsi="Times New Roman"/>
          <w:sz w:val="22"/>
          <w:szCs w:val="22"/>
          <w:color w:val="auto"/>
        </w:rPr>
      </w:pPr>
    </w:p>
    <w:p>
      <w:pPr>
        <w:ind w:left="880" w:hanging="872"/>
        <w:spacing w:after="0" w:line="258" w:lineRule="auto"/>
        <w:tabs>
          <w:tab w:leader="none" w:pos="8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expressly set forth in this Third Amendment, all other terms of the Merger Agreement and the License Agreement shall apply and remain in full force and effect.</w:t>
      </w:r>
    </w:p>
    <w:p>
      <w:pPr>
        <w:spacing w:after="0" w:line="158" w:lineRule="exact"/>
        <w:rPr>
          <w:rFonts w:ascii="Times New Roman" w:cs="Times New Roman" w:eastAsia="Times New Roman" w:hAnsi="Times New Roman"/>
          <w:sz w:val="22"/>
          <w:szCs w:val="22"/>
          <w:color w:val="auto"/>
        </w:rPr>
      </w:pPr>
    </w:p>
    <w:p>
      <w:pPr>
        <w:jc w:val="both"/>
        <w:ind w:left="880" w:hanging="872"/>
        <w:spacing w:after="0" w:line="238" w:lineRule="auto"/>
        <w:tabs>
          <w:tab w:leader="none" w:pos="8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Third Amendment may be executed in one (1) or more counterparts, by original, facsimile or PDF signature, each of which shall be deemed an original, but all of which together shall constitute one and the same instrument. Signatures to this Third Amendment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11"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16" w:lineRule="exact"/>
        <w:rPr>
          <w:sz w:val="20"/>
          <w:szCs w:val="20"/>
          <w:color w:val="auto"/>
        </w:rPr>
      </w:pPr>
    </w:p>
    <w:p>
      <w:pPr>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Third Amendment by their duly authorized officers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Amendment Effective Date.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ABBVIE S.</w:t>
            </w:r>
            <w:r>
              <w:rPr>
                <w:rFonts w:ascii="Arial" w:cs="Arial" w:eastAsia="Arial" w:hAnsi="Arial"/>
                <w:sz w:val="22"/>
                <w:szCs w:val="22"/>
                <w:color w:val="auto"/>
                <w:highlight w:val="black"/>
              </w:rPr>
              <w:t>Ȧ</w:t>
            </w:r>
            <w:r>
              <w:rPr>
                <w:rFonts w:ascii="Times New Roman" w:cs="Times New Roman" w:eastAsia="Times New Roman" w:hAnsi="Times New Roman"/>
                <w:sz w:val="22"/>
                <w:szCs w:val="22"/>
                <w:b w:val="1"/>
                <w:bCs w:val="1"/>
                <w:color w:val="auto"/>
                <w:highlight w:val="black"/>
              </w:rPr>
              <w:t>.R.L.</w:t>
            </w:r>
          </w:p>
        </w:tc>
        <w:tc>
          <w:tcPr>
            <w:tcW w:w="6280" w:type="dxa"/>
            <w:vAlign w:val="bottom"/>
            <w:gridSpan w:val="2"/>
          </w:tcPr>
          <w:p>
            <w:pPr>
              <w:ind w:left="440"/>
              <w:spacing w:after="0"/>
              <w:rPr>
                <w:sz w:val="20"/>
                <w:szCs w:val="20"/>
                <w:color w:val="auto"/>
              </w:rPr>
            </w:pPr>
            <w:r>
              <w:rPr>
                <w:rFonts w:ascii="Times New Roman" w:cs="Times New Roman" w:eastAsia="Times New Roman" w:hAnsi="Times New Roman"/>
                <w:sz w:val="22"/>
                <w:szCs w:val="22"/>
                <w:b w:val="1"/>
                <w:bCs w:val="1"/>
                <w:color w:val="auto"/>
              </w:rPr>
              <w:t>SYNLOGIC OPERATING COMPANY, INC.</w:t>
            </w:r>
          </w:p>
        </w:tc>
      </w:tr>
      <w:tr>
        <w:trPr>
          <w:trHeight w:val="439"/>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/s/ Sophie Morlet</w:t>
            </w:r>
          </w:p>
        </w:tc>
        <w:tc>
          <w:tcPr>
            <w:tcW w:w="13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/s/ Aoife Brennan</w:t>
            </w: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Sophie Morlet</w:t>
            </w:r>
          </w:p>
        </w:tc>
        <w:tc>
          <w:tcPr>
            <w:tcW w:w="1320" w:type="dxa"/>
            <w:vAlign w:val="bottom"/>
          </w:tcPr>
          <w:p>
            <w:pPr>
              <w:ind w:left="44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9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Aoife Brennan</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Category A Manager</w:t>
            </w:r>
          </w:p>
        </w:tc>
        <w:tc>
          <w:tcPr>
            <w:tcW w:w="13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702"/>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IBDCo, INC.</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6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/s/ Aoife Brennan</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Aoife Brennan</w:t>
            </w:r>
          </w:p>
        </w:tc>
        <w:tc>
          <w:tcPr>
            <w:tcW w:w="132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CEO</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ectPr>
          <w:pgSz w:w="11900" w:h="16838" w:orient="portrait"/>
          <w:cols w:equalWidth="0" w:num="1">
            <w:col w:w="11420"/>
          </w:cols>
          <w:pgMar w:left="240" w:top="117" w:right="2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MASTER CONTRACT SERVICES AGREEMENT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MASTER CONTRACT SERVICES AGREEMENT (</w:t>
      </w:r>
      <w:r>
        <w:rPr>
          <w:rFonts w:ascii="Times New Roman" w:cs="Times New Roman" w:eastAsia="Times New Roman" w:hAnsi="Times New Roman"/>
          <w:sz w:val="22"/>
          <w:szCs w:val="22"/>
          <w:color w:val="auto"/>
        </w:rPr>
        <w:t>together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Statement(s) of Work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defined in Section 1),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is made on 08 September, 2018 (the “Effective Date”) by and between Synlogic Operating Company, Inc., having offices at 301 Binney Street, Suite 402, Cambridge, MA 02142 (“Synlogic”) and Azzur Group (d/b/a Azzur of New England LLC), a Pennsylvania Limited Liability Company with an office at 411 Waverley Oaks Rd., #126, Waltham MA 02452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8"/>
        <w:spacing w:after="0" w:line="235" w:lineRule="auto"/>
        <w:tabs>
          <w:tab w:leader="none" w:pos="81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 Structure</w:t>
      </w:r>
      <w:r>
        <w:rPr>
          <w:rFonts w:ascii="Times New Roman" w:cs="Times New Roman" w:eastAsia="Times New Roman" w:hAnsi="Times New Roman"/>
          <w:sz w:val="22"/>
          <w:szCs w:val="22"/>
          <w:color w:val="auto"/>
        </w:rPr>
        <w:t>. From time to time, Synlogic may want Service Provider to provide certain services</w:t>
      </w:r>
      <w:r>
        <w:rPr>
          <w:rFonts w:ascii="Times New Roman" w:cs="Times New Roman" w:eastAsia="Times New Roman" w:hAnsi="Times New Roman"/>
          <w:sz w:val="22"/>
          <w:szCs w:val="22"/>
          <w:b w:val="1"/>
          <w:bCs w:val="1"/>
          <w:color w:val="auto"/>
        </w:rPr>
        <w:t xml:space="preserve"> (“Services”</w:t>
      </w:r>
      <w:r>
        <w:rPr>
          <w:rFonts w:ascii="Times New Roman" w:cs="Times New Roman" w:eastAsia="Times New Roman" w:hAnsi="Times New Roman"/>
          <w:sz w:val="22"/>
          <w:szCs w:val="22"/>
          <w:color w:val="auto"/>
        </w:rPr>
        <w:t>). This Agreement contains general terms and conditions under which Synlogic would engage Service Provider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which Service Provider would provide Services. Synlogic and Service Provider must complete and execute a work order, project order or statement of work referencing this Agreement (each, a </w:t>
      </w:r>
      <w:r>
        <w:rPr>
          <w:rFonts w:ascii="Times New Roman" w:cs="Times New Roman" w:eastAsia="Times New Roman" w:hAnsi="Times New Roman"/>
          <w:sz w:val="22"/>
          <w:szCs w:val="22"/>
          <w:b w:val="1"/>
          <w:bCs w:val="1"/>
          <w:color w:val="auto"/>
        </w:rPr>
        <w:t>“Statement of Work”</w:t>
      </w:r>
      <w:r>
        <w:rPr>
          <w:rFonts w:ascii="Times New Roman" w:cs="Times New Roman" w:eastAsia="Times New Roman" w:hAnsi="Times New Roman"/>
          <w:sz w:val="22"/>
          <w:szCs w:val="22"/>
          <w:color w:val="auto"/>
        </w:rPr>
        <w:t xml:space="preserve">) before any Services are provided. Each Statement of Work will include, at a minimum, the information relating to the specific Services outlined in the sample Statement of Work attached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Neither Synlogic nor Service Provider is obligated to execute any Statement of Work. Once executed, each Statement of Work becomes part of this Agreement, although the terms in a Statement of Work will apply only to Services described in that Statement of Work. A Statement of Work may not change any term in this Agreement.</w:t>
      </w:r>
    </w:p>
    <w:p>
      <w:pPr>
        <w:spacing w:after="0" w:line="179"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About Services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Provision of Services</w:t>
      </w:r>
      <w:r>
        <w:rPr>
          <w:rFonts w:ascii="Times New Roman" w:cs="Times New Roman" w:eastAsia="Times New Roman" w:hAnsi="Times New Roman"/>
          <w:sz w:val="22"/>
          <w:szCs w:val="22"/>
          <w:color w:val="auto"/>
        </w:rPr>
        <w:t xml:space="preserve">. Service Provider agrees to provide all Services identified in any Statement of Work: (a) within the time period specified in the relevant Statement of Work; and (b) in accordance with the highest prevailing industry standards and practices for the performance of similar services. For each Statement of Work, Service Provider will designate a </w:t>
      </w:r>
      <w:r>
        <w:rPr>
          <w:rFonts w:ascii="Times New Roman" w:cs="Times New Roman" w:eastAsia="Times New Roman" w:hAnsi="Times New Roman"/>
          <w:sz w:val="22"/>
          <w:szCs w:val="22"/>
          <w:b w:val="1"/>
          <w:bCs w:val="1"/>
          <w:color w:val="auto"/>
        </w:rPr>
        <w:t xml:space="preserve">“Project Leader” </w:t>
      </w:r>
      <w:r>
        <w:rPr>
          <w:rFonts w:ascii="Times New Roman" w:cs="Times New Roman" w:eastAsia="Times New Roman" w:hAnsi="Times New Roman"/>
          <w:sz w:val="22"/>
          <w:szCs w:val="22"/>
          <w:color w:val="auto"/>
        </w:rPr>
        <w:t>who will be available for frequent communications with Synlogic regarding Services provided under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Statement of Work, as well as contacts for administrative and payment matters for those Services. Synlogic will designate a </w:t>
      </w:r>
      <w:r>
        <w:rPr>
          <w:rFonts w:ascii="Times New Roman" w:cs="Times New Roman" w:eastAsia="Times New Roman" w:hAnsi="Times New Roman"/>
          <w:sz w:val="22"/>
          <w:szCs w:val="22"/>
          <w:b w:val="1"/>
          <w:bCs w:val="1"/>
          <w:color w:val="auto"/>
        </w:rPr>
        <w:t xml:space="preserve">“Synlogic Representative” </w:t>
      </w:r>
      <w:r>
        <w:rPr>
          <w:rFonts w:ascii="Times New Roman" w:cs="Times New Roman" w:eastAsia="Times New Roman" w:hAnsi="Times New Roman"/>
          <w:sz w:val="22"/>
          <w:szCs w:val="22"/>
          <w:color w:val="auto"/>
        </w:rPr>
        <w:t>who will be the point of contact for the Project Leader.</w:t>
      </w:r>
    </w:p>
    <w:p>
      <w:pPr>
        <w:spacing w:after="0" w:line="182"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Change Orders</w:t>
      </w:r>
      <w:r>
        <w:rPr>
          <w:rFonts w:ascii="Times New Roman" w:cs="Times New Roman" w:eastAsia="Times New Roman" w:hAnsi="Times New Roman"/>
          <w:sz w:val="22"/>
          <w:szCs w:val="22"/>
          <w:color w:val="auto"/>
        </w:rPr>
        <w:t xml:space="preserve">. If either party identifies a need to modify a Statement of Work, the identifying party will notify the other party in writing as soon as reasonably possible. Service Provider will use reasonable efforts to provide to Synlogic within [***] after receiving or providing the notice described above a written change order containing a description of the required modifications and their effect on the scope, fees and timelines specified in the Statement of Work (each, a </w:t>
      </w:r>
      <w:r>
        <w:rPr>
          <w:rFonts w:ascii="Times New Roman" w:cs="Times New Roman" w:eastAsia="Times New Roman" w:hAnsi="Times New Roman"/>
          <w:sz w:val="22"/>
          <w:szCs w:val="22"/>
          <w:b w:val="1"/>
          <w:bCs w:val="1"/>
          <w:color w:val="auto"/>
        </w:rPr>
        <w:t>“Change Order”</w:t>
      </w:r>
      <w:r>
        <w:rPr>
          <w:rFonts w:ascii="Times New Roman" w:cs="Times New Roman" w:eastAsia="Times New Roman" w:hAnsi="Times New Roman"/>
          <w:sz w:val="22"/>
          <w:szCs w:val="22"/>
          <w:color w:val="auto"/>
        </w:rPr>
        <w:t>). No Change Order will be effective unless and until it has been signed by an authorized representative of each party. If Synlogic does not approve a Change Order and has not terminated the Statement of Work, but still desires that the Statement of Work be modified, then the parties will use reasonable good faith efforts to agree on a Change Order that is mutually acceptable. Service Provider will continue to work under the existing Statement of Work during any such negotiations, to the extent such efforts are practicable and would facilitate the completion of the work envisioned in the Statement of Work, but will not commence work in accordance with the Change Order until it is authorized in writing by Synlogic.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23" w:lineRule="exact"/>
        <w:rPr>
          <w:sz w:val="20"/>
          <w:szCs w:val="20"/>
          <w:color w:val="auto"/>
        </w:rPr>
      </w:pP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Subcontracting</w:t>
      </w:r>
      <w:r>
        <w:rPr>
          <w:rFonts w:ascii="Times New Roman" w:cs="Times New Roman" w:eastAsia="Times New Roman" w:hAnsi="Times New Roman"/>
          <w:sz w:val="22"/>
          <w:szCs w:val="22"/>
          <w:color w:val="auto"/>
        </w:rPr>
        <w:t xml:space="preserve">. With Synlogic’s prior written consent, Service Provider may subcontract the performance of specific obligations of Service Provider under a Statement of Work to an Affiliate (as defined below in this Section 2.3) of Service Provider or to a qualified non-Affiliate third party including consultants;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Affiliate or third party performs those Services in a manner consistent with the terms and conditions of this Agreement; and (b) Service Provider remains liable for the performance of such Affiliate or third party.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means, with respect to either Synlogic or Service Provider, any corporation, company, partnership, joint venture and/or firm which controls, is controlled by or is under common control with Synlogic or Service Provider, as applicable. As used in this Section 2.3,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xml:space="preserve"> means (i) in the case of corporate entities, direct or indirect ownership of more than fifty percent (50%) of the stock or shares having the right to vote for the election of directors (or such lesser percentage that is the maximum allowed to be owned by a foreign corporation in a particular jurisdiction); and (ii) in the case of non-corporate entities, the direct or indirect power to manage, direct or cause the direction of the management and policies of the non-corporate entity or the power to elect more than fifty percent (50%) of the members of the governing body of such non-corporate entity.</w:t>
      </w:r>
    </w:p>
    <w:p>
      <w:pPr>
        <w:spacing w:after="0" w:line="186"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Regulatory Contacts</w:t>
      </w:r>
      <w:r>
        <w:rPr>
          <w:rFonts w:ascii="Times New Roman" w:cs="Times New Roman" w:eastAsia="Times New Roman" w:hAnsi="Times New Roman"/>
          <w:sz w:val="21"/>
          <w:szCs w:val="21"/>
          <w:color w:val="auto"/>
        </w:rPr>
        <w:t>. Synlogic will be solely responsible for all contacts and communications (including submissions of information) with any regulatory authorities with respect to matters relating to Services. Unless required by applicable law, Service Provider will have no contact or communication with any regulatory authority regarding Services without the prior written consent of Synlogic, which consent will not be unreasonably withheld. Service Provider will notify Synlogic promptly, and in no event later than one (1) business day, after Service Provider receives any contact or communication from any regulatory authority relating in any way to Services and will provide Synlogic with a summary of such contact and copies of any such communication within one (1) business day after Service Provider’s receipt of such contact or communication. Unless prohibited by applicable law, Service Provider will consult with Synlogic regarding the response to any inquiry or observation from any regulatory authority relating in any way to Services and will allow Synlogic at its discretion to control and/or participate in any further contacts or communications relating to Services. Service Provider will comply with all reasonable requests and comments by Synlogic with respect to all contacts and communications with any regulatory authority relating in any way to Services.</w:t>
      </w:r>
    </w:p>
    <w:p>
      <w:pPr>
        <w:spacing w:after="0" w:line="17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Key Service Provider Personnel</w:t>
      </w:r>
      <w:r>
        <w:rPr>
          <w:rFonts w:ascii="Times New Roman" w:cs="Times New Roman" w:eastAsia="Times New Roman" w:hAnsi="Times New Roman"/>
          <w:sz w:val="22"/>
          <w:szCs w:val="22"/>
          <w:color w:val="auto"/>
        </w:rPr>
        <w:t xml:space="preserve">. All Service Provider Personnel (as defined in Section 3.4) identified in a Statement of Work as </w:t>
      </w:r>
      <w:r>
        <w:rPr>
          <w:rFonts w:ascii="Times New Roman" w:cs="Times New Roman" w:eastAsia="Times New Roman" w:hAnsi="Times New Roman"/>
          <w:sz w:val="22"/>
          <w:szCs w:val="22"/>
          <w:b w:val="1"/>
          <w:bCs w:val="1"/>
          <w:color w:val="auto"/>
        </w:rPr>
        <w:t>“Key Service Provider Personnel”</w:t>
      </w:r>
      <w:r>
        <w:rPr>
          <w:rFonts w:ascii="Times New Roman" w:cs="Times New Roman" w:eastAsia="Times New Roman" w:hAnsi="Times New Roman"/>
          <w:sz w:val="22"/>
          <w:szCs w:val="22"/>
          <w:color w:val="auto"/>
        </w:rPr>
        <w:t xml:space="preserve"> will remain assigned to perform Services covered by the applicable Statement of Work as long as such individuals remain employed by or under contract with Service Provider, unless (a) an individual is unavailable for reasons of disability, illness or promotion; or (b) Synlogic has requested the replacement of any individual who is not performing to Synlogic’s reasonable satisfaction. Service Provider will cooperate with Synlogic in periodically reviewing the performance of the Key Service Provider Personnel and will promptly remedy any concerns to Synlogic’s reasonable satisfaction. Service Provider will promptly select a qualified replacement should any Key Service Provider Personnel resign or become otherwise unavailable as specified above or if Synlogic requests the replacement of any such Key Service Provider Personnel. Synlogic will have the right to approve any such replacement, which approval will not be unreasonably withheld.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ind w:left="820" w:hanging="812"/>
        <w:spacing w:after="0"/>
        <w:tabs>
          <w:tab w:leader="none" w:pos="8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Service Provider</w:t>
      </w:r>
      <w:r>
        <w:rPr>
          <w:rFonts w:ascii="Times New Roman" w:cs="Times New Roman" w:eastAsia="Times New Roman" w:hAnsi="Times New Roman"/>
          <w:sz w:val="22"/>
          <w:szCs w:val="22"/>
          <w:color w:val="auto"/>
        </w:rPr>
        <w:t>. Service Provider represents and warrants as follows:</w:t>
      </w:r>
    </w:p>
    <w:p>
      <w:pPr>
        <w:spacing w:after="0" w:line="210"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Organization of Service Provider</w:t>
      </w:r>
      <w:r>
        <w:rPr>
          <w:rFonts w:ascii="Times New Roman" w:cs="Times New Roman" w:eastAsia="Times New Roman" w:hAnsi="Times New Roman"/>
          <w:sz w:val="22"/>
          <w:szCs w:val="22"/>
          <w:color w:val="auto"/>
        </w:rPr>
        <w:t>. Service Provider is and will remain a corporation or company duly organized, validly existing and in good standing under the laws of its jurisdiction of organization.</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Enforceability of this Agreement</w:t>
      </w:r>
      <w:r>
        <w:rPr>
          <w:rFonts w:ascii="Times New Roman" w:cs="Times New Roman" w:eastAsia="Times New Roman" w:hAnsi="Times New Roman"/>
          <w:sz w:val="22"/>
          <w:szCs w:val="22"/>
          <w:color w:val="auto"/>
        </w:rPr>
        <w:t>. The execution and delivery of this Agreement by Service Provider has been authorized by all requisite corporate or company action. This Agreement is and will remain a valid and binding obligation of Service Provider, enforceable in accordance with its terms, subject to laws of general application relating to bankruptcy, insolvency and the relief of debtors.</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Absence of Other Contractual Restrictions</w:t>
      </w:r>
      <w:r>
        <w:rPr>
          <w:rFonts w:ascii="Times New Roman" w:cs="Times New Roman" w:eastAsia="Times New Roman" w:hAnsi="Times New Roman"/>
          <w:sz w:val="22"/>
          <w:szCs w:val="22"/>
          <w:color w:val="auto"/>
        </w:rPr>
        <w:t>. Service Provider is under no contractual or other obligation or restriction that is inconsistent with Service Provider’s execution or performance of this Agreement. Service Provider will not enter into any agreement, either written or oral, that would conflict with Service Provider’s responsibilities under this Agreement.</w:t>
      </w:r>
    </w:p>
    <w:p>
      <w:pPr>
        <w:spacing w:after="0" w:line="17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Qualifications of Service Provider Personnel</w:t>
      </w:r>
      <w:r>
        <w:rPr>
          <w:rFonts w:ascii="Times New Roman" w:cs="Times New Roman" w:eastAsia="Times New Roman" w:hAnsi="Times New Roman"/>
          <w:sz w:val="22"/>
          <w:szCs w:val="22"/>
          <w:color w:val="auto"/>
        </w:rPr>
        <w:t xml:space="preserve">. Service Provider has engaged, will engage and will cause its Affiliates involved in rendering Services to engage, employees and permitted subcontractors including consultants (collectively, </w:t>
      </w:r>
      <w:r>
        <w:rPr>
          <w:rFonts w:ascii="Times New Roman" w:cs="Times New Roman" w:eastAsia="Times New Roman" w:hAnsi="Times New Roman"/>
          <w:sz w:val="22"/>
          <w:szCs w:val="22"/>
          <w:b w:val="1"/>
          <w:bCs w:val="1"/>
          <w:color w:val="auto"/>
        </w:rPr>
        <w:t>“Service Provider Personnel”</w:t>
      </w:r>
      <w:r>
        <w:rPr>
          <w:rFonts w:ascii="Times New Roman" w:cs="Times New Roman" w:eastAsia="Times New Roman" w:hAnsi="Times New Roman"/>
          <w:sz w:val="22"/>
          <w:szCs w:val="22"/>
          <w:color w:val="auto"/>
        </w:rPr>
        <w:t>) with the proper skill, training, availability and experience to provide Services. Before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all Service Provider Personnel must be subject to binding written agreements with Service Provider under which they (a) have confidentiality obligations with regard to Synlogic’s Confidential Information (as defined in Section 6) that are consistent with the terms of this Agreement; and (b) assign and effectively vest in Service Provider any and all rights that such personnel might have in the results of their work without any obligation of Synlogic to pay any royalties or other consideration to such Service Provider Personnel.</w:t>
      </w:r>
    </w:p>
    <w:p>
      <w:pPr>
        <w:spacing w:after="0" w:line="179"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Service Provider will perform all Services with requisite care, skill and diligence, in accordance with all applicable laws, rules, regulations, orders and industry standards. Without limiting Service Provider’s obligation to comply with all applicable laws and regulations in providing Services, Service Provider agrees to comply with the United States Foreign Corrupt Practices Act, as amended from time to time, and the OECD Anti-Bribery Convention with regard to Services including not offering or giving anything of value to a foreign public official in connection with the performance of the official’s duties or inducing an official to use their position to influence any acts or decisions of any foreign, state or public international organization. If specified in a Statement of Work, Services will be rendered in accordance with applicable Good Laboratory Practices (GLP). If Services under a Statement of Work involve animal research, no animals used by Service Provider in any tests will be used for food purposes and all animals will be disposed of in accordance with applicable laws and regulations. In addition, Service Provider will comply with all Synlogic policies and procedures that have been communicated to Service Provider regarding access to and permitted conduct at Synlogic’s or its Affiliate’s premises.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Conflicts with Rights of Third Parties</w:t>
      </w:r>
      <w:r>
        <w:rPr>
          <w:rFonts w:ascii="Times New Roman" w:cs="Times New Roman" w:eastAsia="Times New Roman" w:hAnsi="Times New Roman"/>
          <w:sz w:val="22"/>
          <w:szCs w:val="22"/>
          <w:color w:val="auto"/>
        </w:rPr>
        <w:t>. The conduct and provision of Services will not violate any patent, trade secret or other proprietary or intellectual property right of any third party.</w:t>
      </w:r>
    </w:p>
    <w:p>
      <w:pPr>
        <w:spacing w:after="0" w:line="15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Absence of Debarment</w:t>
      </w:r>
      <w:r>
        <w:rPr>
          <w:rFonts w:ascii="Times New Roman" w:cs="Times New Roman" w:eastAsia="Times New Roman" w:hAnsi="Times New Roman"/>
          <w:sz w:val="22"/>
          <w:szCs w:val="22"/>
          <w:color w:val="auto"/>
        </w:rPr>
        <w:t>. Service Provider, its Affiliates, Service Provider Personnel and each of their respective officers and directors, as applicable: (a) have not been debarred and are not subject to a pending debarment, and will not use in any capacity in connection with Services any person who has been debarred or is subject to a pending debarment, pursuant to section 306 of the United States Food, Drug and Cosmetic Act, 21 U.S.C. § 335a; (b) are not ineligible to participate in any federal and/or state healthcare programs or federal procurement or non-procurement programs (as that term is defined in 42 U.S.C. § 1320a-7b(f)); (c) are not disqualified by any government or regulatory authorities from performing specific services, and are not subject to a pending disqualification proceeding; and (d) have not been convicted of a criminal offense related to the provision of healthcare items or services and are not subject to any such pending action. Service Provider will notify Synlogic immediately if Service Provider, its Affiliates, any Service Provider Personnel, or any of their respective officers or directors, as applicable, is subject to the foregoing, or if any action, suit, claim, investigation, or proceeding relating to the foregoing is pending, or to the best of Service Provider’s knowledge, is threatened.</w:t>
      </w:r>
    </w:p>
    <w:p>
      <w:pPr>
        <w:spacing w:after="0" w:line="173" w:lineRule="exact"/>
        <w:rPr>
          <w:sz w:val="20"/>
          <w:szCs w:val="20"/>
          <w:color w:val="auto"/>
        </w:rPr>
      </w:pPr>
    </w:p>
    <w:p>
      <w:pPr>
        <w:jc w:val="both"/>
        <w:ind w:firstLine="8"/>
        <w:spacing w:after="0" w:line="237" w:lineRule="auto"/>
        <w:tabs>
          <w:tab w:leader="none" w:pos="81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As full consideration for Services, Synlogic will pay Service Provider the amounts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Statement of Work in accordance with the payment schedule set forth in such Statement of Work. Synlogic will have no obligation to pay for any Services (including expenses) that are not set forth in a signed Statement of Work, as amended by any Change Order that is signed or approved (as set forth in Section 2.2). Service Provider will invoice Synlogic for all amounts due in United States Dollars. All undisputed payments will be made by Synlogic within [***] after its receipt of an invoice and reasonable supporting documentation for such invoice.</w:t>
      </w:r>
    </w:p>
    <w:p>
      <w:pPr>
        <w:spacing w:after="0" w:line="175"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Proprietary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xml:space="preserve">. All documentation, information, and biological, chemical or other materials controlled by Synlogic and furnished to Service Provider by or on behalf of Synlogic (collectively, with all associated intellectual property rights, the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will remain the exclusive property of Synlogic. Service Provider will use Materials only as necessary to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Service Provider will not analyze Materials except as necessary to perform Services and will not transfer or make the Materials available to third parties without the prior written consent of Synlogic.</w:t>
      </w:r>
    </w:p>
    <w:p>
      <w:pPr>
        <w:spacing w:after="0" w:line="17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Deliverables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80" w:firstLine="816"/>
        <w:spacing w:after="0" w:line="239" w:lineRule="auto"/>
        <w:tabs>
          <w:tab w:leader="none" w:pos="25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Synlogic will own all rights throughout the world to all inventions, discoveries, improvements, ideas, processes, formulations, products, computer programs, works of authorship, databases, trade secrets, know-how, information, data, documentation, reports, research, creations and all other products and/or materials arising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00" w:lineRule="exact"/>
        <w:rPr>
          <w:sz w:val="20"/>
          <w:szCs w:val="20"/>
          <w:color w:val="auto"/>
        </w:rPr>
      </w:pPr>
    </w:p>
    <w:p>
      <w:pPr>
        <w:spacing w:after="0" w:line="250" w:lineRule="exact"/>
        <w:rPr>
          <w:sz w:val="20"/>
          <w:szCs w:val="20"/>
          <w:color w:val="auto"/>
        </w:rPr>
      </w:pPr>
    </w:p>
    <w:p>
      <w:pPr>
        <w:jc w:val="both"/>
        <w:ind w:left="880"/>
        <w:spacing w:after="0" w:line="238" w:lineRule="auto"/>
        <w:rPr>
          <w:sz w:val="20"/>
          <w:szCs w:val="20"/>
          <w:color w:val="auto"/>
        </w:rPr>
      </w:pPr>
      <w:r>
        <w:rPr>
          <w:rFonts w:ascii="Times New Roman" w:cs="Times New Roman" w:eastAsia="Times New Roman" w:hAnsi="Times New Roman"/>
          <w:sz w:val="22"/>
          <w:szCs w:val="22"/>
          <w:color w:val="auto"/>
        </w:rPr>
        <w:t xml:space="preserve">from or made in the performance of Services (whether or not patentable or subject to copyright or trade secret protection) (collectively, with all associated intellectual property rights, the </w:t>
      </w:r>
      <w:r>
        <w:rPr>
          <w:rFonts w:ascii="Times New Roman" w:cs="Times New Roman" w:eastAsia="Times New Roman" w:hAnsi="Times New Roman"/>
          <w:sz w:val="22"/>
          <w:szCs w:val="22"/>
          <w:b w:val="1"/>
          <w:bCs w:val="1"/>
          <w:color w:val="auto"/>
        </w:rPr>
        <w:t>“Deliverables”</w:t>
      </w:r>
      <w:r>
        <w:rPr>
          <w:rFonts w:ascii="Times New Roman" w:cs="Times New Roman" w:eastAsia="Times New Roman" w:hAnsi="Times New Roman"/>
          <w:sz w:val="22"/>
          <w:szCs w:val="22"/>
          <w:color w:val="auto"/>
        </w:rPr>
        <w:t>). Service Provider will assign and does assign to Synlogic all right, title and interest in and to all Deliverables and will promptly disclose to Synlogic all Deliverables. For purposes of the copyright laws of the United States, Deliverables constitute “works made for hire,” except to the extent such Deliverables cannot by law be “works made for hire”.</w:t>
      </w:r>
    </w:p>
    <w:p>
      <w:pPr>
        <w:spacing w:after="0" w:line="177" w:lineRule="exact"/>
        <w:rPr>
          <w:sz w:val="20"/>
          <w:szCs w:val="20"/>
          <w:color w:val="auto"/>
        </w:rPr>
      </w:pPr>
    </w:p>
    <w:p>
      <w:pPr>
        <w:jc w:val="both"/>
        <w:ind w:left="880" w:firstLine="816"/>
        <w:spacing w:after="0" w:line="235" w:lineRule="auto"/>
        <w:tabs>
          <w:tab w:leader="none" w:pos="259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and after the term, Service Provider will, and will cause its Affiliates and Service Provider Personnel to, (i) cooperate fully in obtaining patent and other proprietary protection for any patentable or protectable Deliverables, all in the name of Synlogic and at Synlogic’s cost and expense; and (ii) execute and deliver all requested applications, assignments and other documents, and take such other measures as Synlogic reasonably requests, in order to perfect and enforce Synlogic’s rights in the Deliverables. Service Provider appoints Synlogic its attorney to execute and deliver any such documents on behalf of Service Provider, its Affiliates, and Service Provider Personnel in the event Service Provider, its Affiliates, or Service Provider Personnel fail to do so.</w:t>
      </w:r>
    </w:p>
    <w:p>
      <w:pPr>
        <w:spacing w:after="0" w:line="183"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57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Provider Property</w:t>
      </w:r>
      <w:r>
        <w:rPr>
          <w:rFonts w:ascii="Times New Roman" w:cs="Times New Roman" w:eastAsia="Times New Roman" w:hAnsi="Times New Roman"/>
          <w:sz w:val="22"/>
          <w:szCs w:val="22"/>
          <w:color w:val="auto"/>
        </w:rPr>
        <w:t xml:space="preserve">. Notwithstanding the foregoing, Service Provider will retain full ownership rights in and to all templates, programs, methodologies, processes, technologies and other materials developed or licensed by Service Provider and its Affiliates prior to or apart from performing its obligations under this Agreement (collectively, with all associated intellectual property rights, the </w:t>
      </w:r>
      <w:r>
        <w:rPr>
          <w:rFonts w:ascii="Times New Roman" w:cs="Times New Roman" w:eastAsia="Times New Roman" w:hAnsi="Times New Roman"/>
          <w:sz w:val="22"/>
          <w:szCs w:val="22"/>
          <w:b w:val="1"/>
          <w:bCs w:val="1"/>
          <w:color w:val="auto"/>
        </w:rPr>
        <w:t>“Service Provider Property”</w:t>
      </w:r>
      <w:r>
        <w:rPr>
          <w:rFonts w:ascii="Times New Roman" w:cs="Times New Roman" w:eastAsia="Times New Roman" w:hAnsi="Times New Roman"/>
          <w:sz w:val="22"/>
          <w:szCs w:val="22"/>
          <w:color w:val="auto"/>
        </w:rPr>
        <w:t>), regardless of whether such Service Provider Property is used in connection with Service Provider’s performance of its obligations under this Agreement. Service Provider will grant and does grant to Synlogic and its Affiliates a perpetual, non-exclusive, fully paid-up worldwide, sublicensable license to use Service Provider Property as required for Synlogic and its Affiliates to use the Deliverables.</w:t>
      </w:r>
    </w:p>
    <w:p>
      <w:pPr>
        <w:spacing w:after="0" w:line="179"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Work at Third Party Facilities</w:t>
      </w:r>
      <w:r>
        <w:rPr>
          <w:rFonts w:ascii="Times New Roman" w:cs="Times New Roman" w:eastAsia="Times New Roman" w:hAnsi="Times New Roman"/>
          <w:sz w:val="22"/>
          <w:szCs w:val="22"/>
          <w:color w:val="auto"/>
        </w:rPr>
        <w:t>. Service Provider agrees not to accept or use any funds, space, personnel, facilities, equipment or other resources of a third party in performing Services or take any other action that could result in a third party owning or having a right in any Deliverables.</w:t>
      </w:r>
    </w:p>
    <w:p>
      <w:pPr>
        <w:spacing w:after="0" w:line="17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Records; Records Storage</w:t>
      </w:r>
      <w:r>
        <w:rPr>
          <w:rFonts w:ascii="Times New Roman" w:cs="Times New Roman" w:eastAsia="Times New Roman" w:hAnsi="Times New Roman"/>
          <w:sz w:val="22"/>
          <w:szCs w:val="22"/>
          <w:color w:val="auto"/>
        </w:rPr>
        <w:t xml:space="preserve">. Service Provider will maintain all materials, data and documentation obtained or generated by Service Provider in the course of preparing for and providing Services, including computerized records and files (collectively, the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in a secure area reasonably protected from fire, theft and destruction. All Records, other than financial records of Service Provider, will be the property of Synlogic. Service Provider will not transfer, deliver or otherwise provide any Records to any party other than Synlogic or its Affiliates, without the prior written approval of Synlogic.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Record Retention</w:t>
      </w:r>
      <w:r>
        <w:rPr>
          <w:rFonts w:ascii="Times New Roman" w:cs="Times New Roman" w:eastAsia="Times New Roman" w:hAnsi="Times New Roman"/>
          <w:sz w:val="22"/>
          <w:szCs w:val="22"/>
          <w:color w:val="auto"/>
        </w:rPr>
        <w:t>. All Records will be retained by Service Provider for a minimum period of three (3) years following completion of the applicable Statement of Work, or longer if required by applicable law or regulation. Service Provider will, at the direction and written request of Synlogic, promptly deliver Records to Synlogic or its designee, or dispose of the Records, unless the Records are required to be retained by Service Provider by applicable law or regulation or for insurance purposes. In no event will Service Provider dispose of any Records without first giving Synlogic sixty (60) days’ prior written notice of its intent to do so.</w:t>
      </w:r>
    </w:p>
    <w:p>
      <w:pPr>
        <w:spacing w:after="0" w:line="182"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Restrictions on Use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580" w:hanging="884"/>
        <w:spacing w:after="0"/>
        <w:tabs>
          <w:tab w:leader="none" w:pos="25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apply for the purposes of this Section 5.6:</w:t>
      </w:r>
    </w:p>
    <w:p>
      <w:pPr>
        <w:spacing w:after="0" w:line="202" w:lineRule="exact"/>
        <w:rPr>
          <w:rFonts w:ascii="Times New Roman" w:cs="Times New Roman" w:eastAsia="Times New Roman" w:hAnsi="Times New Roman"/>
          <w:sz w:val="22"/>
          <w:szCs w:val="22"/>
          <w:color w:val="auto"/>
        </w:rPr>
      </w:pPr>
    </w:p>
    <w:p>
      <w:pPr>
        <w:ind w:left="1760" w:firstLine="746"/>
        <w:spacing w:after="0" w:line="262" w:lineRule="auto"/>
        <w:tabs>
          <w:tab w:leader="none" w:pos="335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“Original Material” </w:t>
      </w:r>
      <w:r>
        <w:rPr>
          <w:rFonts w:ascii="Times New Roman" w:cs="Times New Roman" w:eastAsia="Times New Roman" w:hAnsi="Times New Roman"/>
          <w:sz w:val="22"/>
          <w:szCs w:val="22"/>
          <w:color w:val="auto"/>
        </w:rPr>
        <w:t>means all [***] or other chemical or biological material supplied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Synlogic to Service Provider to perform the Services.</w:t>
      </w:r>
    </w:p>
    <w:p>
      <w:pPr>
        <w:spacing w:after="0" w:line="149" w:lineRule="exact"/>
        <w:rPr>
          <w:rFonts w:ascii="Times New Roman" w:cs="Times New Roman" w:eastAsia="Times New Roman" w:hAnsi="Times New Roman"/>
          <w:sz w:val="22"/>
          <w:szCs w:val="22"/>
          <w:color w:val="auto"/>
        </w:rPr>
      </w:pPr>
    </w:p>
    <w:p>
      <w:pPr>
        <w:jc w:val="both"/>
        <w:ind w:left="1760" w:firstLine="746"/>
        <w:spacing w:after="0" w:line="246" w:lineRule="auto"/>
        <w:tabs>
          <w:tab w:leader="none" w:pos="341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“Modifications” </w:t>
      </w:r>
      <w:r>
        <w:rPr>
          <w:rFonts w:ascii="Times New Roman" w:cs="Times New Roman" w:eastAsia="Times New Roman" w:hAnsi="Times New Roman"/>
          <w:sz w:val="22"/>
          <w:szCs w:val="22"/>
          <w:color w:val="auto"/>
        </w:rPr>
        <w:t>means any substances created by Service Provider, which alter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Material in any way, produce alternative forms of the Original Material, or contain or incorporate any form of the Original Material (including Original Material, Progeny or Unmodified Derivatives).</w:t>
      </w:r>
    </w:p>
    <w:p>
      <w:pPr>
        <w:spacing w:after="0" w:line="167" w:lineRule="exact"/>
        <w:rPr>
          <w:rFonts w:ascii="Times New Roman" w:cs="Times New Roman" w:eastAsia="Times New Roman" w:hAnsi="Times New Roman"/>
          <w:sz w:val="22"/>
          <w:szCs w:val="22"/>
          <w:color w:val="auto"/>
        </w:rPr>
      </w:pPr>
    </w:p>
    <w:p>
      <w:pPr>
        <w:ind w:left="1760" w:firstLine="746"/>
        <w:spacing w:after="0" w:line="262" w:lineRule="auto"/>
        <w:tabs>
          <w:tab w:leader="none" w:pos="347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“Progeny” </w:t>
      </w:r>
      <w:r>
        <w:rPr>
          <w:rFonts w:ascii="Times New Roman" w:cs="Times New Roman" w:eastAsia="Times New Roman" w:hAnsi="Times New Roman"/>
          <w:sz w:val="22"/>
          <w:szCs w:val="22"/>
          <w:color w:val="auto"/>
        </w:rPr>
        <w:t>means unmodified descendant from the Original Material (for example, virus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virus, cell from cell, or mouse from mouse).</w:t>
      </w:r>
    </w:p>
    <w:p>
      <w:pPr>
        <w:spacing w:after="0" w:line="149" w:lineRule="exact"/>
        <w:rPr>
          <w:rFonts w:ascii="Times New Roman" w:cs="Times New Roman" w:eastAsia="Times New Roman" w:hAnsi="Times New Roman"/>
          <w:sz w:val="22"/>
          <w:szCs w:val="22"/>
          <w:color w:val="auto"/>
        </w:rPr>
      </w:pPr>
    </w:p>
    <w:p>
      <w:pPr>
        <w:jc w:val="both"/>
        <w:ind w:left="1760" w:firstLine="746"/>
        <w:spacing w:after="0" w:line="286" w:lineRule="auto"/>
        <w:tabs>
          <w:tab w:leader="none" w:pos="346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“Unmodified Derivatives” </w:t>
      </w:r>
      <w:r>
        <w:rPr>
          <w:rFonts w:ascii="Times New Roman" w:cs="Times New Roman" w:eastAsia="Times New Roman" w:hAnsi="Times New Roman"/>
          <w:sz w:val="21"/>
          <w:szCs w:val="21"/>
          <w:color w:val="auto"/>
        </w:rPr>
        <w:t>means substances created by Service Provider,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 an unmodified functional subunit or product expressed by the Original Material (for example, [***]).</w:t>
      </w:r>
    </w:p>
    <w:p>
      <w:pPr>
        <w:spacing w:after="0" w:line="130" w:lineRule="exact"/>
        <w:rPr>
          <w:rFonts w:ascii="Times New Roman" w:cs="Times New Roman" w:eastAsia="Times New Roman" w:hAnsi="Times New Roman"/>
          <w:sz w:val="21"/>
          <w:szCs w:val="21"/>
          <w:color w:val="auto"/>
        </w:rPr>
      </w:pPr>
    </w:p>
    <w:p>
      <w:pPr>
        <w:ind w:left="880" w:firstLine="816"/>
        <w:spacing w:after="0" w:line="258" w:lineRule="auto"/>
        <w:tabs>
          <w:tab w:leader="none" w:pos="259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5.1 and except to the extent required to perform the Services, Service Provider will not:</w:t>
      </w:r>
    </w:p>
    <w:p>
      <w:pPr>
        <w:spacing w:after="0" w:line="158" w:lineRule="exact"/>
        <w:rPr>
          <w:rFonts w:ascii="Times New Roman" w:cs="Times New Roman" w:eastAsia="Times New Roman" w:hAnsi="Times New Roman"/>
          <w:sz w:val="22"/>
          <w:szCs w:val="22"/>
          <w:color w:val="auto"/>
        </w:rPr>
      </w:pPr>
    </w:p>
    <w:p>
      <w:pPr>
        <w:ind w:left="1760" w:firstLine="746"/>
        <w:spacing w:after="0" w:line="258" w:lineRule="auto"/>
        <w:tabs>
          <w:tab w:leader="none" w:pos="335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derivative, Unmodified Derivatives, or Modifications of the Original Material or Progeny, without the express written consent of Synlogic;</w:t>
      </w:r>
    </w:p>
    <w:p>
      <w:pPr>
        <w:spacing w:after="0" w:line="158" w:lineRule="exact"/>
        <w:rPr>
          <w:rFonts w:ascii="Times New Roman" w:cs="Times New Roman" w:eastAsia="Times New Roman" w:hAnsi="Times New Roman"/>
          <w:sz w:val="22"/>
          <w:szCs w:val="22"/>
          <w:color w:val="auto"/>
        </w:rPr>
      </w:pPr>
    </w:p>
    <w:p>
      <w:pPr>
        <w:jc w:val="both"/>
        <w:ind w:left="1760" w:firstLine="746"/>
        <w:spacing w:after="0" w:line="236" w:lineRule="auto"/>
        <w:tabs>
          <w:tab w:leader="none" w:pos="341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analyze or reverse engineer, or attempt to discover the composition or other characteristics of, the Original Material or Progeny, including without limitation, performing tests or experiments with a view towards generating information based on which a determination of composition or other characteristics could be made, conduct genetic analysis or make genetic manipulation or other alterations on the Original Material or Progeny, chemically or genetically modify the Original Material or Progeny, or otherwise alter or modify its composition;</w:t>
      </w:r>
    </w:p>
    <w:p>
      <w:pPr>
        <w:spacing w:after="0" w:line="182" w:lineRule="exact"/>
        <w:rPr>
          <w:rFonts w:ascii="Times New Roman" w:cs="Times New Roman" w:eastAsia="Times New Roman" w:hAnsi="Times New Roman"/>
          <w:sz w:val="22"/>
          <w:szCs w:val="22"/>
          <w:color w:val="auto"/>
        </w:rPr>
      </w:pPr>
    </w:p>
    <w:p>
      <w:pPr>
        <w:ind w:left="3480" w:hanging="974"/>
        <w:spacing w:after="0"/>
        <w:tabs>
          <w:tab w:leader="none" w:pos="348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experiments with any Original Material.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ind w:left="3460" w:hanging="954"/>
        <w:spacing w:after="0"/>
        <w:tabs>
          <w:tab w:leader="none" w:pos="34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Original Material, Modifications or Confidential Information for any commercial</w:t>
      </w:r>
    </w:p>
    <w:p>
      <w:pPr>
        <w:spacing w:after="0" w:line="14"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purposes;</w:t>
      </w:r>
    </w:p>
    <w:p>
      <w:pPr>
        <w:spacing w:after="0" w:line="182" w:lineRule="exact"/>
        <w:rPr>
          <w:rFonts w:ascii="Times New Roman" w:cs="Times New Roman" w:eastAsia="Times New Roman" w:hAnsi="Times New Roman"/>
          <w:sz w:val="22"/>
          <w:szCs w:val="22"/>
          <w:color w:val="auto"/>
        </w:rPr>
      </w:pPr>
    </w:p>
    <w:p>
      <w:pPr>
        <w:ind w:left="1760" w:firstLine="746"/>
        <w:spacing w:after="0" w:line="258" w:lineRule="auto"/>
        <w:tabs>
          <w:tab w:leader="none" w:pos="340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Original Material, Progeny or Modifications in human subjects, whether in clinical trials or otherwise and whether for therapeutic, preventive, diagnostic or other purposes;</w:t>
      </w:r>
    </w:p>
    <w:p>
      <w:pPr>
        <w:spacing w:after="0" w:line="158"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6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Original Material, Progeny, Modifications or Confidential Information in research projects that grant or may grant a sublicense, ownership or other proprietary rights in the Original Material, Progeny, Modifications or Confidential Information to a third party; or</w:t>
      </w:r>
    </w:p>
    <w:p>
      <w:pPr>
        <w:spacing w:after="0" w:line="173" w:lineRule="exact"/>
        <w:rPr>
          <w:rFonts w:ascii="Times New Roman" w:cs="Times New Roman" w:eastAsia="Times New Roman" w:hAnsi="Times New Roman"/>
          <w:sz w:val="22"/>
          <w:szCs w:val="22"/>
          <w:color w:val="auto"/>
        </w:rPr>
      </w:pPr>
    </w:p>
    <w:p>
      <w:pPr>
        <w:jc w:val="both"/>
        <w:ind w:left="1760" w:firstLine="746"/>
        <w:spacing w:after="0" w:line="239" w:lineRule="auto"/>
        <w:tabs>
          <w:tab w:leader="none" w:pos="352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or make available to anyone outside of Service Provider’s direct supervision, or to any third party for any purpose whatsoever the Original Material, Progeny, Confidential Information or Modifications without the prior written consent of Service Provider whose consent may be withheld at its sole discretion.</w:t>
      </w:r>
    </w:p>
    <w:p>
      <w:pPr>
        <w:spacing w:after="0" w:line="177" w:lineRule="exact"/>
        <w:rPr>
          <w:sz w:val="20"/>
          <w:szCs w:val="20"/>
          <w:color w:val="auto"/>
        </w:rPr>
      </w:pPr>
    </w:p>
    <w:p>
      <w:pPr>
        <w:ind w:left="820" w:hanging="812"/>
        <w:spacing w:after="0"/>
        <w:tabs>
          <w:tab w:leader="none" w:pos="8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means any and all non-public scientific, technical, financial, regulatory or business information, or data or trade secrets in whatever form (written, oral or visual) that is (a) furnished or made available by or on behalf of one party (the </w:t>
      </w:r>
      <w:r>
        <w:rPr>
          <w:rFonts w:ascii="Times New Roman" w:cs="Times New Roman" w:eastAsia="Times New Roman" w:hAnsi="Times New Roman"/>
          <w:sz w:val="22"/>
          <w:szCs w:val="22"/>
          <w:b w:val="1"/>
          <w:bCs w:val="1"/>
          <w:color w:val="auto"/>
        </w:rPr>
        <w:t>“Discloser”</w:t>
      </w:r>
      <w:r>
        <w:rPr>
          <w:rFonts w:ascii="Times New Roman" w:cs="Times New Roman" w:eastAsia="Times New Roman" w:hAnsi="Times New Roman"/>
          <w:sz w:val="22"/>
          <w:szCs w:val="22"/>
          <w:color w:val="auto"/>
        </w:rPr>
        <w:t xml:space="preserve">) to the other (the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or developed by Service Provider in connection with Services; and (b) if Service Provider is the Discloser, such information (i) if in tangible form, is labeled in writing as proprietary or confidential; or (ii) if in oral or visual form, is identified as proprietary or confidential at the time of disclosure or within fifteen (15) days after such disclosure. Confidential Information of Synlogic includes (x) Materials, Deliverables and Records; (y) development and marketing plans, regulatory and business strategies, financial information, and forecasts of Synlogic; and (z) all information of third parties that Synlogic has an obligation to keep confidential, whether or not, in each case, such materials or information are marked or identified as confidential.</w:t>
      </w:r>
    </w:p>
    <w:p>
      <w:pPr>
        <w:spacing w:after="0" w:line="179"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During the term of this Agreement and for a period of five (5) years thereafter (and in the case of trade secrets, until such time as Discloser no longer treats such information as a trade secret), Recipient agrees to (a) hold in confidence all Discloser’s Confidential Information, and not disclose Discloser’s Confidential Information except as expressly provided in Section 6.3, without the prior written consent of Discloser; (b) use Discloser’s Confidential Information solely to carry out Recipient’s rights or obligations under this Agreement; (c) treat Discloser’s Confidential Information with the same degree of care Recipient uses to protect Recipient’s own confidential information but in no event with less than a reasonable degree of care;</w:t>
      </w:r>
    </w:p>
    <w:p>
      <w:pPr>
        <w:spacing w:after="0" w:line="3" w:lineRule="exact"/>
        <w:rPr>
          <w:sz w:val="20"/>
          <w:szCs w:val="20"/>
          <w:color w:val="auto"/>
        </w:rPr>
      </w:pPr>
    </w:p>
    <w:p>
      <w:pPr>
        <w:jc w:val="both"/>
        <w:ind w:firstLine="8"/>
        <w:spacing w:after="0" w:line="250" w:lineRule="auto"/>
        <w:tabs>
          <w:tab w:leader="none" w:pos="3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reproduce Discloser’s Confidential Information solely to the extent necessary to carry out Recipient’s rights or obligations under this Agreement, with all such reproductions being considered Discloser’s Confidential Information; and (e) notify Discloser of any unauthorized disclosure of Discloser’s Confidential Information, promptly upon becoming aware of such disclosure.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xml:space="preserve">. Recipient may provide Discloser’s Confidential Information to its Affiliates, and to its and their directors, employees, consultants, contractors and agents (but if Recipient is Service Provider, then solely to Service Provider Personnel who are in compliance with Section 3.4) on a need to know basis and solely as necessary to carry out Recipient’s rights or obligations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Recipient remains liable for the compliance of such Affiliates, directors, employees, consultants, contractors and agents with the terms of this Agreement and (b) in the case of Service Provider, such disclosure is only to the extent necessary for Service Provider to carry out its obligations under this Agreement. Recipient may also disclose Discloser’s Confidential Information to third parties only to the extent such disclosure is required to (i) to comply with (x) applicable law, (y) regulation or (z) the rules of any stock exchange or listing entity; (ii) to defend or prosecute litigation; or (iii) by a governmental authority or by order of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Recipient provides prior written notice of such disclosure to Discloser, takes all reasonable and lawful actions to avoid or minimize the degree of such disclosure, and cooperates reasonably with Discloser in any efforts to seek a protective order. Furthermore, Synlogic may disclose Confidential Information of Service Provider relating to Services to entities with whom Synlogic has (or may have) a strategic product marketing and/or development collaboration or to bona fide actual or prospective underwriters, investors, lenders or other financing sources or to potential acquirers of the business to which this Agreement relates, and who in each case have a specific need to know such Confidential Information and who are bound by a like obligation of confidentiality and restrictions on use.</w:t>
      </w:r>
    </w:p>
    <w:p>
      <w:pPr>
        <w:spacing w:after="0" w:line="193"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Recipient’s obligations of non-disclosure and non-use under this Agreement will not apply to any portion of Discloser’s Confidential Information that Recipient can demonstrate, by competent proof:</w:t>
      </w:r>
    </w:p>
    <w:p>
      <w:pPr>
        <w:spacing w:after="0" w:line="158" w:lineRule="exact"/>
        <w:rPr>
          <w:sz w:val="20"/>
          <w:szCs w:val="20"/>
          <w:color w:val="auto"/>
        </w:rPr>
      </w:pPr>
    </w:p>
    <w:p>
      <w:pPr>
        <w:ind w:left="880" w:firstLine="816"/>
        <w:spacing w:after="0" w:line="258" w:lineRule="auto"/>
        <w:tabs>
          <w:tab w:leader="none" w:pos="25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generally known to the public at the time of disclosure or becomes generally known through no wrongful act on the part of Recipient;</w:t>
      </w:r>
    </w:p>
    <w:p>
      <w:pPr>
        <w:spacing w:after="0" w:line="158"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Recipient’s possession at the time of disclosure other than as a result of Recipient’s breach of any legal obligation;</w:t>
      </w:r>
    </w:p>
    <w:p>
      <w:pPr>
        <w:spacing w:after="0" w:line="158" w:lineRule="exact"/>
        <w:rPr>
          <w:rFonts w:ascii="Times New Roman" w:cs="Times New Roman" w:eastAsia="Times New Roman" w:hAnsi="Times New Roman"/>
          <w:sz w:val="22"/>
          <w:szCs w:val="22"/>
          <w:color w:val="auto"/>
        </w:rPr>
      </w:pPr>
    </w:p>
    <w:p>
      <w:pPr>
        <w:ind w:left="880" w:firstLine="816"/>
        <w:spacing w:after="0" w:line="258" w:lineRule="auto"/>
        <w:tabs>
          <w:tab w:leader="none" w:pos="25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known to Recipient on a non-confidential basis through disclosure by sources other than Discloser having the legal right to disclose such Confidential Information; or</w:t>
      </w:r>
    </w:p>
    <w:p>
      <w:pPr>
        <w:spacing w:after="0" w:line="158"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Recipient without reference to or reliance upon Discloser’s Confidential Information.</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Personal Identifiable Information</w:t>
      </w:r>
      <w:r>
        <w:rPr>
          <w:rFonts w:ascii="Times New Roman" w:cs="Times New Roman" w:eastAsia="Times New Roman" w:hAnsi="Times New Roman"/>
          <w:sz w:val="22"/>
          <w:szCs w:val="22"/>
          <w:color w:val="auto"/>
        </w:rPr>
        <w:t xml:space="preserve">. Notwithstanding anything to the contrary in this Section 6, (a) Service Provider will not disclose to any third party nor use any protected health information, personal data or biological samples of subjects enrolled in clinical studies that are the subject of Services (collectively, </w:t>
      </w:r>
      <w:r>
        <w:rPr>
          <w:rFonts w:ascii="Times New Roman" w:cs="Times New Roman" w:eastAsia="Times New Roman" w:hAnsi="Times New Roman"/>
          <w:sz w:val="22"/>
          <w:szCs w:val="22"/>
          <w:b w:val="1"/>
          <w:bCs w:val="1"/>
          <w:color w:val="auto"/>
        </w:rPr>
        <w:t>“Personal Identifiable Information”</w:t>
      </w:r>
      <w:r>
        <w:rPr>
          <w:rFonts w:ascii="Times New Roman" w:cs="Times New Roman" w:eastAsia="Times New Roman" w:hAnsi="Times New Roman"/>
          <w:sz w:val="22"/>
          <w:szCs w:val="22"/>
          <w:color w:val="auto"/>
        </w:rPr>
        <w:t>) except as expressly required in the applicable Statement of Work and as long as such disclosure and use is 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compliance with applicable law; and (b) such restrictions on the disclosure and use of Personal Identifiable Information will remain in place for as long as such restrictions are required under applicable law. Synlogic’s use and disclosure of Personal Identifiable Information will be in accordance with applicable laws and regulations and the relevant consent documents.</w:t>
      </w:r>
    </w:p>
    <w:p>
      <w:pPr>
        <w:spacing w:after="0" w:line="170" w:lineRule="exact"/>
        <w:rPr>
          <w:sz w:val="20"/>
          <w:szCs w:val="20"/>
          <w:color w:val="auto"/>
        </w:rPr>
      </w:pPr>
    </w:p>
    <w:p>
      <w:pPr>
        <w:ind w:left="820" w:hanging="812"/>
        <w:spacing w:after="0"/>
        <w:tabs>
          <w:tab w:leader="none" w:pos="8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 Insurance; Remedies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Indemnification by Service Provider</w:t>
      </w:r>
      <w:r>
        <w:rPr>
          <w:rFonts w:ascii="Times New Roman" w:cs="Times New Roman" w:eastAsia="Times New Roman" w:hAnsi="Times New Roman"/>
          <w:sz w:val="22"/>
          <w:szCs w:val="22"/>
          <w:color w:val="auto"/>
        </w:rPr>
        <w:t xml:space="preserve">. Service Provider will indemnify, defend and hold harmless Synlogic, its Affiliates, and its and their respective officers, directors, employees and agents (collectively, the </w:t>
      </w:r>
      <w:r>
        <w:rPr>
          <w:rFonts w:ascii="Times New Roman" w:cs="Times New Roman" w:eastAsia="Times New Roman" w:hAnsi="Times New Roman"/>
          <w:sz w:val="22"/>
          <w:szCs w:val="22"/>
          <w:b w:val="1"/>
          <w:bCs w:val="1"/>
          <w:color w:val="auto"/>
        </w:rPr>
        <w:t>“Synlogic Indemnitees”</w:t>
      </w:r>
      <w:r>
        <w:rPr>
          <w:rFonts w:ascii="Times New Roman" w:cs="Times New Roman" w:eastAsia="Times New Roman" w:hAnsi="Times New Roman"/>
          <w:sz w:val="22"/>
          <w:szCs w:val="22"/>
          <w:color w:val="auto"/>
        </w:rPr>
        <w:t>) [***], to the extent such claims arise out of or relate to (a) [***] (as defined in Section 7.2) [***]</w:t>
      </w:r>
    </w:p>
    <w:p>
      <w:pPr>
        <w:spacing w:after="0" w:line="17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Indemnification by Synlogic</w:t>
      </w:r>
      <w:r>
        <w:rPr>
          <w:rFonts w:ascii="Times New Roman" w:cs="Times New Roman" w:eastAsia="Times New Roman" w:hAnsi="Times New Roman"/>
          <w:sz w:val="22"/>
          <w:szCs w:val="22"/>
          <w:color w:val="auto"/>
        </w:rPr>
        <w:t xml:space="preserve">. Synlogic will indemnify, defend and hold harmless Service Provider, its Affiliates, and its and their respective officers, directors, employees and agents (collectively, the </w:t>
      </w:r>
      <w:r>
        <w:rPr>
          <w:rFonts w:ascii="Times New Roman" w:cs="Times New Roman" w:eastAsia="Times New Roman" w:hAnsi="Times New Roman"/>
          <w:sz w:val="22"/>
          <w:szCs w:val="22"/>
          <w:b w:val="1"/>
          <w:bCs w:val="1"/>
          <w:color w:val="auto"/>
        </w:rPr>
        <w:t>“Service Provider Indemnitees”</w:t>
      </w:r>
      <w:r>
        <w:rPr>
          <w:rFonts w:ascii="Times New Roman" w:cs="Times New Roman" w:eastAsia="Times New Roman" w:hAnsi="Times New Roman"/>
          <w:sz w:val="22"/>
          <w:szCs w:val="22"/>
          <w:color w:val="auto"/>
        </w:rPr>
        <w:t>) [***], to the extent such claims arise out of or relate to (a) [***]</w:t>
      </w:r>
    </w:p>
    <w:p>
      <w:pPr>
        <w:spacing w:after="0" w:line="17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Indemnification Procedures</w:t>
      </w:r>
      <w:r>
        <w:rPr>
          <w:rFonts w:ascii="Times New Roman" w:cs="Times New Roman" w:eastAsia="Times New Roman" w:hAnsi="Times New Roman"/>
          <w:sz w:val="22"/>
          <w:szCs w:val="22"/>
          <w:color w:val="auto"/>
        </w:rPr>
        <w:t xml:space="preserve">. Each party must notify the other party within [***] after receipt of any claims made for which the other party might be liable under Section 7.1 or 7.2, as applicable. The indemnifying party will have the sole right to defend, negotiate, and settle such claims. The indemnified party will be entitled to participate in the defense of such matter and to employ counsel at its expense to assist in such defense;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indemnifying party will have final decision-making authority regarding all aspects of the defense of the claim. The indemnified party will provide the indemnifying party with such information and assistance as the indemnifying party may reasonably request, at the expense of the indemnifying party. Neither party will be responsible nor bound by any settlement of any claim or suit made without its prior written consent;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the indemnified party will not unreasonably withhold or delay such consent.</w:t>
      </w:r>
    </w:p>
    <w:p>
      <w:pPr>
        <w:spacing w:after="0" w:line="179"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During the term of this Agreement and for a period of at least two (2) years after termination or expiration of this Agreement, Service Provider will maintain the following minimum insurance coverage with financially sound and nationally reputable insurers: Workers Compensation (applicable statutory limits); Commercial General Liability including contractual liability ($1,000,000 per occurrence/$2,000,000 aggregate); Comprehensive Automobile Liability ($1,000,000); Professional Liability/Errors and Omissions ($1,000,000 per occurrence); and Umbrella liability coverage ($5,000,000 per occurrence/$5,000,000 aggregate). Service Provider will name Synlogic as an additional insured (except on policies for Workers’ Compensation) and will provide Synlogic with a Certificate of Insurance evidencing such coverages naming Synlogic as an additional insured and providing that thirty (30) days’ advance written notice will be given to Synlogic of any material change or cancellation in coverage or limits.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the event that any Services do not meet the specifications or other performance criteria agreed to by Service Provider and Synlogic in writing, then Service Provider will, at Synlogic’s option, promptly (a) re-perform such Services at Service Provider’s cost; or (b) refund to Synlogic all amounts paid by Synlogic to Service Provider in connection with such Services. Further, Service Provider agrees that (i) Synlogic may be irreparably injured by a breach of this Agreement; (ii) money damages would not be an adequate remedy for any such breach; and (iii) Synlogic will be entitled to seek equitable relief, including injunctive relief and specific performance, without having to post a bond, as a remedy for any such breach. The provisions of this Section 7.5 are not exclusive, and Synlogic may seek any other right or remedy that it may have under this Agreement or otherwise.</w:t>
      </w:r>
    </w:p>
    <w:p>
      <w:pPr>
        <w:spacing w:after="0" w:line="175" w:lineRule="exact"/>
        <w:rPr>
          <w:sz w:val="20"/>
          <w:szCs w:val="20"/>
          <w:color w:val="auto"/>
        </w:rPr>
      </w:pPr>
    </w:p>
    <w:p>
      <w:pPr>
        <w:ind w:left="820" w:hanging="812"/>
        <w:spacing w:after="0"/>
        <w:tabs>
          <w:tab w:leader="none" w:pos="8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Expiration; Termination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This Agreement will expire on the later of (a) three (3) years from the Effective Date or (b) the completion of all Services under all Statement(s) of Work executed by the parties prior to the third anniversary of the Effective Date. This Agreement may be extended by mutual agreement of the parties or earlier terminated in accordance with Section 8.2 or 8.3.</w:t>
      </w:r>
    </w:p>
    <w:p>
      <w:pPr>
        <w:spacing w:after="0" w:line="181"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Termination by Synlogic</w:t>
      </w:r>
      <w:r>
        <w:rPr>
          <w:rFonts w:ascii="Times New Roman" w:cs="Times New Roman" w:eastAsia="Times New Roman" w:hAnsi="Times New Roman"/>
          <w:sz w:val="22"/>
          <w:szCs w:val="22"/>
          <w:color w:val="auto"/>
        </w:rPr>
        <w:t xml:space="preserve">. In the event of a breach of this Agreement by Service Provider which cannot be cured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breach of confidentiality obligations under Section 6), Synlogic may terminate this Agreement or any Statement of Work with immediate effect, at any time upon written notice to Service Provider. Further, Synlogic may terminate this Agreement or a Statement of Work at any time upon [***] prior written notice to Service Provider.</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Termination by Service Provider</w:t>
      </w:r>
      <w:r>
        <w:rPr>
          <w:rFonts w:ascii="Times New Roman" w:cs="Times New Roman" w:eastAsia="Times New Roman" w:hAnsi="Times New Roman"/>
          <w:sz w:val="22"/>
          <w:szCs w:val="22"/>
          <w:color w:val="auto"/>
        </w:rPr>
        <w:t>. Service Provider may terminate this Agreement or any Statement of Work if Synlogic fails to cure a material breach of this Agreement or of a Statement of Work within [***] after receiving written notice from Service Provider of such breach.</w:t>
      </w:r>
    </w:p>
    <w:p>
      <w:pPr>
        <w:spacing w:after="0" w:line="17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Effect of Termination or Expiration</w:t>
      </w:r>
      <w:r>
        <w:rPr>
          <w:rFonts w:ascii="Times New Roman" w:cs="Times New Roman" w:eastAsia="Times New Roman" w:hAnsi="Times New Roman"/>
          <w:sz w:val="22"/>
          <w:szCs w:val="22"/>
          <w:color w:val="auto"/>
        </w:rPr>
        <w:t>. Upon termination or expiration of this Agreement, neither Service Provider nor Synlogic will have any further obligations under this Agreement, or in the case of termination or expiration of a Statement of Work, under that Statement of Work, except that:</w:t>
      </w:r>
    </w:p>
    <w:p>
      <w:pPr>
        <w:spacing w:after="0" w:line="174" w:lineRule="exact"/>
        <w:rPr>
          <w:sz w:val="20"/>
          <w:szCs w:val="20"/>
          <w:color w:val="auto"/>
        </w:rPr>
      </w:pPr>
    </w:p>
    <w:p>
      <w:pPr>
        <w:jc w:val="both"/>
        <w:ind w:left="880" w:firstLine="816"/>
        <w:spacing w:after="0" w:line="239" w:lineRule="auto"/>
        <w:tabs>
          <w:tab w:leader="none" w:pos="257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Provider will terminate all affected Services in progress in an orderly manner as soon as practical and in accordance with a schedule agreed to by Synlogic and, if requested, will work with Synlogic to transition the relevant Services to Synlogic or its designee, unless Synlogic specifies in the notice of termination that Services in progress should be completed;</w:t>
      </w:r>
    </w:p>
    <w:p>
      <w:pPr>
        <w:spacing w:after="0" w:line="180"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Provider will deliver to Synlogic all Deliverables developed through termination or expiration and will deliver to Synlogic, or at Synlogic’s option, dispose of, any Materials in its possession or control;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00" w:lineRule="exact"/>
        <w:rPr>
          <w:sz w:val="20"/>
          <w:szCs w:val="20"/>
          <w:color w:val="auto"/>
        </w:rPr>
      </w:pPr>
    </w:p>
    <w:p>
      <w:pPr>
        <w:spacing w:after="0" w:line="250" w:lineRule="exact"/>
        <w:rPr>
          <w:sz w:val="20"/>
          <w:szCs w:val="20"/>
          <w:color w:val="auto"/>
        </w:rPr>
      </w:pPr>
    </w:p>
    <w:p>
      <w:pPr>
        <w:jc w:val="both"/>
        <w:ind w:left="880" w:firstLine="816"/>
        <w:spacing w:after="0" w:line="244" w:lineRule="auto"/>
        <w:tabs>
          <w:tab w:leader="none" w:pos="257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Synlogic will pay Service Provider any monies due and owing Service Provider, up to the time of termination or expiration, for Services properly performed and all authorized expenses actually incurred (as specified in the applicable Statement of Work);</w:t>
      </w:r>
    </w:p>
    <w:p>
      <w:pPr>
        <w:spacing w:after="0" w:line="173"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Provider will promptly refund any monies paid in advance by Synlogic for Services not</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rendered;</w:t>
      </w:r>
    </w:p>
    <w:p>
      <w:pPr>
        <w:spacing w:after="0" w:line="182"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7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Recipient will promptly return to the Discloser all of Discloser’s Confidential Information (including all copies) provided to Recipient under this Agreement or under any Statement of Work which has been terminated or has expired, except for one (1) copy which Recipient may retain solely to monitor Recipient’s surviving obligations of confidentiality and non-use, and in the case of Synlogic, to exercise all surviving rights of Synlogic under this Agreement; and</w:t>
      </w:r>
    </w:p>
    <w:p>
      <w:pPr>
        <w:spacing w:after="0" w:line="177" w:lineRule="exact"/>
        <w:rPr>
          <w:rFonts w:ascii="Times New Roman" w:cs="Times New Roman" w:eastAsia="Times New Roman" w:hAnsi="Times New Roman"/>
          <w:sz w:val="22"/>
          <w:szCs w:val="22"/>
          <w:color w:val="auto"/>
        </w:rPr>
      </w:pPr>
    </w:p>
    <w:p>
      <w:pPr>
        <w:ind w:left="880" w:firstLine="816"/>
        <w:spacing w:after="0" w:line="258" w:lineRule="auto"/>
        <w:tabs>
          <w:tab w:leader="none" w:pos="255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under Sections 2.3(b), 2.4, 3, 5, 5.6, 6, 7, 8.4 and 9 will survive any such termination or expiration.</w:t>
      </w:r>
    </w:p>
    <w:p>
      <w:pPr>
        <w:spacing w:after="0" w:line="154"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Service Provider is an independent contractor and not an agent or employee of Synlogic. Service Provider will not in any way represent itself to be an agent, employee, partner or joint venturer of or with Synlogic, and Service Provider has no authority to obligate or bind Synlogic by contract or otherwise. Service Provider has full power and authority to determine the means, manner and method of performance of Services. Service Provider is responsible for, and will withhold and/or pay, any and all applicable federal, state or local taxes, payroll taxes, workers’ compensation contributions, unemployment insurance contributions, or other payroll deductions from the compensation of Service Provider’s employees and other Service Provider Personnel and no such employees or other Service Provider Personnel will be entitled to any benefits applicable to or available to employees of Synlogic. Service Provider understands and agrees that it is solely responsible for such matters and that it will indemnify Synlogic and hold Synlogic harmless from all claims and demands in connection with such matters.</w:t>
      </w:r>
    </w:p>
    <w:p>
      <w:pPr>
        <w:spacing w:after="0" w:line="18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Except to the extent required by applicable law or regulation or the rules of any stock exchange or listing agency, Service Provider will not make any public statement or release concerning this Agreement or the transactions contemplated by this Agreement or use Synlogic’s name or the name of any Affiliate of Synlogic in any form of advertising, promotion or publicity, without obtaining the prior written consent of Synlogic.</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Certain Disclosures and Transparency</w:t>
      </w:r>
      <w:r>
        <w:rPr>
          <w:rFonts w:ascii="Times New Roman" w:cs="Times New Roman" w:eastAsia="Times New Roman" w:hAnsi="Times New Roman"/>
          <w:sz w:val="22"/>
          <w:szCs w:val="22"/>
          <w:color w:val="auto"/>
        </w:rPr>
        <w:t>. Service Provider acknowledges that Synlogic and its Affiliates are required to abide by federal and state disclosure laws and certain transparency policies governing their activities including providing reports to the government and to the public concerning financial or other relationships with healthcare providers. Service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Provider agrees that Synlogic and its Affiliates may, in their sole discretion, disclose information about this Agreement and about Service Provider’s Services including those relating to healthcare providers and any compensation paid to healthcare providers pursuant to this Agreement. Service Provider agrees to promptly supply information reasonably requested by Synlogic for disclosure purposes. To the extent that Service Provider is independently obligated to disclose specific information concerning Services relating to healthcare providers and compensation paid to healthcare providers pursuant to this Agreement, Service Provider will make timely and accurate required disclosures.</w:t>
      </w:r>
    </w:p>
    <w:p>
      <w:pPr>
        <w:spacing w:after="0" w:line="182"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must be in writing and sent to the address for the recipient set forth in this Agreement or at such other address as the recipient may specify in writing under this procedure. Communications and notices to Synlogic will be marked “Attention: Legal Department” with a copy to Naimesh Kotadia, Manufacturing Lead. Communications and notices to Service Provider will be marked “Attention: Ravi Samavedam, General Manager”. All notices must be given (a) by personal delivery, with receipt acknowledged; or (b) by prepaid certified or registered mail, return receipt requested; or (c) by prepaid recognized express delivery service. Notices will be effective upon receipt or at a later date stated in the notice.</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Except as expressly provided in Section 2.3, Service Provider may not assign, delegate or transfer its obligations under this Agreement, in whole or in part, without the prior written consent of Synlogic, and any attempted assignment, delegation or transfer by Service Provider without such consent will be void. Synlogic may assign, delegate or transfer this Agreement in whole or in part without consent of Service Provider. No assignment, delegation or transfer will relieve either party of the performance of any accrued obligation that such party may then have under this Agreement.</w:t>
      </w:r>
    </w:p>
    <w:p>
      <w:pPr>
        <w:spacing w:after="0" w:line="17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together with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any fully-signed Statements of Work, each of which are incorporated into this Agreement, constitute the entire agreement between the parties with respect to the specific subject matter of this Agreement and all prior agreements, oral or written, with respect to such subject matter are superseded. Each party confirms that it is not relying on any representations or warranties of the other party except as specifically set forth in this Agreement. If there is any conflict, discrepancy or inconsistency between the terms of this Agreement and any Statement of Work, purchase order or other form used by the parties, the terms of this Agreement will control.</w:t>
      </w:r>
    </w:p>
    <w:p>
      <w:pPr>
        <w:spacing w:after="0" w:line="182"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No Modification</w:t>
      </w:r>
      <w:r>
        <w:rPr>
          <w:rFonts w:ascii="Times New Roman" w:cs="Times New Roman" w:eastAsia="Times New Roman" w:hAnsi="Times New Roman"/>
          <w:sz w:val="22"/>
          <w:szCs w:val="22"/>
          <w:color w:val="auto"/>
        </w:rPr>
        <w:t>. This Agreement (including Statement(s) of Work) may be changed only by a writing signed by authorized representatives of each party.</w:t>
      </w:r>
    </w:p>
    <w:p>
      <w:pPr>
        <w:spacing w:after="0" w:line="15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Severability; Reformation</w:t>
      </w:r>
      <w:r>
        <w:rPr>
          <w:rFonts w:ascii="Times New Roman" w:cs="Times New Roman" w:eastAsia="Times New Roman" w:hAnsi="Times New Roman"/>
          <w:sz w:val="22"/>
          <w:szCs w:val="22"/>
          <w:color w:val="auto"/>
        </w:rPr>
        <w:t>. Each provision in this Agreement is independent and severable from the others, and no provision will be rendered unenforceable because any other provision is found by a proper authority to be invalid or unenforceable in whole or in part. If any provision of this Agreement is found by such an authority to be invalid or unenforceable in whole or in part, such provision will be changed and interpreted so as to best accomplish the objectives of such unenforceable or invalid provision and the intent of the parties, within the limits of applicable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disputes arising out of or relating to this Agreement will be governed by, construed and interpreted in accordance with the internal laws of the Commonwealth of Massachusetts, without regard to any choice of law principle that would require the application of the law of another jurisdiction. The parties expressly reject any application to this Agreement of (a) the United Nations Convention on Contracts for the International Sale of Goods; and</w:t>
      </w:r>
    </w:p>
    <w:p>
      <w:pPr>
        <w:spacing w:after="0" w:line="1" w:lineRule="exact"/>
        <w:rPr>
          <w:sz w:val="20"/>
          <w:szCs w:val="20"/>
          <w:color w:val="auto"/>
        </w:rPr>
      </w:pPr>
    </w:p>
    <w:p>
      <w:pPr>
        <w:ind w:firstLine="8"/>
        <w:spacing w:after="0" w:line="237" w:lineRule="auto"/>
        <w:tabs>
          <w:tab w:leader="none" w:pos="3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1974 Convention on the Limitation Period in the International Sale of Goods, as amended by that certain Protocol, done at Vienna on April 11, 1980.</w:t>
      </w:r>
    </w:p>
    <w:p>
      <w:pPr>
        <w:spacing w:after="0" w:line="179"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Jurisdiction; Venue</w:t>
      </w:r>
      <w:r>
        <w:rPr>
          <w:rFonts w:ascii="Times New Roman" w:cs="Times New Roman" w:eastAsia="Times New Roman" w:hAnsi="Times New Roman"/>
          <w:sz w:val="22"/>
          <w:szCs w:val="22"/>
          <w:color w:val="auto"/>
        </w:rPr>
        <w:t>. Any legal action or proceeding concerning the validity, interpretation and enforcement of this Agreement, matters arising out of or related to this Agreement or its making, performance or breach, or related matters will be brought exclusively in the courts of the Commonwealth of Massachusetts. All parties consent to the exclusive jurisdiction of those courts and waive any objection to the propriety or convenience of such venues.</w:t>
      </w:r>
    </w:p>
    <w:p>
      <w:pPr>
        <w:spacing w:after="0" w:line="181"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Any delay in enforcing a party’s rights under this Agreement, or any waiver as to a particular default or other matter, will not constitute a waiver of such party’s rights to the future enforcement of its rights under this Agreement, except with respect to an express written waiver relating to a particular matter for a particular period of time signed by an authorized representative of the waiving party, as applicable.</w:t>
      </w:r>
    </w:p>
    <w:p>
      <w:pPr>
        <w:spacing w:after="0" w:line="181"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No Strict Construction; Headings; Interpretation</w:t>
      </w:r>
      <w:r>
        <w:rPr>
          <w:rFonts w:ascii="Times New Roman" w:cs="Times New Roman" w:eastAsia="Times New Roman" w:hAnsi="Times New Roman"/>
          <w:sz w:val="22"/>
          <w:szCs w:val="22"/>
          <w:color w:val="auto"/>
        </w:rPr>
        <w:t>. This Agreement has been prepared jointly and will not be strictly construed against either party. The section headings are included solely for convenience of reference and will not control or affect the meaning or interpretation of any of the provisions of this Agreement. The words “include,” “includes” and “including” when used in this Agreement (and any Statement(s) of Work) are deemed to be followed by the phrase “but not limited to”.</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will be deemed to be an original and all of which together will constitute one and the same instrument. A facsimile or portable document format (“.pdf’) copy of this Agreement, including the signature pages, will be deemed an original.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party has caused this Agreement to be executed by its duly authorized representative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SYNLOGIC OPERATING COMPANY, INC.</w:t>
            </w:r>
          </w:p>
        </w:tc>
        <w:tc>
          <w:tcPr>
            <w:tcW w:w="6280" w:type="dxa"/>
            <w:vAlign w:val="bottom"/>
            <w:gridSpan w:val="2"/>
          </w:tcPr>
          <w:p>
            <w:pPr>
              <w:ind w:left="1140"/>
              <w:spacing w:after="0"/>
              <w:rPr>
                <w:sz w:val="20"/>
                <w:szCs w:val="20"/>
                <w:color w:val="auto"/>
              </w:rPr>
            </w:pPr>
            <w:r>
              <w:rPr>
                <w:rFonts w:ascii="Times New Roman" w:cs="Times New Roman" w:eastAsia="Times New Roman" w:hAnsi="Times New Roman"/>
                <w:sz w:val="22"/>
                <w:szCs w:val="22"/>
                <w:b w:val="1"/>
                <w:bCs w:val="1"/>
                <w:color w:val="auto"/>
                <w:w w:val="98"/>
              </w:rPr>
              <w:t>AZZUR GROUP, D/BA AZZUR OF NEW ENGLAND</w:t>
            </w:r>
          </w:p>
        </w:tc>
      </w:tr>
      <w:tr>
        <w:trPr>
          <w:trHeight w:val="287"/>
        </w:trPr>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4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LLC</w:t>
            </w:r>
          </w:p>
        </w:tc>
        <w:tc>
          <w:tcPr>
            <w:tcW w:w="3640" w:type="dxa"/>
            <w:vAlign w:val="bottom"/>
          </w:tcPr>
          <w:p>
            <w:pPr>
              <w:spacing w:after="0"/>
              <w:rPr>
                <w:sz w:val="24"/>
                <w:szCs w:val="24"/>
                <w:color w:val="auto"/>
              </w:rPr>
            </w:pPr>
          </w:p>
        </w:tc>
      </w:tr>
      <w:tr>
        <w:trPr>
          <w:trHeight w:val="650"/>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Todd Shegog</w:t>
            </w:r>
          </w:p>
        </w:tc>
        <w:tc>
          <w:tcPr>
            <w:tcW w:w="26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By:</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Ravi Samavedam</w:t>
            </w:r>
          </w:p>
        </w:tc>
      </w:tr>
      <w:tr>
        <w:trPr>
          <w:trHeight w:val="439"/>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Todd Shegog</w:t>
            </w:r>
          </w:p>
        </w:tc>
        <w:tc>
          <w:tcPr>
            <w:tcW w:w="26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Print Name:</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RAVI SAMAVEDAM</w:t>
            </w:r>
          </w:p>
        </w:tc>
      </w:tr>
      <w:tr>
        <w:trPr>
          <w:trHeight w:val="439"/>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CFO</w:t>
            </w:r>
          </w:p>
        </w:tc>
        <w:tc>
          <w:tcPr>
            <w:tcW w:w="26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Title:</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GENERAL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SAMPLE STATEMENT OF WORK</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STATEMENT OF WORK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“Statement of Work”</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Synlogic Operating Company, Inc. (“Synlogic”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and Azzur Group (d/b/a Azzur of New England LLC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(“Service Provider”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effective as of the last date of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below, and upon execution will be incorporated into the Master Contract Services Agreement between Synlogic and Service Provider dated 08 September 2018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Capitalized terms used in this Statement of Work will have the same meaning as set forth in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Synlogic hereby engages Service Provider to provide Services, as follows:</w:t>
      </w:r>
    </w:p>
    <w:p>
      <w:pPr>
        <w:spacing w:after="0" w:line="202" w:lineRule="exact"/>
        <w:rPr>
          <w:sz w:val="20"/>
          <w:szCs w:val="20"/>
          <w:color w:val="auto"/>
        </w:rPr>
      </w:pPr>
    </w:p>
    <w:p>
      <w:pPr>
        <w:ind w:left="880" w:hanging="872"/>
        <w:spacing w:after="0"/>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Provider will provide the following Services to Synlogic:</w:t>
      </w:r>
    </w:p>
    <w:p>
      <w:pPr>
        <w:spacing w:after="0" w:line="206" w:lineRule="exact"/>
        <w:rPr>
          <w:rFonts w:ascii="Times New Roman" w:cs="Times New Roman" w:eastAsia="Times New Roman" w:hAnsi="Times New Roman"/>
          <w:sz w:val="22"/>
          <w:szCs w:val="22"/>
          <w:b w:val="1"/>
          <w:bCs w:val="1"/>
          <w:color w:val="auto"/>
        </w:rPr>
      </w:pPr>
    </w:p>
    <w:p>
      <w:pPr>
        <w:jc w:val="both"/>
        <w:ind w:left="88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Describe specific Services to be provided including all Deliverables. Also include, as applicable, format of data Deliverables, procedures for verification of accuracy of data, and whether Services must be performed in accordance with GLP, etc.</w:t>
      </w:r>
    </w:p>
    <w:p>
      <w:pPr>
        <w:spacing w:after="0" w:line="167" w:lineRule="exact"/>
        <w:rPr>
          <w:rFonts w:ascii="Times New Roman" w:cs="Times New Roman" w:eastAsia="Times New Roman" w:hAnsi="Times New Roman"/>
          <w:sz w:val="22"/>
          <w:szCs w:val="22"/>
          <w:b w:val="1"/>
          <w:bCs w:val="1"/>
          <w:color w:val="auto"/>
        </w:rPr>
      </w:pPr>
    </w:p>
    <w:p>
      <w:pPr>
        <w:ind w:left="880" w:right="2660" w:hanging="872"/>
        <w:spacing w:after="0" w:line="435" w:lineRule="auto"/>
        <w:tabs>
          <w:tab w:leader="none" w:pos="867"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Materials</w:t>
      </w:r>
      <w:r>
        <w:rPr>
          <w:rFonts w:ascii="Times New Roman" w:cs="Times New Roman" w:eastAsia="Times New Roman" w:hAnsi="Times New Roman"/>
          <w:sz w:val="22"/>
          <w:szCs w:val="22"/>
          <w:color w:val="auto"/>
        </w:rPr>
        <w:t>. Synlogic will provide to Service Provider the following Materials for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Describe specific materials being provided by Synlogic.</w:t>
      </w:r>
    </w:p>
    <w:p>
      <w:pPr>
        <w:spacing w:after="0" w:line="1" w:lineRule="exact"/>
        <w:rPr>
          <w:rFonts w:ascii="Times New Roman" w:cs="Times New Roman" w:eastAsia="Times New Roman" w:hAnsi="Times New Roman"/>
          <w:sz w:val="22"/>
          <w:szCs w:val="22"/>
          <w:b w:val="1"/>
          <w:bCs w:val="1"/>
          <w:color w:val="auto"/>
        </w:rPr>
      </w:pPr>
    </w:p>
    <w:p>
      <w:pPr>
        <w:ind w:left="880" w:hanging="872"/>
        <w:spacing w:after="0"/>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Completion</w:t>
      </w:r>
      <w:r>
        <w:rPr>
          <w:rFonts w:ascii="Times New Roman" w:cs="Times New Roman" w:eastAsia="Times New Roman" w:hAnsi="Times New Roman"/>
          <w:sz w:val="22"/>
          <w:szCs w:val="22"/>
          <w:color w:val="auto"/>
        </w:rPr>
        <w:t>.  Services will be completed [within [TIME PERIOD].] or [in accordance with the following schedule:</w:t>
      </w:r>
    </w:p>
    <w:p>
      <w:pPr>
        <w:spacing w:after="0" w:line="18"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[INSERT SCHEDULE]]</w:t>
      </w:r>
    </w:p>
    <w:p>
      <w:pPr>
        <w:spacing w:after="0" w:line="178" w:lineRule="exact"/>
        <w:rPr>
          <w:rFonts w:ascii="Times New Roman" w:cs="Times New Roman" w:eastAsia="Times New Roman" w:hAnsi="Times New Roman"/>
          <w:sz w:val="22"/>
          <w:szCs w:val="22"/>
          <w:b w:val="1"/>
          <w:bCs w:val="1"/>
          <w:color w:val="auto"/>
        </w:rPr>
      </w:pPr>
    </w:p>
    <w:p>
      <w:pPr>
        <w:ind w:left="880" w:hanging="872"/>
        <w:spacing w:after="0"/>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 Provider Contacts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Project Leader: [NAME AND TITLE]</w:t>
      </w:r>
    </w:p>
    <w:p>
      <w:pPr>
        <w:spacing w:after="0" w:line="206"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Administration Contact: [NAME AND TITLE]</w:t>
      </w:r>
    </w:p>
    <w:p>
      <w:pPr>
        <w:spacing w:after="0" w:line="206"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Payment Contact: [NAME AND TITLE]</w:t>
      </w:r>
    </w:p>
    <w:p>
      <w:pPr>
        <w:spacing w:after="0" w:line="202" w:lineRule="exact"/>
        <w:rPr>
          <w:rFonts w:ascii="Times New Roman" w:cs="Times New Roman" w:eastAsia="Times New Roman" w:hAnsi="Times New Roman"/>
          <w:sz w:val="22"/>
          <w:szCs w:val="22"/>
          <w:b w:val="1"/>
          <w:bCs w:val="1"/>
          <w:color w:val="auto"/>
        </w:rPr>
      </w:pPr>
    </w:p>
    <w:p>
      <w:pPr>
        <w:ind w:left="880" w:hanging="872"/>
        <w:spacing w:after="0"/>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Key Service Provider Personnel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88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Identify all Key Service Provider Personnel, if any (see Section 2.5 (Key Service Provider Personnel) of the Agreement). If none, so state.</w:t>
      </w:r>
    </w:p>
    <w:p>
      <w:pPr>
        <w:spacing w:after="0" w:line="149" w:lineRule="exact"/>
        <w:rPr>
          <w:rFonts w:ascii="Times New Roman" w:cs="Times New Roman" w:eastAsia="Times New Roman" w:hAnsi="Times New Roman"/>
          <w:sz w:val="22"/>
          <w:szCs w:val="22"/>
          <w:b w:val="1"/>
          <w:bCs w:val="1"/>
          <w:color w:val="auto"/>
        </w:rPr>
      </w:pPr>
    </w:p>
    <w:p>
      <w:pPr>
        <w:ind w:left="880" w:hanging="872"/>
        <w:spacing w:after="0"/>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Synlogic Representative</w:t>
      </w:r>
      <w:r>
        <w:rPr>
          <w:rFonts w:ascii="Times New Roman" w:cs="Times New Roman" w:eastAsia="Times New Roman" w:hAnsi="Times New Roman"/>
          <w:sz w:val="22"/>
          <w:szCs w:val="22"/>
          <w:color w:val="auto"/>
        </w:rPr>
        <w:t>. [NAME AND TITLE]</w:t>
      </w:r>
    </w:p>
    <w:p>
      <w:pPr>
        <w:spacing w:after="0" w:line="206" w:lineRule="exact"/>
        <w:rPr>
          <w:rFonts w:ascii="Times New Roman" w:cs="Times New Roman" w:eastAsia="Times New Roman" w:hAnsi="Times New Roman"/>
          <w:sz w:val="22"/>
          <w:szCs w:val="22"/>
          <w:b w:val="1"/>
          <w:bCs w:val="1"/>
          <w:color w:val="auto"/>
        </w:rPr>
      </w:pPr>
    </w:p>
    <w:p>
      <w:pPr>
        <w:jc w:val="both"/>
        <w:ind w:left="880" w:hanging="872"/>
        <w:spacing w:after="0" w:line="241" w:lineRule="auto"/>
        <w:tabs>
          <w:tab w:leader="none" w:pos="8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The total compensation due Service Provider for Services under this Statement of Work will not exceed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AMOUNT (numerical amount)]. All amounts due under this Statement of Work will be invoiced in United States Dollars to the attention of [NAME AND TITLE] as follows: [INVOICE SCHEDULE]. All pass through costs must be approved in advance in writing by Synlogic and will not include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both"/>
        <w:ind w:left="880"/>
        <w:spacing w:after="0" w:line="238" w:lineRule="auto"/>
        <w:rPr>
          <w:sz w:val="20"/>
          <w:szCs w:val="20"/>
          <w:color w:val="auto"/>
        </w:rPr>
      </w:pPr>
      <w:r>
        <w:rPr>
          <w:rFonts w:ascii="Times New Roman" w:cs="Times New Roman" w:eastAsia="Times New Roman" w:hAnsi="Times New Roman"/>
          <w:sz w:val="22"/>
          <w:szCs w:val="22"/>
          <w:color w:val="auto"/>
        </w:rPr>
        <w:t>administrative or other additional charges. Amounts due for pass through costs will be invoiced in the billing cycle first following the date they are incurred and invoices will indicate which costs are pass through costs. Payment will be made in accordance with Section 4 (Compensation) of the Agreement. Service Provider agrees that the amounts payable or otherwise provided by Synlogic under this Agreement represent the fair market value of the Services and have not been determined in a manner that takes into account the volume or value of any referrals or business.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terms and conditions of the Agreement will apply to this Statement of Work. In the event of any conflict between this Statement of Work and the terms of the Agreement, the terms of the Agreement will control. A facsimile or portable document format (“.pdf) copy of this Statement of Work, including the signature pages, will be deemed an original.</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w w:val="99"/>
              </w:rPr>
              <w:t>STATEMENT OF WORK AGREED TO AND ACCEPTED BY:</w:t>
            </w:r>
          </w:p>
        </w:tc>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16"/>
        </w:trPr>
        <w:tc>
          <w:tcPr>
            <w:tcW w:w="6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SYNLOGIC OPERATING COMPANY, INC.</w:t>
            </w:r>
          </w:p>
        </w:tc>
        <w:tc>
          <w:tcPr>
            <w:tcW w:w="532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w w:val="99"/>
              </w:rPr>
              <w:t>AZZUR GROUP, D/BA AZZUR OF NEW ENGLAND</w:t>
            </w:r>
          </w:p>
        </w:tc>
      </w:tr>
      <w:tr>
        <w:trPr>
          <w:trHeight w:val="287"/>
        </w:trPr>
        <w:tc>
          <w:tcPr>
            <w:tcW w:w="1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LLC</w:t>
            </w:r>
          </w:p>
        </w:tc>
      </w:tr>
      <w:tr>
        <w:trPr>
          <w:trHeight w:val="65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spacing w:after="0"/>
              <w:rPr>
                <w:sz w:val="24"/>
                <w:szCs w:val="24"/>
                <w:color w:val="auto"/>
              </w:rPr>
            </w:pPr>
          </w:p>
        </w:tc>
      </w:tr>
      <w:tr>
        <w:trPr>
          <w:trHeight w:val="43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36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Print Name:</w:t>
            </w:r>
          </w:p>
        </w:tc>
        <w:tc>
          <w:tcPr>
            <w:tcW w:w="3680" w:type="dxa"/>
            <w:vAlign w:val="bottom"/>
            <w:tcBorders>
              <w:bottom w:val="single" w:sz="8" w:color="auto"/>
            </w:tcBorders>
          </w:tcPr>
          <w:p>
            <w:pPr>
              <w:spacing w:after="0"/>
              <w:rPr>
                <w:sz w:val="24"/>
                <w:szCs w:val="24"/>
                <w:color w:val="auto"/>
              </w:rPr>
            </w:pPr>
          </w:p>
        </w:tc>
      </w:tr>
      <w:tr>
        <w:trPr>
          <w:trHeight w:val="43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Title:</w:t>
            </w:r>
          </w:p>
        </w:tc>
        <w:tc>
          <w:tcPr>
            <w:tcW w:w="3680" w:type="dxa"/>
            <w:vAlign w:val="bottom"/>
            <w:tcBorders>
              <w:bottom w:val="single" w:sz="8" w:color="auto"/>
            </w:tcBorders>
          </w:tcPr>
          <w:p>
            <w:pPr>
              <w:spacing w:after="0"/>
              <w:rPr>
                <w:sz w:val="24"/>
                <w:szCs w:val="24"/>
                <w:color w:val="auto"/>
              </w:rPr>
            </w:pPr>
          </w:p>
        </w:tc>
      </w:tr>
      <w:tr>
        <w:trPr>
          <w:trHeight w:val="43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6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3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ectPr>
          <w:pgSz w:w="11900" w:h="16838" w:orient="portrait"/>
          <w:cols w:equalWidth="0" w:num="1">
            <w:col w:w="11420"/>
          </w:cols>
          <w:pgMar w:left="240" w:top="117" w:right="239" w:bottom="1440" w:gutter="0" w:footer="0" w:header="0"/>
        </w:sectPr>
      </w:pPr>
    </w:p>
    <w:bookmarkStart w:id="139" w:name="page140"/>
    <w:bookmarkEnd w:id="139"/>
    <w:tbl>
      <w:tblPr>
        <w:tblLayout w:type="fixed"/>
        <w:tblInd w:w="3840" w:type="dxa"/>
        <w:tblCellMar>
          <w:top w:w="0" w:type="dxa"/>
          <w:left w:w="0" w:type="dxa"/>
          <w:bottom w:w="0" w:type="dxa"/>
          <w:right w:w="0" w:type="dxa"/>
        </w:tblCellMar>
      </w:tblPr>
      <w:tr>
        <w:trPr>
          <w:trHeight w:val="238"/>
        </w:trPr>
        <w:tc>
          <w:tcPr>
            <w:tcW w:w="5060" w:type="dxa"/>
            <w:vAlign w:val="bottom"/>
          </w:tcPr>
          <w:p>
            <w:pPr>
              <w:jc w:val="center"/>
              <w:ind w:right="1203"/>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w:t>
            </w:r>
          </w:p>
        </w:tc>
        <w:tc>
          <w:tcPr>
            <w:tcW w:w="2520" w:type="dxa"/>
            <w:vAlign w:val="bottom"/>
          </w:tcPr>
          <w:p>
            <w:pPr>
              <w:spacing w:after="0"/>
              <w:rPr>
                <w:sz w:val="20"/>
                <w:szCs w:val="20"/>
                <w:color w:val="auto"/>
              </w:rPr>
            </w:pPr>
          </w:p>
        </w:tc>
      </w:tr>
      <w:tr>
        <w:trPr>
          <w:trHeight w:val="574"/>
        </w:trPr>
        <w:tc>
          <w:tcPr>
            <w:tcW w:w="5060" w:type="dxa"/>
            <w:vAlign w:val="bottom"/>
          </w:tcPr>
          <w:p>
            <w:pPr>
              <w:jc w:val="center"/>
              <w:ind w:right="1143"/>
              <w:spacing w:after="0"/>
              <w:rPr>
                <w:sz w:val="20"/>
                <w:szCs w:val="20"/>
                <w:color w:val="auto"/>
              </w:rPr>
            </w:pPr>
            <w:r>
              <w:rPr>
                <w:rFonts w:ascii="Times New Roman" w:cs="Times New Roman" w:eastAsia="Times New Roman" w:hAnsi="Times New Roman"/>
                <w:sz w:val="29"/>
                <w:szCs w:val="29"/>
                <w:b w:val="1"/>
                <w:bCs w:val="1"/>
                <w:color w:val="auto"/>
                <w:w w:val="99"/>
              </w:rPr>
              <w:t>CONFIDENTIAL</w:t>
            </w:r>
          </w:p>
        </w:tc>
        <w:tc>
          <w:tcPr>
            <w:tcW w:w="2520" w:type="dxa"/>
            <w:vAlign w:val="bottom"/>
          </w:tcPr>
          <w:p>
            <w:pPr>
              <w:ind w:left="1300"/>
              <w:spacing w:after="0"/>
              <w:rPr>
                <w:sz w:val="20"/>
                <w:szCs w:val="20"/>
                <w:color w:val="auto"/>
              </w:rPr>
            </w:pPr>
            <w:r>
              <w:rPr>
                <w:rFonts w:ascii="Times New Roman" w:cs="Times New Roman" w:eastAsia="Times New Roman" w:hAnsi="Times New Roman"/>
                <w:sz w:val="22"/>
                <w:szCs w:val="22"/>
                <w:b w:val="1"/>
                <w:bCs w:val="1"/>
                <w:color w:val="auto"/>
                <w:w w:val="96"/>
              </w:rPr>
              <w:t>Exhibit 10.30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1796415</wp:posOffset>
            </wp:positionV>
            <wp:extent cx="2761615" cy="8489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276161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color w:val="auto"/>
        </w:rPr>
        <w:t>Proposal P-6454 (SOW</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No. 1)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1270</wp:posOffset>
            </wp:positionV>
            <wp:extent cx="2426970" cy="1046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242697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Statement of Work for Suite 1 Rental</w:t>
      </w:r>
    </w:p>
    <w:p>
      <w:pPr>
        <w:spacing w:after="0" w:line="200" w:lineRule="exact"/>
        <w:rPr>
          <w:sz w:val="20"/>
          <w:szCs w:val="20"/>
          <w:color w:val="auto"/>
        </w:rPr>
      </w:pPr>
    </w:p>
    <w:p>
      <w:pPr>
        <w:spacing w:after="0" w:line="25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THIS STATEMENT OF WORK (the “Statement of Work”) by and between Synlogic Operating Company, Inc. (“Synlogic”) and Azzur Group (d/b/a Azzur of New England LLC) (“Service Provider”), will be effective as of the last date of signature below, and upon execution will be incorporated into the Master Contract Services Agreement between Synlogic and Service Provider dated 08 September 2018 (the “Agreement”). Capitalized terms used in this Statement of Work will have the same meaning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940" w:type="dxa"/>
            <w:vAlign w:val="bottom"/>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w:t>
            </w:r>
          </w:p>
        </w:tc>
      </w:tr>
      <w:tr>
        <w:trPr>
          <w:trHeight w:val="574"/>
        </w:trPr>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940" w:type="dxa"/>
            <w:vAlign w:val="bottom"/>
          </w:tcPr>
          <w:p>
            <w:pPr>
              <w:jc w:val="center"/>
              <w:ind w:right="3350"/>
              <w:spacing w:after="0"/>
              <w:rPr>
                <w:sz w:val="20"/>
                <w:szCs w:val="20"/>
                <w:color w:val="auto"/>
              </w:rPr>
            </w:pPr>
            <w:r>
              <w:rPr>
                <w:rFonts w:ascii="Times New Roman" w:cs="Times New Roman" w:eastAsia="Times New Roman" w:hAnsi="Times New Roman"/>
                <w:sz w:val="29"/>
                <w:szCs w:val="29"/>
                <w:b w:val="1"/>
                <w:bCs w:val="1"/>
                <w:color w:val="auto"/>
                <w:w w:val="99"/>
              </w:rPr>
              <w:t>CONFIDENTIAL</w:t>
            </w:r>
          </w:p>
        </w:tc>
      </w:tr>
      <w:tr>
        <w:trPr>
          <w:trHeight w:val="464"/>
        </w:trPr>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940" w:type="dxa"/>
            <w:vAlign w:val="bottom"/>
          </w:tcPr>
          <w:p>
            <w:pPr>
              <w:jc w:val="center"/>
              <w:ind w:right="337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r>
      <w:tr>
        <w:trPr>
          <w:trHeight w:val="649"/>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 – Background/Scope</w:t>
            </w:r>
          </w:p>
        </w:tc>
        <w:tc>
          <w:tcPr>
            <w:tcW w:w="7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2</w:t>
            </w:r>
          </w:p>
        </w:tc>
        <w:tc>
          <w:tcPr>
            <w:tcW w:w="2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Technical Requirements</w:t>
            </w:r>
          </w:p>
        </w:tc>
        <w:tc>
          <w:tcPr>
            <w:tcW w:w="7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3</w:t>
            </w:r>
          </w:p>
        </w:tc>
        <w:tc>
          <w:tcPr>
            <w:tcW w:w="2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Detailed Estimate</w:t>
            </w:r>
          </w:p>
        </w:tc>
        <w:tc>
          <w:tcPr>
            <w:tcW w:w="7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5</w:t>
            </w:r>
          </w:p>
        </w:tc>
        <w:tc>
          <w:tcPr>
            <w:tcW w:w="2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Timeline</w:t>
            </w:r>
          </w:p>
        </w:tc>
        <w:tc>
          <w:tcPr>
            <w:tcW w:w="7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7</w:t>
            </w:r>
          </w:p>
        </w:tc>
        <w:tc>
          <w:tcPr>
            <w:tcW w:w="2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Change History</w:t>
            </w:r>
          </w:p>
        </w:tc>
        <w:tc>
          <w:tcPr>
            <w:tcW w:w="7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3"/>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 – Cleanroom Layout</w:t>
            </w:r>
          </w:p>
        </w:tc>
        <w:tc>
          <w:tcPr>
            <w:tcW w:w="7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spacing w:after="0"/>
        <w:rPr>
          <w:sz w:val="20"/>
          <w:szCs w:val="20"/>
          <w:color w:val="auto"/>
        </w:rPr>
      </w:pPr>
      <w:r>
        <w:rPr>
          <w:rFonts w:ascii="Times New Roman" w:cs="Times New Roman" w:eastAsia="Times New Roman" w:hAnsi="Times New Roman"/>
          <w:sz w:val="29"/>
          <w:szCs w:val="29"/>
          <w:b w:val="1"/>
          <w:bCs w:val="1"/>
          <w:color w:val="auto"/>
        </w:rPr>
        <w:t>Section 1 – Background/Scope</w:t>
      </w:r>
    </w:p>
    <w:p>
      <w:pPr>
        <w:spacing w:after="0" w:line="19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Upon execution of this Statement of Work No. 1 and initiation of a purchase order, Azzur will commence performing this Services set forth in this Statement of Work No. 1. The existence and terms of this agreement shall be considered Confidential Information (as that term is used in the Agreement). Azzur will not subcontract use of the cleanroom or the performance of any Services under this Statement of Work No. 1 to a 3rd party without Synlogic’s written approval. This Statement of Work No. 1 is for the use of Azzur of New England LLC’s Waltham facility, including the cleanroom, warehouse and raw materials laboratory services as well as professional services such as equipment calibration/qualification, quality support and material handling. This Statement of Work No. 1 includes the following Services and associated costs:</w:t>
      </w:r>
    </w:p>
    <w:p>
      <w:pPr>
        <w:spacing w:after="0" w:line="184" w:lineRule="exact"/>
        <w:rPr>
          <w:sz w:val="20"/>
          <w:szCs w:val="20"/>
          <w:color w:val="auto"/>
        </w:rPr>
      </w:pPr>
    </w:p>
    <w:p>
      <w:pPr>
        <w:ind w:left="1740" w:hanging="868"/>
        <w:spacing w:after="0"/>
        <w:tabs>
          <w:tab w:leader="none" w:pos="17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Cleanroom Use and Associated Costs</w:t>
      </w:r>
    </w:p>
    <w:p>
      <w:pPr>
        <w:spacing w:after="0" w:line="206"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Warehousing Use and Associated Costs: [***]</w:t>
      </w:r>
    </w:p>
    <w:p>
      <w:pPr>
        <w:spacing w:after="0" w:line="206"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Warehousing Use and Associated Costs: Use of process gases, [***] and shipping</w:t>
      </w:r>
    </w:p>
    <w:p>
      <w:pPr>
        <w:spacing w:after="0" w:line="206"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of calibration/qualification of equipment planned for use in early phase clinical manufacturing</w:t>
      </w:r>
    </w:p>
    <w:p>
      <w:pPr>
        <w:spacing w:after="0" w:line="206"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Personnel Support</w:t>
      </w:r>
    </w:p>
    <w:p>
      <w:pPr>
        <w:spacing w:after="0" w:line="202" w:lineRule="exact"/>
        <w:rPr>
          <w:sz w:val="20"/>
          <w:szCs w:val="20"/>
          <w:color w:val="auto"/>
        </w:rPr>
      </w:pPr>
    </w:p>
    <w:p>
      <w:pPr>
        <w:ind w:right="1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scope of this Statement of Work No. 1 does not include procurement/purchase of equipment, raw materials, consumables etc. on behalf of Synlogic. Any such items will be invoiced to Synlogic at cost plus a processing/handling/storage fee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17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Several assumptions have been made to develop Section 3 of this Statement of Work No. 1, which contains the breakdown of hours and costs for each Service described in this Statement of Work No. 1. Changes to the Services can be addressed via an amendment to this Statement of Work No. 1 or via a change order, in each case executed an authorized representative of each party; provided that Azzur will not incur any additional costs that are not set forth in this Statement of Work No. 1 until an amendment or change order specifying such additional costs is executed by each party.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Section 2 – Technical Requirements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AZZUR personnel will be experienced with FDA facility compliance expectations. AZZUR has based this Statement of Work No.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upon the following documents.</w:t>
      </w:r>
    </w:p>
    <w:p>
      <w:pPr>
        <w:spacing w:after="0" w:line="182" w:lineRule="exact"/>
        <w:rPr>
          <w:sz w:val="20"/>
          <w:szCs w:val="20"/>
          <w:color w:val="auto"/>
        </w:rPr>
      </w:pPr>
    </w:p>
    <w:p>
      <w:pPr>
        <w:ind w:left="1760" w:right="240" w:hanging="442"/>
        <w:spacing w:after="0" w:line="258" w:lineRule="auto"/>
        <w:tabs>
          <w:tab w:leader="none" w:pos="1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of Federal Regulations Title 21 Part 210 – Current Good Manufacturing Practice in the Manufacturing, Processing, Packing, or Holding of Drugs; General</w:t>
      </w:r>
    </w:p>
    <w:p>
      <w:pPr>
        <w:spacing w:after="0" w:line="158" w:lineRule="exact"/>
        <w:rPr>
          <w:rFonts w:ascii="Times New Roman" w:cs="Times New Roman" w:eastAsia="Times New Roman" w:hAnsi="Times New Roman"/>
          <w:sz w:val="22"/>
          <w:szCs w:val="22"/>
          <w:color w:val="auto"/>
        </w:rPr>
      </w:pPr>
    </w:p>
    <w:p>
      <w:pPr>
        <w:ind w:left="1760" w:right="1080" w:hanging="442"/>
        <w:spacing w:after="0" w:line="258" w:lineRule="auto"/>
        <w:tabs>
          <w:tab w:leader="none" w:pos="1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of Federal Regulations Title 21 Part 211 – Current Good Manufacturing Practice for Finished Pharmaceutical</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42" w:name="page143"/>
    <w:bookmarkEnd w:id="1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left="1760" w:right="660" w:hanging="442"/>
        <w:spacing w:after="0" w:line="237" w:lineRule="auto"/>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ASTM E-2500 – 07 – Standard Guide for Specification, Design, and Verification of Pharmaceutical and Biopharmaceutical Manufacturing Systems and Equipment</w:t>
      </w:r>
    </w:p>
    <w:p>
      <w:pPr>
        <w:spacing w:after="0" w:line="17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Applied Risk Management for Commissioning and Qualification</w:t>
      </w:r>
    </w:p>
    <w:p>
      <w:pPr>
        <w:spacing w:after="0" w:line="206" w:lineRule="exact"/>
        <w:rPr>
          <w:rFonts w:ascii="Times New Roman" w:cs="Times New Roman" w:eastAsia="Times New Roman" w:hAnsi="Times New Roman"/>
          <w:sz w:val="22"/>
          <w:szCs w:val="22"/>
          <w:color w:val="auto"/>
        </w:rPr>
      </w:pPr>
    </w:p>
    <w:p>
      <w:pPr>
        <w:ind w:left="1760" w:right="600" w:hanging="442"/>
        <w:spacing w:after="0" w:line="258" w:lineRule="auto"/>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Science and Risk-Based Approach for the Delivery of Facility Systems and Equipment</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Good Engineering Practices</w:t>
      </w:r>
    </w:p>
    <w:p>
      <w:pPr>
        <w:spacing w:after="0" w:line="206" w:lineRule="exact"/>
        <w:rPr>
          <w:rFonts w:ascii="Times New Roman" w:cs="Times New Roman" w:eastAsia="Times New Roman" w:hAnsi="Times New Roman"/>
          <w:sz w:val="22"/>
          <w:szCs w:val="22"/>
          <w:color w:val="auto"/>
        </w:rPr>
      </w:pPr>
    </w:p>
    <w:p>
      <w:pPr>
        <w:ind w:left="1760" w:right="160" w:hanging="442"/>
        <w:spacing w:after="0" w:line="258" w:lineRule="auto"/>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PDA Technical Report 56 – Application of Phase Appropriate Quality System and cGMP to the Development of Therapeutic Protein Drug Substance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Section 3 – Detailed Estimate</w:t>
      </w:r>
    </w:p>
    <w:p>
      <w:pPr>
        <w:spacing w:after="0" w:line="227" w:lineRule="exact"/>
        <w:rPr>
          <w:sz w:val="20"/>
          <w:szCs w:val="20"/>
          <w:color w:val="auto"/>
        </w:rPr>
      </w:pPr>
    </w:p>
    <w:p>
      <w:pPr>
        <w:ind w:left="880" w:hanging="872"/>
        <w:spacing w:after="0"/>
        <w:tabs>
          <w:tab w:leader="none" w:pos="88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Cleanroom Use Costs</w:t>
      </w:r>
    </w:p>
    <w:p>
      <w:pPr>
        <w:spacing w:after="0" w:line="210" w:lineRule="exact"/>
        <w:rPr>
          <w:sz w:val="20"/>
          <w:szCs w:val="20"/>
          <w:color w:val="auto"/>
        </w:rPr>
      </w:pPr>
    </w:p>
    <w:p>
      <w:pPr>
        <w:ind w:right="5340"/>
        <w:spacing w:after="0" w:line="456" w:lineRule="auto"/>
        <w:rPr>
          <w:sz w:val="20"/>
          <w:szCs w:val="20"/>
          <w:color w:val="auto"/>
        </w:rPr>
      </w:pPr>
      <w:r>
        <w:rPr>
          <w:rFonts w:ascii="Times New Roman" w:cs="Times New Roman" w:eastAsia="Times New Roman" w:hAnsi="Times New Roman"/>
          <w:sz w:val="21"/>
          <w:szCs w:val="21"/>
          <w:color w:val="auto"/>
        </w:rPr>
        <w:t>The proposed cleanroom (Suite 1) for use by Synlogic includes [***]. A copy of the layout diagram of Suite 1 is attached as Exhibit A. The following items are included in the cost of the cleanroom use:</w:t>
      </w:r>
    </w:p>
    <w:p>
      <w:pPr>
        <w:spacing w:after="0" w:line="1" w:lineRule="exact"/>
        <w:rPr>
          <w:sz w:val="20"/>
          <w:szCs w:val="20"/>
          <w:color w:val="auto"/>
        </w:rPr>
      </w:pPr>
    </w:p>
    <w:p>
      <w:pPr>
        <w:ind w:left="1760" w:hanging="442"/>
        <w:spacing w:after="0"/>
        <w:tabs>
          <w:tab w:leader="none" w:pos="1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qualified/maintained core and gowning areas – Qualified to ISO standards</w:t>
      </w:r>
    </w:p>
    <w:p>
      <w:pPr>
        <w:spacing w:after="0" w:line="189" w:lineRule="exact"/>
        <w:rPr>
          <w:rFonts w:ascii="Times New Roman" w:cs="Times New Roman" w:eastAsia="Times New Roman" w:hAnsi="Times New Roman"/>
          <w:sz w:val="22"/>
          <w:szCs w:val="22"/>
          <w:color w:val="auto"/>
        </w:rPr>
      </w:pPr>
    </w:p>
    <w:p>
      <w:pPr>
        <w:ind w:left="2200"/>
        <w:spacing w:after="0"/>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All entry/exit door to classified spaces will be interlocked</w:t>
      </w:r>
    </w:p>
    <w:p>
      <w:pPr>
        <w:spacing w:after="0" w:line="187" w:lineRule="exact"/>
        <w:rPr>
          <w:rFonts w:ascii="Times New Roman" w:cs="Times New Roman" w:eastAsia="Times New Roman" w:hAnsi="Times New Roman"/>
          <w:sz w:val="22"/>
          <w:szCs w:val="22"/>
          <w:color w:val="auto"/>
        </w:rPr>
      </w:pPr>
    </w:p>
    <w:p>
      <w:pPr>
        <w:ind w:left="2200"/>
        <w:spacing w:after="0"/>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Room differential pressures will be monitored on a routine basis (at least every 24 hours)</w:t>
      </w:r>
    </w:p>
    <w:p>
      <w:pPr>
        <w:spacing w:after="0" w:line="204"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Cleanroom cleaning</w:t>
      </w:r>
    </w:p>
    <w:p>
      <w:pPr>
        <w:spacing w:after="0" w:line="206" w:lineRule="exact"/>
        <w:rPr>
          <w:sz w:val="20"/>
          <w:szCs w:val="20"/>
          <w:color w:val="auto"/>
        </w:rPr>
      </w:pPr>
    </w:p>
    <w:p>
      <w:pPr>
        <w:ind w:left="2620" w:right="120" w:hanging="424"/>
        <w:spacing w:after="0" w:line="241" w:lineRule="auto"/>
        <w:tabs>
          <w:tab w:leader="none" w:pos="2620" w:val="left"/>
        </w:tabs>
        <w:numPr>
          <w:ilvl w:val="0"/>
          <w:numId w:val="9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Weekly – Horizontal and vertical surfaces including wiped using IPA, floors vacuumed and mopped using the latest version of the following approved cleaning solution [***].</w:t>
      </w:r>
    </w:p>
    <w:p>
      <w:pPr>
        <w:spacing w:after="0" w:line="175" w:lineRule="exact"/>
        <w:rPr>
          <w:rFonts w:ascii="Courier New" w:cs="Courier New" w:eastAsia="Courier New" w:hAnsi="Courier New"/>
          <w:sz w:val="22"/>
          <w:szCs w:val="22"/>
          <w:color w:val="auto"/>
        </w:rPr>
      </w:pPr>
    </w:p>
    <w:p>
      <w:pPr>
        <w:ind w:left="2620" w:right="180" w:hanging="424"/>
        <w:spacing w:after="0" w:line="241" w:lineRule="auto"/>
        <w:tabs>
          <w:tab w:leader="none" w:pos="2620" w:val="left"/>
        </w:tabs>
        <w:numPr>
          <w:ilvl w:val="0"/>
          <w:numId w:val="9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Monthly – Same as weekly cleaning followed by second cleaning using approved cleaning solution on all surfaces [***].</w:t>
      </w:r>
    </w:p>
    <w:p>
      <w:pPr>
        <w:spacing w:after="0" w:line="175" w:lineRule="exact"/>
        <w:rPr>
          <w:rFonts w:ascii="Courier New" w:cs="Courier New" w:eastAsia="Courier New" w:hAnsi="Courier New"/>
          <w:sz w:val="22"/>
          <w:szCs w:val="22"/>
          <w:color w:val="auto"/>
        </w:rPr>
      </w:pPr>
    </w:p>
    <w:p>
      <w:pPr>
        <w:ind w:left="2620" w:hanging="424"/>
        <w:spacing w:after="0"/>
        <w:tabs>
          <w:tab w:leader="none" w:pos="2620" w:val="left"/>
        </w:tabs>
        <w:numPr>
          <w:ilvl w:val="0"/>
          <w:numId w:val="9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Quarterly (once every 3 months) – Same as monthly cleaning [***]</w:t>
      </w:r>
    </w:p>
    <w:p>
      <w:pPr>
        <w:spacing w:after="0" w:line="187" w:lineRule="exact"/>
        <w:rPr>
          <w:rFonts w:ascii="Courier New" w:cs="Courier New" w:eastAsia="Courier New" w:hAnsi="Courier New"/>
          <w:sz w:val="22"/>
          <w:szCs w:val="22"/>
          <w:color w:val="auto"/>
        </w:rPr>
      </w:pPr>
    </w:p>
    <w:p>
      <w:pPr>
        <w:ind w:left="2620" w:right="560" w:hanging="424"/>
        <w:spacing w:after="0" w:line="241" w:lineRule="auto"/>
        <w:tabs>
          <w:tab w:leader="none" w:pos="2620" w:val="left"/>
        </w:tabs>
        <w:numPr>
          <w:ilvl w:val="0"/>
          <w:numId w:val="9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Triple clean – Quarterly cleaning performed 3 times. Performed on an as needed basis between campaigns or at Synlogic’s request.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left="1760" w:right="60" w:hanging="442"/>
        <w:spacing w:after="0" w:line="235" w:lineRule="auto"/>
        <w:tabs>
          <w:tab w:leader="none" w:pos="1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and badge access control. Facility access to Suite 1 is not restricted, on the basis that Azzur safety policies are met. Personnel may not work as a lone worker outside of regular business hours (Monday – Friday, 0700-1800).</w:t>
      </w:r>
    </w:p>
    <w:p>
      <w:pPr>
        <w:spacing w:after="0" w:line="17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Back-up power (backup generator in place)</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Routine Environmental Monitoring</w:t>
      </w:r>
    </w:p>
    <w:p>
      <w:pPr>
        <w:spacing w:after="0" w:line="206" w:lineRule="exact"/>
        <w:rPr>
          <w:sz w:val="20"/>
          <w:szCs w:val="20"/>
          <w:color w:val="auto"/>
        </w:rPr>
      </w:pPr>
    </w:p>
    <w:p>
      <w:pPr>
        <w:ind w:left="2620" w:right="460" w:hanging="424"/>
        <w:spacing w:after="0" w:line="241" w:lineRule="auto"/>
        <w:tabs>
          <w:tab w:leader="none" w:pos="2620" w:val="left"/>
        </w:tabs>
        <w:numPr>
          <w:ilvl w:val="1"/>
          <w:numId w:val="10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Weekly TAP, Viable Air and Surface Monitoring – Additional environmental monitoring may be completed upon request as time &amp; materials.</w:t>
      </w:r>
    </w:p>
    <w:p>
      <w:pPr>
        <w:spacing w:after="0" w:line="175" w:lineRule="exact"/>
        <w:rPr>
          <w:rFonts w:ascii="Courier New" w:cs="Courier New" w:eastAsia="Courier New" w:hAnsi="Courier New"/>
          <w:sz w:val="22"/>
          <w:szCs w:val="22"/>
          <w:color w:val="auto"/>
        </w:rPr>
      </w:pPr>
    </w:p>
    <w:p>
      <w:pPr>
        <w:ind w:left="1760" w:hanging="442"/>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Utilities</w:t>
      </w:r>
    </w:p>
    <w:p>
      <w:pPr>
        <w:spacing w:after="0" w:line="206" w:lineRule="exact"/>
        <w:rPr>
          <w:rFonts w:ascii="Times New Roman" w:cs="Times New Roman" w:eastAsia="Times New Roman" w:hAnsi="Times New Roman"/>
          <w:sz w:val="22"/>
          <w:szCs w:val="22"/>
          <w:color w:val="auto"/>
        </w:rPr>
      </w:pPr>
    </w:p>
    <w:p>
      <w:pPr>
        <w:ind w:left="2620" w:hanging="424"/>
        <w:spacing w:after="0"/>
        <w:tabs>
          <w:tab w:leader="none" w:pos="2620" w:val="left"/>
        </w:tabs>
        <w:numPr>
          <w:ilvl w:val="1"/>
          <w:numId w:val="10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Power, water (hand washing sink)</w:t>
      </w:r>
    </w:p>
    <w:p>
      <w:pPr>
        <w:spacing w:after="0" w:line="187" w:lineRule="exact"/>
        <w:rPr>
          <w:rFonts w:ascii="Courier New" w:cs="Courier New" w:eastAsia="Courier New" w:hAnsi="Courier New"/>
          <w:sz w:val="22"/>
          <w:szCs w:val="22"/>
          <w:color w:val="auto"/>
        </w:rPr>
      </w:pPr>
    </w:p>
    <w:p>
      <w:pPr>
        <w:ind w:left="1760" w:hanging="442"/>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Pest Control</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Waste Disposal (Biological, Hazardous, Non-Hazardous)</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certification/maintenance for existing [***].</w:t>
      </w:r>
    </w:p>
    <w:p>
      <w:pPr>
        <w:spacing w:after="0" w:line="206" w:lineRule="exact"/>
        <w:rPr>
          <w:rFonts w:ascii="Times New Roman" w:cs="Times New Roman" w:eastAsia="Times New Roman" w:hAnsi="Times New Roman"/>
          <w:sz w:val="22"/>
          <w:szCs w:val="22"/>
          <w:color w:val="auto"/>
        </w:rPr>
      </w:pPr>
    </w:p>
    <w:p>
      <w:pPr>
        <w:ind w:right="60" w:firstLine="1318"/>
        <w:spacing w:after="0" w:line="454" w:lineRule="auto"/>
        <w:tabs>
          <w:tab w:leader="none" w:pos="17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repair or maintenance on all aspects of the classified space (e.g. HVAC maintenance, routine repairs) The table below includes the all-inclusive cost of all items listed above. Equipment rental of an additional [***] is also available.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 Cleanroom Use Costs</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25"/>
        </w:trPr>
        <w:tc>
          <w:tcPr>
            <w:tcW w:w="572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2840" w:type="dxa"/>
            <w:vAlign w:val="bottom"/>
            <w:tcBorders>
              <w:top w:val="single" w:sz="8" w:color="auto"/>
              <w:right w:val="single" w:sz="8" w:color="auto"/>
            </w:tcBorders>
            <w:shd w:val="clear" w:color="auto" w:fill="D9D9D9"/>
          </w:tcPr>
          <w:p>
            <w:pPr>
              <w:spacing w:after="0"/>
              <w:rPr>
                <w:sz w:val="19"/>
                <w:szCs w:val="19"/>
                <w:color w:val="auto"/>
              </w:rPr>
            </w:pPr>
          </w:p>
        </w:tc>
        <w:tc>
          <w:tcPr>
            <w:tcW w:w="2860" w:type="dxa"/>
            <w:vAlign w:val="bottom"/>
            <w:tcBorders>
              <w:top w:val="single" w:sz="8" w:color="auto"/>
              <w:right w:val="single" w:sz="8" w:color="auto"/>
            </w:tcBorders>
            <w:shd w:val="clear" w:color="auto" w:fill="D9D9D9"/>
          </w:tcPr>
          <w:p>
            <w:pPr>
              <w:jc w:val="right"/>
              <w:ind w:right="872"/>
              <w:spacing w:after="0" w:line="225" w:lineRule="exact"/>
              <w:rPr>
                <w:sz w:val="20"/>
                <w:szCs w:val="20"/>
                <w:color w:val="auto"/>
              </w:rPr>
            </w:pPr>
            <w:r>
              <w:rPr>
                <w:rFonts w:ascii="Times New Roman" w:cs="Times New Roman" w:eastAsia="Times New Roman" w:hAnsi="Times New Roman"/>
                <w:sz w:val="22"/>
                <w:szCs w:val="22"/>
                <w:b w:val="1"/>
                <w:bCs w:val="1"/>
                <w:color w:val="auto"/>
              </w:rPr>
              <w:t>Estimated</w:t>
            </w:r>
          </w:p>
        </w:tc>
      </w:tr>
      <w:tr>
        <w:trPr>
          <w:trHeight w:val="275"/>
        </w:trPr>
        <w:tc>
          <w:tcPr>
            <w:tcW w:w="572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Item Description</w:t>
            </w:r>
          </w:p>
        </w:tc>
        <w:tc>
          <w:tcPr>
            <w:tcW w:w="2840" w:type="dxa"/>
            <w:vAlign w:val="bottom"/>
            <w:tcBorders>
              <w:bottom w:val="single" w:sz="8" w:color="auto"/>
              <w:right w:val="single" w:sz="8" w:color="auto"/>
            </w:tcBorders>
            <w:shd w:val="clear" w:color="auto" w:fill="D9D9D9"/>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Per Month</w:t>
            </w:r>
          </w:p>
        </w:tc>
        <w:tc>
          <w:tcPr>
            <w:tcW w:w="2860" w:type="dxa"/>
            <w:vAlign w:val="bottom"/>
            <w:tcBorders>
              <w:bottom w:val="single" w:sz="8" w:color="auto"/>
              <w:right w:val="single" w:sz="8" w:color="auto"/>
            </w:tcBorders>
            <w:shd w:val="clear" w:color="auto" w:fill="D9D9D9"/>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Total Cost*</w:t>
            </w:r>
          </w:p>
        </w:tc>
      </w:tr>
      <w:tr>
        <w:trPr>
          <w:trHeight w:val="237"/>
        </w:trPr>
        <w:tc>
          <w:tcPr>
            <w:tcW w:w="57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Cleanroom Use Costs (Fixed Price)</w:t>
            </w:r>
          </w:p>
        </w:tc>
        <w:tc>
          <w:tcPr>
            <w:tcW w:w="28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Equipment Rental – additional BSC</w:t>
            </w:r>
          </w:p>
        </w:tc>
        <w:tc>
          <w:tcPr>
            <w:tcW w:w="28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720" w:type="dxa"/>
            <w:vAlign w:val="bottom"/>
            <w:tcBorders>
              <w:left w:val="single" w:sz="8" w:color="auto"/>
              <w:bottom w:val="single" w:sz="8" w:color="auto"/>
              <w:right w:val="single" w:sz="8" w:color="D9D9D9"/>
            </w:tcBorders>
            <w:shd w:val="clear" w:color="auto" w:fill="D9D9D9"/>
          </w:tcPr>
          <w:p>
            <w:pPr>
              <w:ind w:left="360"/>
              <w:spacing w:after="0" w:line="237" w:lineRule="exact"/>
              <w:rPr>
                <w:sz w:val="20"/>
                <w:szCs w:val="20"/>
                <w:color w:val="auto"/>
              </w:rPr>
            </w:pPr>
            <w:r>
              <w:rPr>
                <w:rFonts w:ascii="Times New Roman" w:cs="Times New Roman" w:eastAsia="Times New Roman" w:hAnsi="Times New Roman"/>
                <w:sz w:val="22"/>
                <w:szCs w:val="22"/>
                <w:color w:val="auto"/>
              </w:rPr>
              <w:t>Total Cost</w:t>
            </w:r>
          </w:p>
        </w:tc>
        <w:tc>
          <w:tcPr>
            <w:tcW w:w="2840" w:type="dxa"/>
            <w:vAlign w:val="bottom"/>
            <w:tcBorders>
              <w:bottom w:val="single" w:sz="8" w:color="auto"/>
              <w:right w:val="single" w:sz="8" w:color="auto"/>
            </w:tcBorders>
            <w:shd w:val="clear" w:color="auto" w:fill="D9D9D9"/>
          </w:tcPr>
          <w:p>
            <w:pPr>
              <w:spacing w:after="0"/>
              <w:rPr>
                <w:sz w:val="20"/>
                <w:szCs w:val="20"/>
                <w:color w:val="auto"/>
              </w:rPr>
            </w:pPr>
          </w:p>
        </w:tc>
        <w:tc>
          <w:tcPr>
            <w:tcW w:w="286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discussions with Synlogic the cleanroom will be used for a duration of 6 months starting November 2018.</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Synlogic’s personnel using the classified areas are to be trained on Azzur SOPs on gowning, personnel movement, material control etc., costs for such training will be covered under quality personnel costs (Time and Materials).</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Any gowns, gloves, wipes and similar disposables supplied by Azzur for Synlogic’s use will be invoiced at cost [***] for stocking, storage and handling.</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left="880" w:hanging="872"/>
        <w:spacing w:after="0"/>
        <w:tabs>
          <w:tab w:leader="none" w:pos="88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Warehousing Use Costs: Ambient and Cold Storage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Azzur warehouse is approximately [***], including the receiving/loading dock.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items are included in the cost of the warehouse use:</w:t>
      </w:r>
    </w:p>
    <w:p>
      <w:pPr>
        <w:spacing w:after="0" w:line="206" w:lineRule="exact"/>
        <w:rPr>
          <w:sz w:val="20"/>
          <w:szCs w:val="20"/>
          <w:color w:val="auto"/>
        </w:rPr>
      </w:pPr>
    </w:p>
    <w:p>
      <w:pPr>
        <w:ind w:left="1760" w:right="720" w:hanging="442"/>
        <w:spacing w:after="0" w:line="258" w:lineRule="auto"/>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Escorted access to secure, qualified and monitored warehouse – Qualified/monitored for temp/humidity control, security cameras and badge access is in place.</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storage space – 1 pallet total required.</w:t>
      </w:r>
    </w:p>
    <w:p>
      <w:pPr>
        <w:spacing w:after="0" w:line="206" w:lineRule="exact"/>
        <w:rPr>
          <w:rFonts w:ascii="Times New Roman" w:cs="Times New Roman" w:eastAsia="Times New Roman" w:hAnsi="Times New Roman"/>
          <w:sz w:val="22"/>
          <w:szCs w:val="22"/>
          <w:color w:val="auto"/>
        </w:rPr>
      </w:pPr>
    </w:p>
    <w:p>
      <w:pPr>
        <w:ind w:left="1760" w:right="60" w:hanging="442"/>
        <w:spacing w:after="0" w:line="258" w:lineRule="auto"/>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storage space – Based on discussions with Synlogic, it is estimated that a total of [***]. All CTUs will be monitored for temperature and trends of such monitoring provided to Synlogic upon request.</w:t>
      </w:r>
    </w:p>
    <w:p>
      <w:pPr>
        <w:spacing w:after="0" w:line="158" w:lineRule="exact"/>
        <w:rPr>
          <w:rFonts w:ascii="Times New Roman" w:cs="Times New Roman" w:eastAsia="Times New Roman" w:hAnsi="Times New Roman"/>
          <w:sz w:val="22"/>
          <w:szCs w:val="22"/>
          <w:color w:val="auto"/>
        </w:rPr>
      </w:pPr>
    </w:p>
    <w:p>
      <w:pPr>
        <w:ind w:left="1760" w:right="320" w:hanging="442"/>
        <w:spacing w:after="0" w:line="258" w:lineRule="auto"/>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Warehouse cleaning and maintenance – The warehouse will be cleaned on a regular basis and maintained by Azzur. Routine revalidations will be performed per Azzur requirements.</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Back-up power (backup generator in place)</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Utilities</w:t>
      </w:r>
    </w:p>
    <w:p>
      <w:pPr>
        <w:spacing w:after="0" w:line="206" w:lineRule="exact"/>
        <w:rPr>
          <w:sz w:val="20"/>
          <w:szCs w:val="20"/>
          <w:color w:val="auto"/>
        </w:rPr>
      </w:pPr>
    </w:p>
    <w:p>
      <w:pPr>
        <w:ind w:left="2620" w:hanging="424"/>
        <w:spacing w:after="0"/>
        <w:tabs>
          <w:tab w:leader="none" w:pos="2620" w:val="left"/>
        </w:tabs>
        <w:numPr>
          <w:ilvl w:val="1"/>
          <w:numId w:val="10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Power, water</w:t>
      </w:r>
    </w:p>
    <w:p>
      <w:pPr>
        <w:spacing w:after="0" w:line="187" w:lineRule="exact"/>
        <w:rPr>
          <w:rFonts w:ascii="Courier New" w:cs="Courier New" w:eastAsia="Courier New" w:hAnsi="Courier New"/>
          <w:sz w:val="22"/>
          <w:szCs w:val="22"/>
          <w:color w:val="auto"/>
        </w:rPr>
      </w:pPr>
    </w:p>
    <w:p>
      <w:pPr>
        <w:ind w:left="1760" w:hanging="442"/>
        <w:spacing w:after="0"/>
        <w:tabs>
          <w:tab w:leader="none" w:pos="1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Pest Control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 below includes the all-inclusive cost of all items listed above.</w:t>
      </w: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Table 2: [***]</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Item Description</w:t>
            </w:r>
          </w:p>
        </w:tc>
        <w:tc>
          <w:tcPr>
            <w:tcW w:w="760" w:type="dxa"/>
            <w:vAlign w:val="bottom"/>
            <w:tcBorders>
              <w:top w:val="single" w:sz="8" w:color="auto"/>
              <w:bottom w:val="single" w:sz="8" w:color="auto"/>
            </w:tcBorders>
            <w:shd w:val="clear" w:color="auto" w:fill="D9D9D9"/>
          </w:tcPr>
          <w:p>
            <w:pPr>
              <w:spacing w:after="0"/>
              <w:rPr>
                <w:sz w:val="22"/>
                <w:szCs w:val="22"/>
                <w:color w:val="auto"/>
              </w:rPr>
            </w:pPr>
          </w:p>
        </w:tc>
        <w:tc>
          <w:tcPr>
            <w:tcW w:w="3180" w:type="dxa"/>
            <w:vAlign w:val="bottom"/>
            <w:tcBorders>
              <w:top w:val="single" w:sz="8" w:color="auto"/>
              <w:bottom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22"/>
                <w:szCs w:val="22"/>
                <w:b w:val="1"/>
                <w:bCs w:val="1"/>
                <w:color w:val="auto"/>
              </w:rPr>
              <w:t>Unit Cost Per Month</w:t>
            </w:r>
          </w:p>
        </w:tc>
        <w:tc>
          <w:tcPr>
            <w:tcW w:w="3960" w:type="dxa"/>
            <w:vAlign w:val="bottom"/>
            <w:tcBorders>
              <w:top w:val="single" w:sz="8" w:color="auto"/>
              <w:bottom w:val="single" w:sz="8" w:color="auto"/>
              <w:right w:val="single" w:sz="8" w:color="auto"/>
            </w:tcBorders>
            <w:shd w:val="clear" w:color="auto" w:fill="D9D9D9"/>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Estimated Total Cost*</w:t>
            </w:r>
          </w:p>
        </w:tc>
      </w:tr>
      <w:tr>
        <w:trPr>
          <w:trHeight w:val="237"/>
        </w:trPr>
        <w:tc>
          <w:tcPr>
            <w:tcW w:w="35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33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5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33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5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33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5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33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520" w:type="dxa"/>
            <w:vAlign w:val="bottom"/>
            <w:tcBorders>
              <w:left w:val="single" w:sz="8" w:color="auto"/>
              <w:bottom w:val="single" w:sz="8" w:color="auto"/>
              <w:right w:val="single" w:sz="8" w:color="D9D9D9"/>
            </w:tcBorders>
            <w:shd w:val="clear" w:color="auto" w:fill="D9D9D9"/>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w w:val="96"/>
              </w:rPr>
              <w:t>Warehouse Use Total Estimated Cost</w:t>
            </w:r>
          </w:p>
        </w:tc>
        <w:tc>
          <w:tcPr>
            <w:tcW w:w="760" w:type="dxa"/>
            <w:vAlign w:val="bottom"/>
            <w:tcBorders>
              <w:bottom w:val="single" w:sz="8" w:color="auto"/>
            </w:tcBorders>
            <w:shd w:val="clear" w:color="auto" w:fill="D9D9D9"/>
          </w:tcPr>
          <w:p>
            <w:pPr>
              <w:spacing w:after="0"/>
              <w:rPr>
                <w:sz w:val="20"/>
                <w:szCs w:val="20"/>
                <w:color w:val="auto"/>
              </w:rPr>
            </w:pPr>
          </w:p>
        </w:tc>
        <w:tc>
          <w:tcPr>
            <w:tcW w:w="3180" w:type="dxa"/>
            <w:vAlign w:val="bottom"/>
            <w:tcBorders>
              <w:bottom w:val="single" w:sz="8" w:color="auto"/>
              <w:right w:val="single" w:sz="8" w:color="auto"/>
            </w:tcBorders>
            <w:shd w:val="clear" w:color="auto" w:fill="D9D9D9"/>
          </w:tcPr>
          <w:p>
            <w:pPr>
              <w:spacing w:after="0"/>
              <w:rPr>
                <w:sz w:val="20"/>
                <w:szCs w:val="20"/>
                <w:color w:val="auto"/>
              </w:rPr>
            </w:pPr>
          </w:p>
        </w:tc>
        <w:tc>
          <w:tcPr>
            <w:tcW w:w="3960" w:type="dxa"/>
            <w:vAlign w:val="bottom"/>
            <w:tcBorders>
              <w:bottom w:val="single" w:sz="8" w:color="auto"/>
              <w:right w:val="single" w:sz="8" w:color="auto"/>
            </w:tcBorders>
          </w:tcPr>
          <w:p>
            <w:pPr>
              <w:jc w:val="right"/>
              <w:ind w:right="303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Storage will be used by Synlogic for 7 months starting October 2018.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storage costs will be invoiced from October 2018 to April 2019, irrespective of use.</w:t>
      </w:r>
    </w:p>
    <w:p>
      <w:pPr>
        <w:spacing w:after="0" w:line="20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left="880" w:hanging="872"/>
        <w:spacing w:after="0"/>
        <w:tabs>
          <w:tab w:leader="none" w:pos="88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Warehousing Costs: Use of process gases,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and shipping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section provides the standard costs for use of process gases, [***] and shipping to and from the Azzur site in Waltham.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items are included in these costs:</w:t>
      </w:r>
    </w:p>
    <w:p>
      <w:pPr>
        <w:spacing w:after="0" w:line="206" w:lineRule="exact"/>
        <w:rPr>
          <w:sz w:val="20"/>
          <w:szCs w:val="20"/>
          <w:color w:val="auto"/>
        </w:rPr>
      </w:pPr>
    </w:p>
    <w:p>
      <w:pPr>
        <w:ind w:left="1760" w:right="400" w:hanging="442"/>
        <w:spacing w:after="0" w:line="258" w:lineRule="auto"/>
        <w:tabs>
          <w:tab w:leader="none" w:pos="17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process gases [***]. Azzur will house and maintain gas cylinders for Synlogic use. Process gases will be piped into the cleanroom for use.</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during processing for freezing step.</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Shipping of materials to and from the Azzur site using an Azzur van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 below includes the costs of all items listed above for the duration of the project.</w:t>
      </w: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Table 3: [***]</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52"/>
        </w:trPr>
        <w:tc>
          <w:tcPr>
            <w:tcW w:w="1920" w:type="dxa"/>
            <w:vAlign w:val="bottom"/>
            <w:tcBorders>
              <w:top w:val="single" w:sz="8" w:color="auto"/>
              <w:left w:val="single" w:sz="8" w:color="auto"/>
            </w:tcBorders>
            <w:shd w:val="clear" w:color="auto" w:fill="D9D9D9"/>
          </w:tcPr>
          <w:p>
            <w:pPr>
              <w:spacing w:after="0"/>
              <w:rPr>
                <w:sz w:val="21"/>
                <w:szCs w:val="21"/>
                <w:color w:val="auto"/>
              </w:rPr>
            </w:pPr>
          </w:p>
        </w:tc>
        <w:tc>
          <w:tcPr>
            <w:tcW w:w="2600" w:type="dxa"/>
            <w:vAlign w:val="bottom"/>
            <w:tcBorders>
              <w:top w:val="single" w:sz="8" w:color="auto"/>
              <w:right w:val="single" w:sz="8" w:color="auto"/>
            </w:tcBorders>
            <w:shd w:val="clear" w:color="auto" w:fill="D9D9D9"/>
          </w:tcPr>
          <w:p>
            <w:pPr>
              <w:spacing w:after="0"/>
              <w:rPr>
                <w:sz w:val="21"/>
                <w:szCs w:val="21"/>
                <w:color w:val="auto"/>
              </w:rPr>
            </w:pPr>
          </w:p>
        </w:tc>
        <w:tc>
          <w:tcPr>
            <w:tcW w:w="1140" w:type="dxa"/>
            <w:vAlign w:val="bottom"/>
            <w:tcBorders>
              <w:top w:val="single" w:sz="8" w:color="auto"/>
            </w:tcBorders>
            <w:shd w:val="clear" w:color="auto" w:fill="D9D9D9"/>
          </w:tcPr>
          <w:p>
            <w:pPr>
              <w:spacing w:after="0"/>
              <w:rPr>
                <w:sz w:val="21"/>
                <w:szCs w:val="21"/>
                <w:color w:val="auto"/>
              </w:rPr>
            </w:pPr>
          </w:p>
        </w:tc>
        <w:tc>
          <w:tcPr>
            <w:tcW w:w="2160" w:type="dxa"/>
            <w:vAlign w:val="bottom"/>
            <w:tcBorders>
              <w:top w:val="single" w:sz="8" w:color="auto"/>
              <w:right w:val="single" w:sz="8" w:color="auto"/>
            </w:tcBorders>
            <w:shd w:val="clear" w:color="auto" w:fill="D9D9D9"/>
          </w:tcPr>
          <w:p>
            <w:pPr>
              <w:spacing w:after="0"/>
              <w:rPr>
                <w:sz w:val="21"/>
                <w:szCs w:val="21"/>
                <w:color w:val="auto"/>
              </w:rPr>
            </w:pPr>
          </w:p>
        </w:tc>
        <w:tc>
          <w:tcPr>
            <w:tcW w:w="3600" w:type="dxa"/>
            <w:vAlign w:val="bottom"/>
            <w:tcBorders>
              <w:top w:val="single" w:sz="8" w:color="auto"/>
              <w:right w:val="single" w:sz="8" w:color="auto"/>
            </w:tcBorders>
            <w:shd w:val="clear" w:color="auto" w:fill="D9D9D9"/>
          </w:tcPr>
          <w:p>
            <w:pPr>
              <w:jc w:val="right"/>
              <w:ind w:right="1232"/>
              <w:spacing w:after="0"/>
              <w:rPr>
                <w:sz w:val="20"/>
                <w:szCs w:val="20"/>
                <w:color w:val="auto"/>
              </w:rPr>
            </w:pPr>
            <w:r>
              <w:rPr>
                <w:rFonts w:ascii="Times New Roman" w:cs="Times New Roman" w:eastAsia="Times New Roman" w:hAnsi="Times New Roman"/>
                <w:sz w:val="22"/>
                <w:szCs w:val="22"/>
                <w:b w:val="1"/>
                <w:bCs w:val="1"/>
                <w:color w:val="auto"/>
              </w:rPr>
              <w:t>Estimated</w:t>
            </w:r>
          </w:p>
        </w:tc>
      </w:tr>
      <w:tr>
        <w:trPr>
          <w:trHeight w:val="275"/>
        </w:trPr>
        <w:tc>
          <w:tcPr>
            <w:tcW w:w="1920" w:type="dxa"/>
            <w:vAlign w:val="bottom"/>
            <w:tcBorders>
              <w:left w:val="single" w:sz="8" w:color="auto"/>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Item Description</w:t>
            </w:r>
          </w:p>
        </w:tc>
        <w:tc>
          <w:tcPr>
            <w:tcW w:w="2600" w:type="dxa"/>
            <w:vAlign w:val="bottom"/>
            <w:tcBorders>
              <w:bottom w:val="single" w:sz="8" w:color="auto"/>
              <w:right w:val="single" w:sz="8" w:color="auto"/>
            </w:tcBorders>
            <w:shd w:val="clear" w:color="auto" w:fill="D9D9D9"/>
          </w:tcPr>
          <w:p>
            <w:pPr>
              <w:spacing w:after="0"/>
              <w:rPr>
                <w:sz w:val="23"/>
                <w:szCs w:val="23"/>
                <w:color w:val="auto"/>
              </w:rPr>
            </w:pPr>
          </w:p>
        </w:tc>
        <w:tc>
          <w:tcPr>
            <w:tcW w:w="1140" w:type="dxa"/>
            <w:vAlign w:val="bottom"/>
            <w:tcBorders>
              <w:bottom w:val="single" w:sz="8" w:color="auto"/>
            </w:tcBorders>
            <w:shd w:val="clear" w:color="auto" w:fill="D9D9D9"/>
          </w:tcPr>
          <w:p>
            <w:pPr>
              <w:spacing w:after="0"/>
              <w:rPr>
                <w:sz w:val="23"/>
                <w:szCs w:val="23"/>
                <w:color w:val="auto"/>
              </w:rPr>
            </w:pPr>
          </w:p>
        </w:tc>
        <w:tc>
          <w:tcPr>
            <w:tcW w:w="216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Unit Cost</w:t>
            </w:r>
          </w:p>
        </w:tc>
        <w:tc>
          <w:tcPr>
            <w:tcW w:w="3600" w:type="dxa"/>
            <w:vAlign w:val="bottom"/>
            <w:tcBorders>
              <w:bottom w:val="single" w:sz="8" w:color="auto"/>
              <w:right w:val="single" w:sz="8" w:color="auto"/>
            </w:tcBorders>
            <w:shd w:val="clear" w:color="auto" w:fill="D9D9D9"/>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Total Cost**</w:t>
            </w:r>
          </w:p>
        </w:tc>
      </w:tr>
      <w:tr>
        <w:trPr>
          <w:trHeight w:val="237"/>
        </w:trPr>
        <w:tc>
          <w:tcPr>
            <w:tcW w:w="1920" w:type="dxa"/>
            <w:vAlign w:val="bottom"/>
            <w:tcBorders>
              <w:left w:val="single" w:sz="8" w:color="auto"/>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right"/>
              <w:ind w:right="29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right"/>
              <w:ind w:right="29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right"/>
              <w:ind w:right="29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tcBorders>
            <w:shd w:val="clear" w:color="auto" w:fill="D9D9D9"/>
          </w:tcPr>
          <w:p>
            <w:pPr>
              <w:spacing w:after="0"/>
              <w:rPr>
                <w:sz w:val="20"/>
                <w:szCs w:val="20"/>
                <w:color w:val="auto"/>
              </w:rPr>
            </w:pPr>
          </w:p>
        </w:tc>
        <w:tc>
          <w:tcPr>
            <w:tcW w:w="3740" w:type="dxa"/>
            <w:vAlign w:val="bottom"/>
            <w:tcBorders>
              <w:bottom w:val="single" w:sz="8" w:color="auto"/>
            </w:tcBorders>
            <w:gridSpan w:val="2"/>
            <w:shd w:val="clear" w:color="auto" w:fill="D9D9D9"/>
          </w:tcPr>
          <w:p>
            <w:pPr>
              <w:jc w:val="right"/>
              <w:spacing w:after="0" w:line="237" w:lineRule="exact"/>
              <w:rPr>
                <w:sz w:val="20"/>
                <w:szCs w:val="20"/>
                <w:color w:val="auto"/>
              </w:rPr>
            </w:pPr>
            <w:r>
              <w:rPr>
                <w:rFonts w:ascii="Times New Roman" w:cs="Times New Roman" w:eastAsia="Times New Roman" w:hAnsi="Times New Roman"/>
                <w:sz w:val="22"/>
                <w:szCs w:val="22"/>
                <w:b w:val="1"/>
                <w:bCs w:val="1"/>
                <w:color w:val="auto"/>
              </w:rPr>
              <w:t>Warehouse Use Total Estimated Cost</w:t>
            </w:r>
          </w:p>
        </w:tc>
        <w:tc>
          <w:tcPr>
            <w:tcW w:w="2160" w:type="dxa"/>
            <w:vAlign w:val="bottom"/>
            <w:tcBorders>
              <w:bottom w:val="single" w:sz="8" w:color="auto"/>
              <w:right w:val="single" w:sz="8" w:color="auto"/>
            </w:tcBorders>
            <w:shd w:val="clear" w:color="auto" w:fill="D9D9D9"/>
          </w:tcPr>
          <w:p>
            <w:pPr>
              <w:spacing w:after="0"/>
              <w:rPr>
                <w:sz w:val="20"/>
                <w:szCs w:val="20"/>
                <w:color w:val="auto"/>
              </w:rPr>
            </w:pPr>
          </w:p>
        </w:tc>
        <w:tc>
          <w:tcPr>
            <w:tcW w:w="3600" w:type="dxa"/>
            <w:vAlign w:val="bottom"/>
            <w:tcBorders>
              <w:bottom w:val="single" w:sz="8" w:color="auto"/>
              <w:right w:val="single" w:sz="8" w:color="auto"/>
            </w:tcBorders>
            <w:shd w:val="clear" w:color="auto" w:fill="D9D9D9"/>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2" w:lineRule="exact"/>
        <w:rPr>
          <w:sz w:val="20"/>
          <w:szCs w:val="20"/>
          <w:color w:val="auto"/>
        </w:rPr>
      </w:pPr>
    </w:p>
    <w:p>
      <w:pPr>
        <w:ind w:right="440" w:firstLine="8"/>
        <w:spacing w:after="0" w:line="244" w:lineRule="auto"/>
        <w:tabs>
          <w:tab w:leader="none" w:pos="27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total duration of 6 months was used for this estimate (November 2018 to April 2019) A total of [***] per month for the duration of 6 months was used for shipping costs. A total of [***] batches was used for this estimate. Invoices will be based on actual usage.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total of [***] gas cylinders is estimated for the duration of the campaign; only actual use will be billed, on a full cylinder basis.</w:t>
      </w:r>
    </w:p>
    <w:p>
      <w:pPr>
        <w:spacing w:after="0" w:line="202" w:lineRule="exact"/>
        <w:rPr>
          <w:sz w:val="20"/>
          <w:szCs w:val="20"/>
          <w:color w:val="auto"/>
        </w:rPr>
      </w:pPr>
    </w:p>
    <w:p>
      <w:pPr>
        <w:ind w:left="880" w:hanging="872"/>
        <w:spacing w:after="0"/>
        <w:tabs>
          <w:tab w:leader="none" w:pos="88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Calibration/Qualification of equipment planned for use in early phase clinical manufacturing</w:t>
      </w:r>
    </w:p>
    <w:p>
      <w:pPr>
        <w:spacing w:after="0" w:line="21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Azzur is capable of providing calibration services using in-house standards and the Azzur Quality Management System. In addition, Azzur has experienced personnel to perform qualification of equipment and related systems in a compliance manner. The following table is an estimate of the costs related to equipment calibration and qualification of equipment that is not owned by Azzur. Equipment that are Azzur-owned and will be used by Synlogic are not included in the list. Any costs related to calibration and qualification of Azzur-owned equipment will not be charged to Synlogic.</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right="760"/>
        <w:spacing w:after="0" w:line="237" w:lineRule="auto"/>
        <w:rPr>
          <w:sz w:val="20"/>
          <w:szCs w:val="20"/>
          <w:color w:val="auto"/>
        </w:rPr>
      </w:pPr>
      <w:r>
        <w:rPr>
          <w:rFonts w:ascii="Times New Roman" w:cs="Times New Roman" w:eastAsia="Times New Roman" w:hAnsi="Times New Roman"/>
          <w:sz w:val="22"/>
          <w:szCs w:val="22"/>
          <w:color w:val="auto"/>
        </w:rPr>
        <w:t>Calibration and qualification costs are based on time and materials and will be invoiced based on actual hours spent of such activities. An average hourly rate of [***] has been used for the estimate of calibration and qualification costs.</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4: Equipment Calibration/Qualification Costs</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1920" w:type="dxa"/>
            <w:vAlign w:val="bottom"/>
            <w:tcBorders>
              <w:top w:val="single" w:sz="8" w:color="auto"/>
              <w:left w:val="single" w:sz="8" w:color="auto"/>
              <w:bottom w:val="single" w:sz="8" w:color="D9D9D9"/>
              <w:right w:val="single" w:sz="8" w:color="auto"/>
            </w:tcBorders>
            <w:shd w:val="clear" w:color="auto" w:fill="D9D9D9"/>
          </w:tcPr>
          <w:p>
            <w:pPr>
              <w:jc w:val="right"/>
              <w:ind w:right="1272"/>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top w:val="single" w:sz="8" w:color="auto"/>
              <w:bottom w:val="single" w:sz="8" w:color="D9D9D9"/>
              <w:right w:val="single" w:sz="8" w:color="auto"/>
            </w:tcBorders>
            <w:shd w:val="clear" w:color="auto" w:fill="D9D9D9"/>
          </w:tcPr>
          <w:p>
            <w:pPr>
              <w:jc w:val="right"/>
              <w:ind w:right="1072"/>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top w:val="single" w:sz="8" w:color="auto"/>
              <w:bottom w:val="single" w:sz="8" w:color="auto"/>
            </w:tcBorders>
            <w:shd w:val="clear" w:color="auto" w:fill="D9D9D9"/>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110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90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92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106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164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r>
      <w:tr>
        <w:trPr>
          <w:trHeight w:val="237"/>
        </w:trPr>
        <w:tc>
          <w:tcPr>
            <w:tcW w:w="19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700" w:type="dxa"/>
            <w:vAlign w:val="bottom"/>
            <w:tcBorders>
              <w:bottom w:val="single" w:sz="8" w:color="auto"/>
              <w:right w:val="single" w:sz="8" w:color="auto"/>
            </w:tcBorders>
            <w:shd w:val="clear" w:color="auto" w:fill="D9D9D9"/>
          </w:tcPr>
          <w:p>
            <w:pPr>
              <w:spacing w:after="0"/>
              <w:rPr>
                <w:sz w:val="20"/>
                <w:szCs w:val="20"/>
                <w:color w:val="auto"/>
              </w:rPr>
            </w:pPr>
          </w:p>
        </w:tc>
        <w:tc>
          <w:tcPr>
            <w:tcW w:w="700" w:type="dxa"/>
            <w:vAlign w:val="bottom"/>
            <w:tcBorders>
              <w:bottom w:val="single" w:sz="8" w:color="auto"/>
            </w:tcBorders>
            <w:shd w:val="clear" w:color="auto" w:fill="D9D9D9"/>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100" w:type="dxa"/>
            <w:vAlign w:val="bottom"/>
            <w:tcBorders>
              <w:bottom w:val="single" w:sz="8" w:color="auto"/>
              <w:right w:val="single" w:sz="8" w:color="auto"/>
            </w:tcBorders>
            <w:shd w:val="clear" w:color="auto" w:fill="D9D9D9"/>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shd w:val="clear" w:color="auto" w:fill="D9D9D9"/>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shd w:val="clear" w:color="auto" w:fill="D9D9D9"/>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shd w:val="clear" w:color="auto" w:fill="D9D9D9"/>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shd w:val="clear" w:color="auto" w:fill="D9D9D9"/>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shd w:val="clear" w:color="auto" w:fill="D9D9D9"/>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auto"/>
            </w:tcBorders>
          </w:tcPr>
          <w:p>
            <w:pPr>
              <w:jc w:val="right"/>
              <w:ind w:right="1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10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92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1700" w:type="dxa"/>
            <w:vAlign w:val="bottom"/>
            <w:tcBorders>
              <w:bottom w:val="single" w:sz="8" w:color="auto"/>
              <w:right w:val="single" w:sz="8" w:color="D9D9D9"/>
            </w:tcBorders>
            <w:shd w:val="clear" w:color="auto" w:fill="D9D9D9"/>
          </w:tcPr>
          <w:p>
            <w:pPr>
              <w:spacing w:after="0"/>
              <w:rPr>
                <w:sz w:val="20"/>
                <w:szCs w:val="20"/>
                <w:color w:val="auto"/>
              </w:rPr>
            </w:pPr>
          </w:p>
        </w:tc>
        <w:tc>
          <w:tcPr>
            <w:tcW w:w="70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D9D9D9"/>
            </w:tcBorders>
            <w:gridSpan w:val="2"/>
            <w:shd w:val="clear" w:color="auto" w:fill="D9D9D9"/>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1080" w:type="dxa"/>
            <w:vAlign w:val="bottom"/>
            <w:tcBorders>
              <w:bottom w:val="single" w:sz="8" w:color="auto"/>
              <w:right w:val="single" w:sz="8" w:color="D9D9D9"/>
            </w:tcBorders>
            <w:shd w:val="clear" w:color="auto" w:fill="D9D9D9"/>
          </w:tcPr>
          <w:p>
            <w:pPr>
              <w:spacing w:after="0"/>
              <w:rPr>
                <w:sz w:val="20"/>
                <w:szCs w:val="20"/>
                <w:color w:val="auto"/>
              </w:rPr>
            </w:pPr>
          </w:p>
        </w:tc>
        <w:tc>
          <w:tcPr>
            <w:tcW w:w="900" w:type="dxa"/>
            <w:vAlign w:val="bottom"/>
            <w:tcBorders>
              <w:bottom w:val="single" w:sz="8" w:color="auto"/>
              <w:right w:val="single" w:sz="8" w:color="D9D9D9"/>
            </w:tcBorders>
            <w:shd w:val="clear" w:color="auto" w:fill="D9D9D9"/>
          </w:tcPr>
          <w:p>
            <w:pPr>
              <w:spacing w:after="0"/>
              <w:rPr>
                <w:sz w:val="20"/>
                <w:szCs w:val="20"/>
                <w:color w:val="auto"/>
              </w:rPr>
            </w:pPr>
          </w:p>
        </w:tc>
        <w:tc>
          <w:tcPr>
            <w:tcW w:w="920" w:type="dxa"/>
            <w:vAlign w:val="bottom"/>
            <w:tcBorders>
              <w:bottom w:val="single" w:sz="8" w:color="auto"/>
              <w:right w:val="single" w:sz="8" w:color="D9D9D9"/>
            </w:tcBorders>
            <w:shd w:val="clear" w:color="auto" w:fill="D9D9D9"/>
          </w:tcPr>
          <w:p>
            <w:pPr>
              <w:spacing w:after="0"/>
              <w:rPr>
                <w:sz w:val="20"/>
                <w:szCs w:val="20"/>
                <w:color w:val="auto"/>
              </w:rPr>
            </w:pPr>
          </w:p>
        </w:tc>
        <w:tc>
          <w:tcPr>
            <w:tcW w:w="1060" w:type="dxa"/>
            <w:vAlign w:val="bottom"/>
            <w:tcBorders>
              <w:bottom w:val="single" w:sz="8" w:color="auto"/>
              <w:right w:val="single" w:sz="8" w:color="auto"/>
            </w:tcBorders>
            <w:shd w:val="clear" w:color="auto" w:fill="D9D9D9"/>
          </w:tcPr>
          <w:p>
            <w:pPr>
              <w:spacing w:after="0"/>
              <w:rPr>
                <w:sz w:val="20"/>
                <w:szCs w:val="20"/>
                <w:color w:val="auto"/>
              </w:rPr>
            </w:pPr>
          </w:p>
        </w:tc>
        <w:tc>
          <w:tcPr>
            <w:tcW w:w="1640" w:type="dxa"/>
            <w:vAlign w:val="bottom"/>
            <w:tcBorders>
              <w:bottom w:val="single" w:sz="8" w:color="auto"/>
              <w:right w:val="single" w:sz="8" w:color="auto"/>
            </w:tcBorders>
            <w:shd w:val="clear" w:color="auto" w:fill="D9D9D9"/>
          </w:tcPr>
          <w:p>
            <w:pPr>
              <w:jc w:val="right"/>
              <w:ind w:right="85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198" w:lineRule="exact"/>
        <w:rPr>
          <w:sz w:val="20"/>
          <w:szCs w:val="20"/>
          <w:color w:val="auto"/>
        </w:rPr>
      </w:pPr>
    </w:p>
    <w:p>
      <w:pPr>
        <w:ind w:left="880" w:hanging="872"/>
        <w:spacing w:after="0"/>
        <w:tabs>
          <w:tab w:leader="none" w:pos="88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Testing Description</w:t>
      </w:r>
    </w:p>
    <w:p>
      <w:pPr>
        <w:spacing w:after="0" w:line="210"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Azzur is capable of receiving, sampling, testing and releasing raw materials and consumables (referred together as materials) for use in early phase GMP activities, which, for the avoidance of doubt, will be considered Company Materials. Each material/consumable will have a specification in place for establishing release requirements.</w:t>
      </w:r>
    </w:p>
    <w:p>
      <w:pPr>
        <w:spacing w:after="0" w:line="174"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Azzur will be able to perform testing as listed in Table 5. All testing will be billed as time &amp; materials as the QC resource provides support (included in Table 6). The estimated materials are listed, and will be billed within the consumables line item. Consumables are billed at list price [***] for handling fee.</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120" w:type="dxa"/>
            <w:vAlign w:val="bottom"/>
          </w:tcPr>
          <w:p>
            <w:pPr>
              <w:spacing w:after="0"/>
              <w:rPr>
                <w:sz w:val="24"/>
                <w:szCs w:val="24"/>
                <w:color w:val="auto"/>
              </w:rPr>
            </w:pPr>
          </w:p>
        </w:tc>
        <w:tc>
          <w:tcPr>
            <w:tcW w:w="5700" w:type="dxa"/>
            <w:vAlign w:val="bottom"/>
            <w:gridSpan w:val="3"/>
          </w:tcPr>
          <w:p>
            <w:pPr>
              <w:ind w:left="1480"/>
              <w:spacing w:after="0"/>
              <w:rPr>
                <w:sz w:val="20"/>
                <w:szCs w:val="20"/>
                <w:color w:val="auto"/>
              </w:rPr>
            </w:pPr>
            <w:r>
              <w:rPr>
                <w:rFonts w:ascii="Times New Roman" w:cs="Times New Roman" w:eastAsia="Times New Roman" w:hAnsi="Times New Roman"/>
                <w:sz w:val="22"/>
                <w:szCs w:val="22"/>
                <w:b w:val="1"/>
                <w:bCs w:val="1"/>
                <w:color w:val="auto"/>
                <w:w w:val="96"/>
              </w:rPr>
              <w:t>Table 5. Testing Supported at Azzur Waltham</w:t>
            </w:r>
          </w:p>
        </w:tc>
      </w:tr>
      <w:tr>
        <w:trPr>
          <w:trHeight w:val="204"/>
        </w:trPr>
        <w:tc>
          <w:tcPr>
            <w:tcW w:w="2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37"/>
        </w:trPr>
        <w:tc>
          <w:tcPr>
            <w:tcW w:w="2120" w:type="dxa"/>
            <w:vAlign w:val="bottom"/>
            <w:tcBorders>
              <w:left w:val="single" w:sz="8" w:color="auto"/>
              <w:bottom w:val="single" w:sz="8" w:color="auto"/>
            </w:tcBorders>
            <w:shd w:val="clear" w:color="auto" w:fill="D9D9D9"/>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Assay</w:t>
            </w:r>
          </w:p>
        </w:tc>
        <w:tc>
          <w:tcPr>
            <w:tcW w:w="1600" w:type="dxa"/>
            <w:vAlign w:val="bottom"/>
            <w:tcBorders>
              <w:bottom w:val="single" w:sz="8" w:color="auto"/>
              <w:right w:val="single" w:sz="8" w:color="auto"/>
            </w:tcBorders>
            <w:shd w:val="clear" w:color="auto" w:fill="D9D9D9"/>
          </w:tcPr>
          <w:p>
            <w:pPr>
              <w:spacing w:after="0"/>
              <w:rPr>
                <w:sz w:val="20"/>
                <w:szCs w:val="20"/>
                <w:color w:val="auto"/>
              </w:rPr>
            </w:pPr>
          </w:p>
        </w:tc>
        <w:tc>
          <w:tcPr>
            <w:tcW w:w="2340" w:type="dxa"/>
            <w:vAlign w:val="bottom"/>
            <w:tcBorders>
              <w:bottom w:val="single" w:sz="8" w:color="auto"/>
              <w:right w:val="single" w:sz="8" w:color="auto"/>
            </w:tcBorders>
            <w:shd w:val="clear" w:color="auto" w:fill="D9D9D9"/>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Estimated Materials</w:t>
            </w:r>
          </w:p>
        </w:tc>
        <w:tc>
          <w:tcPr>
            <w:tcW w:w="1760" w:type="dxa"/>
            <w:vAlign w:val="bottom"/>
          </w:tcPr>
          <w:p>
            <w:pPr>
              <w:spacing w:after="0"/>
              <w:rPr>
                <w:sz w:val="20"/>
                <w:szCs w:val="20"/>
                <w:color w:val="auto"/>
              </w:rPr>
            </w:pPr>
          </w:p>
        </w:tc>
      </w:tr>
      <w:tr>
        <w:trPr>
          <w:trHeight w:val="237"/>
        </w:trPr>
        <w:tc>
          <w:tcPr>
            <w:tcW w:w="2120" w:type="dxa"/>
            <w:vAlign w:val="bottom"/>
            <w:tcBorders>
              <w:left w:val="single" w:sz="8" w:color="auto"/>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60" w:type="dxa"/>
            <w:vAlign w:val="bottom"/>
          </w:tcPr>
          <w:p>
            <w:pPr>
              <w:spacing w:after="0"/>
              <w:rPr>
                <w:sz w:val="20"/>
                <w:szCs w:val="20"/>
                <w:color w:val="auto"/>
              </w:rPr>
            </w:pPr>
          </w:p>
        </w:tc>
      </w:tr>
      <w:tr>
        <w:trPr>
          <w:trHeight w:val="237"/>
        </w:trPr>
        <w:tc>
          <w:tcPr>
            <w:tcW w:w="2120" w:type="dxa"/>
            <w:vAlign w:val="bottom"/>
            <w:tcBorders>
              <w:left w:val="single" w:sz="8" w:color="auto"/>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60" w:type="dxa"/>
            <w:vAlign w:val="bottom"/>
          </w:tcPr>
          <w:p>
            <w:pPr>
              <w:spacing w:after="0"/>
              <w:rPr>
                <w:sz w:val="20"/>
                <w:szCs w:val="20"/>
                <w:color w:val="auto"/>
              </w:rPr>
            </w:pPr>
          </w:p>
        </w:tc>
      </w:tr>
    </w:tbl>
    <w:p>
      <w:pPr>
        <w:spacing w:after="0" w:line="20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Any tests required to be outsourced to external labs will be invoiced at cost plus [***] for processing, handling etc. All such testing will be reviewed/approved by Azzur quality prior to release of materials. Invoices for testing will be generated based on actual sampling/testing performed on a biweekly basis.</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ind w:left="880" w:hanging="872"/>
        <w:spacing w:after="0"/>
        <w:tabs>
          <w:tab w:leader="none" w:pos="88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Personnel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the scope of work, it is estimated that Azzur personnel will be required for the duration of the project (7 months total).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responsibilities of these resources are listed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of the Project Manager include:</w:t>
      </w:r>
    </w:p>
    <w:p>
      <w:pPr>
        <w:spacing w:after="0" w:line="206" w:lineRule="exact"/>
        <w:rPr>
          <w:sz w:val="20"/>
          <w:szCs w:val="20"/>
          <w:color w:val="auto"/>
        </w:rPr>
      </w:pPr>
    </w:p>
    <w:p>
      <w:pPr>
        <w:ind w:left="1760" w:hanging="44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Primary point of contact with Synlogic for coordination of activities in and out of the suite</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schedule for calibration/qualification of equipment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of the Material Handler include:</w:t>
      </w:r>
    </w:p>
    <w:p>
      <w:pPr>
        <w:spacing w:after="0" w:line="206" w:lineRule="exact"/>
        <w:rPr>
          <w:sz w:val="20"/>
          <w:szCs w:val="20"/>
          <w:color w:val="auto"/>
        </w:rPr>
      </w:pPr>
    </w:p>
    <w:p>
      <w:pPr>
        <w:ind w:left="1760" w:hanging="442"/>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inspection, labeling, handling and shipping of Synlogic materials and equipment</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Generation and maintenance of specifications for Synlogic materials</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Point of contact for kitting of materials for Synlogic use</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Track and maintain inventories related to Synlogic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of the Quality resource include:</w:t>
      </w:r>
    </w:p>
    <w:p>
      <w:pPr>
        <w:spacing w:after="0" w:line="206" w:lineRule="exact"/>
        <w:rPr>
          <w:sz w:val="20"/>
          <w:szCs w:val="20"/>
          <w:color w:val="auto"/>
        </w:rPr>
      </w:pPr>
    </w:p>
    <w:p>
      <w:pPr>
        <w:ind w:left="1760" w:hanging="442"/>
        <w:spacing w:after="0"/>
        <w:tabs>
          <w:tab w:leader="none" w:pos="17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Quality oversight of all Azzur/Synlogic activities related to Synlogic materials, equipment and related entities</w:t>
      </w:r>
    </w:p>
    <w:p>
      <w:pPr>
        <w:spacing w:after="0" w:line="217" w:lineRule="exact"/>
        <w:rPr>
          <w:rFonts w:ascii="Times New Roman" w:cs="Times New Roman" w:eastAsia="Times New Roman" w:hAnsi="Times New Roman"/>
          <w:sz w:val="21"/>
          <w:szCs w:val="21"/>
          <w:color w:val="auto"/>
        </w:rPr>
      </w:pPr>
    </w:p>
    <w:p>
      <w:pPr>
        <w:ind w:left="1760" w:right="460" w:hanging="442"/>
        <w:spacing w:after="0" w:line="282" w:lineRule="auto"/>
        <w:tabs>
          <w:tab w:leader="none" w:pos="17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Synlogic point of contact for any and all quality related items, including review/approval of all deviations, change controls, specifications, labels, forms and other documents related to Synlogic operations</w:t>
      </w:r>
    </w:p>
    <w:p>
      <w:pPr>
        <w:spacing w:after="0" w:line="134" w:lineRule="exact"/>
        <w:rPr>
          <w:rFonts w:ascii="Times New Roman" w:cs="Times New Roman" w:eastAsia="Times New Roman" w:hAnsi="Times New Roman"/>
          <w:sz w:val="21"/>
          <w:szCs w:val="21"/>
          <w:color w:val="auto"/>
        </w:rPr>
      </w:pPr>
    </w:p>
    <w:p>
      <w:pPr>
        <w:ind w:left="1760" w:right="120" w:hanging="442"/>
        <w:spacing w:after="0" w:line="258" w:lineRule="auto"/>
        <w:tabs>
          <w:tab w:leader="none" w:pos="1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Quality Control-related items such as material specification generation, raw material testing, and final product testing where applicable.</w:t>
      </w:r>
    </w:p>
    <w:p>
      <w:pPr>
        <w:spacing w:after="0" w:line="158" w:lineRule="exact"/>
        <w:rPr>
          <w:rFonts w:ascii="Times New Roman" w:cs="Times New Roman" w:eastAsia="Times New Roman" w:hAnsi="Times New Roman"/>
          <w:sz w:val="22"/>
          <w:szCs w:val="22"/>
          <w:color w:val="auto"/>
        </w:rPr>
      </w:pPr>
    </w:p>
    <w:p>
      <w:pPr>
        <w:ind w:left="1760" w:right="780" w:hanging="442"/>
        <w:spacing w:after="0" w:line="258" w:lineRule="auto"/>
        <w:tabs>
          <w:tab w:leader="none" w:pos="1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aseptic technique training for personnel (may be a different resource than the primary QC/QA resource).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48" w:name="page149"/>
    <w:bookmarkEnd w:id="1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spacing w:after="0"/>
        <w:rPr>
          <w:sz w:val="20"/>
          <w:szCs w:val="20"/>
          <w:color w:val="auto"/>
        </w:rPr>
      </w:pPr>
      <w:r>
        <w:rPr>
          <w:rFonts w:ascii="Times New Roman" w:cs="Times New Roman" w:eastAsia="Times New Roman" w:hAnsi="Times New Roman"/>
          <w:sz w:val="22"/>
          <w:szCs w:val="22"/>
          <w:color w:val="auto"/>
        </w:rPr>
        <w:t>The below table provides the estimated total costs for personnel based on 7 months of total project duration.</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6. Personnel Costs</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412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Role</w:t>
            </w:r>
          </w:p>
        </w:tc>
        <w:tc>
          <w:tcPr>
            <w:tcW w:w="1820" w:type="dxa"/>
            <w:vAlign w:val="bottom"/>
            <w:tcBorders>
              <w:top w:val="single" w:sz="8" w:color="auto"/>
              <w:bottom w:val="single" w:sz="8" w:color="auto"/>
              <w:right w:val="single" w:sz="8" w:color="auto"/>
            </w:tcBorders>
            <w:shd w:val="clear" w:color="auto" w:fill="D9D9D9"/>
          </w:tcPr>
          <w:p>
            <w:pPr>
              <w:ind w:left="420"/>
              <w:spacing w:after="0"/>
              <w:rPr>
                <w:sz w:val="20"/>
                <w:szCs w:val="20"/>
                <w:color w:val="auto"/>
              </w:rPr>
            </w:pPr>
            <w:r>
              <w:rPr>
                <w:rFonts w:ascii="Times New Roman" w:cs="Times New Roman" w:eastAsia="Times New Roman" w:hAnsi="Times New Roman"/>
                <w:sz w:val="22"/>
                <w:szCs w:val="22"/>
                <w:b w:val="1"/>
                <w:bCs w:val="1"/>
                <w:color w:val="auto"/>
              </w:rPr>
              <w:t>Hrs/Week</w:t>
            </w:r>
          </w:p>
        </w:tc>
        <w:tc>
          <w:tcPr>
            <w:tcW w:w="182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Duration (Weeks)</w:t>
            </w:r>
          </w:p>
        </w:tc>
        <w:tc>
          <w:tcPr>
            <w:tcW w:w="1820" w:type="dxa"/>
            <w:vAlign w:val="bottom"/>
            <w:tcBorders>
              <w:top w:val="single" w:sz="8" w:color="auto"/>
              <w:bottom w:val="single" w:sz="8" w:color="auto"/>
              <w:right w:val="single" w:sz="8" w:color="auto"/>
            </w:tcBorders>
            <w:shd w:val="clear" w:color="auto" w:fill="D9D9D9"/>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Hourly Rate</w:t>
            </w:r>
          </w:p>
        </w:tc>
        <w:tc>
          <w:tcPr>
            <w:tcW w:w="1840" w:type="dxa"/>
            <w:vAlign w:val="bottom"/>
            <w:tcBorders>
              <w:top w:val="single" w:sz="8" w:color="auto"/>
              <w:bottom w:val="single" w:sz="8" w:color="auto"/>
              <w:right w:val="single" w:sz="8" w:color="auto"/>
            </w:tcBorders>
            <w:shd w:val="clear" w:color="auto" w:fill="D9D9D9"/>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Cost</w:t>
            </w:r>
          </w:p>
        </w:tc>
      </w:tr>
      <w:tr>
        <w:trPr>
          <w:trHeight w:val="237"/>
        </w:trPr>
        <w:tc>
          <w:tcPr>
            <w:tcW w:w="41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1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1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1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right w:val="single" w:sz="8" w:color="auto"/>
            </w:tcBorders>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12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1820" w:type="dxa"/>
            <w:vAlign w:val="bottom"/>
            <w:tcBorders>
              <w:bottom w:val="single" w:sz="8" w:color="auto"/>
              <w:right w:val="single" w:sz="8" w:color="D9D9D9"/>
            </w:tcBorders>
            <w:shd w:val="clear" w:color="auto" w:fill="D9D9D9"/>
          </w:tcPr>
          <w:p>
            <w:pPr>
              <w:ind w:left="4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D9D9D9"/>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1840" w:type="dxa"/>
            <w:vAlign w:val="bottom"/>
            <w:tcBorders>
              <w:bottom w:val="single" w:sz="8" w:color="auto"/>
              <w:right w:val="single" w:sz="8" w:color="auto"/>
            </w:tcBorders>
            <w:shd w:val="clear" w:color="auto" w:fill="D9D9D9"/>
          </w:tcPr>
          <w:p>
            <w:pPr>
              <w:jc w:val="right"/>
              <w:ind w:right="119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2" w:lineRule="exact"/>
        <w:rPr>
          <w:sz w:val="20"/>
          <w:szCs w:val="20"/>
          <w:color w:val="auto"/>
        </w:rPr>
      </w:pPr>
    </w:p>
    <w:p>
      <w:pPr>
        <w:ind w:left="880" w:hanging="872"/>
        <w:spacing w:after="0"/>
        <w:tabs>
          <w:tab w:leader="none" w:pos="8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Following manufacture of drug product, [***] will be generated by Azzur personnel. The final drug product will be stored on-site at Azzur for [***]. The product will be aliquoted at intervals described within the [***], for a total duration of [***]. Project management of the study is also available. Costs associated with the [***] are listed below in Table 7.</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7. [***]</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Deliverable/Item</w:t>
            </w:r>
          </w:p>
        </w:tc>
        <w:tc>
          <w:tcPr>
            <w:tcW w:w="152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Cost</w:t>
            </w:r>
          </w:p>
        </w:tc>
        <w:tc>
          <w:tcPr>
            <w:tcW w:w="704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Notes</w:t>
            </w:r>
          </w:p>
        </w:tc>
      </w:tr>
      <w:tr>
        <w:trPr>
          <w:trHeight w:val="237"/>
        </w:trPr>
        <w:tc>
          <w:tcPr>
            <w:tcW w:w="286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860" w:type="dxa"/>
            <w:vAlign w:val="bottom"/>
            <w:tcBorders>
              <w:left w:val="single" w:sz="8" w:color="auto"/>
              <w:bottom w:val="single" w:sz="8" w:color="auto"/>
              <w:right w:val="single" w:sz="8" w:color="auto"/>
            </w:tcBorders>
            <w:shd w:val="clear" w:color="auto" w:fill="D9D9D9"/>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Total Cost</w:t>
            </w:r>
          </w:p>
        </w:tc>
        <w:tc>
          <w:tcPr>
            <w:tcW w:w="1520" w:type="dxa"/>
            <w:vAlign w:val="bottom"/>
            <w:tcBorders>
              <w:bottom w:val="single" w:sz="8" w:color="auto"/>
              <w:right w:val="single" w:sz="8" w:color="auto"/>
            </w:tcBorders>
            <w:shd w:val="clear" w:color="auto" w:fill="D9D9D9"/>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0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Note: Rates are subject to change each calendar year due to market conditions. Notification will be provided prior to any rate increase.</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spacing w:after="0"/>
        <w:rPr>
          <w:sz w:val="20"/>
          <w:szCs w:val="20"/>
          <w:color w:val="auto"/>
        </w:rPr>
      </w:pPr>
      <w:r>
        <w:rPr>
          <w:rFonts w:ascii="Times New Roman" w:cs="Times New Roman" w:eastAsia="Times New Roman" w:hAnsi="Times New Roman"/>
          <w:sz w:val="29"/>
          <w:szCs w:val="29"/>
          <w:b w:val="1"/>
          <w:bCs w:val="1"/>
          <w:color w:val="auto"/>
        </w:rPr>
        <w:t>Section 4 – Overall Project Cost</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The following table shows the total costs based on the Services set forth in this Statement of Work No. 1, which are estimated costs where indicated. Azzur will begin performing the Services described in this Statement of Work No. 1 after the Effective Date. Changes to this Statement of Work No. 1 can be made via an amendment to this Statement of Work No. 1 or via a change order at any point during the term of this Statement of Work No. 1, in each case executed by an authorized representative or each party.</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8: Overall Project Cost Estimate</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2380" w:type="dxa"/>
            <w:vAlign w:val="bottom"/>
            <w:tcBorders>
              <w:top w:val="single" w:sz="8" w:color="auto"/>
              <w:left w:val="single" w:sz="8" w:color="auto"/>
              <w:bottom w:val="single" w:sz="8" w:color="auto"/>
              <w:right w:val="single" w:sz="8" w:color="auto"/>
            </w:tcBorders>
            <w:shd w:val="clear" w:color="auto" w:fill="D9D9D9"/>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60" w:type="dxa"/>
            <w:vAlign w:val="bottom"/>
            <w:tcBorders>
              <w:top w:val="single" w:sz="8" w:color="auto"/>
              <w:bottom w:val="single" w:sz="8" w:color="auto"/>
              <w:right w:val="single" w:sz="8" w:color="auto"/>
            </w:tcBorders>
            <w:shd w:val="clear" w:color="auto" w:fill="D9D9D9"/>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800" w:type="dxa"/>
            <w:vAlign w:val="bottom"/>
            <w:tcBorders>
              <w:top w:val="single" w:sz="8" w:color="auto"/>
              <w:bottom w:val="single" w:sz="8" w:color="auto"/>
            </w:tcBorders>
            <w:shd w:val="clear" w:color="auto" w:fill="D9D9D9"/>
          </w:tcPr>
          <w:p>
            <w:pPr>
              <w:spacing w:after="0"/>
              <w:rPr>
                <w:sz w:val="19"/>
                <w:szCs w:val="19"/>
                <w:color w:val="auto"/>
              </w:rPr>
            </w:pPr>
          </w:p>
        </w:tc>
        <w:tc>
          <w:tcPr>
            <w:tcW w:w="2080" w:type="dxa"/>
            <w:vAlign w:val="bottom"/>
            <w:tcBorders>
              <w:top w:val="single" w:sz="8" w:color="auto"/>
              <w:bottom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Unit Cost</w:t>
            </w:r>
          </w:p>
        </w:tc>
        <w:tc>
          <w:tcPr>
            <w:tcW w:w="1300" w:type="dxa"/>
            <w:vAlign w:val="bottom"/>
            <w:tcBorders>
              <w:top w:val="single" w:sz="8" w:color="auto"/>
              <w:bottom w:val="single" w:sz="8" w:color="auto"/>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Costs</w:t>
            </w:r>
          </w:p>
        </w:tc>
        <w:tc>
          <w:tcPr>
            <w:tcW w:w="3800" w:type="dxa"/>
            <w:vAlign w:val="bottom"/>
            <w:tcBorders>
              <w:top w:val="single" w:sz="8" w:color="auto"/>
              <w:bottom w:val="single" w:sz="8" w:color="auto"/>
              <w:right w:val="single" w:sz="8" w:color="auto"/>
            </w:tcBorders>
            <w:shd w:val="clear" w:color="auto" w:fill="D9D9D9"/>
          </w:tcPr>
          <w:p>
            <w:pPr>
              <w:jc w:val="right"/>
              <w:ind w:right="1074"/>
              <w:spacing w:after="0"/>
              <w:rPr>
                <w:sz w:val="20"/>
                <w:szCs w:val="20"/>
                <w:color w:val="auto"/>
              </w:rPr>
            </w:pPr>
            <w:r>
              <w:rPr>
                <w:rFonts w:ascii="Times New Roman" w:cs="Times New Roman" w:eastAsia="Times New Roman" w:hAnsi="Times New Roman"/>
                <w:sz w:val="18"/>
                <w:szCs w:val="18"/>
                <w:b w:val="1"/>
                <w:bCs w:val="1"/>
                <w:color w:val="auto"/>
              </w:rPr>
              <w:t>Notes/Assumptions</w:t>
            </w: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right w:val="single" w:sz="8" w:color="auto"/>
            </w:tcBorders>
          </w:tcPr>
          <w:p>
            <w:pPr>
              <w:spacing w:after="0"/>
              <w:rPr>
                <w:sz w:val="20"/>
                <w:szCs w:val="20"/>
                <w:color w:val="auto"/>
              </w:rPr>
            </w:pPr>
          </w:p>
        </w:tc>
      </w:tr>
      <w:tr>
        <w:trPr>
          <w:trHeight w:val="237"/>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spacing w:after="0"/>
              <w:rPr>
                <w:sz w:val="20"/>
                <w:szCs w:val="20"/>
                <w:color w:val="auto"/>
              </w:rPr>
            </w:pPr>
          </w:p>
        </w:tc>
      </w:tr>
      <w:tr>
        <w:trPr>
          <w:trHeight w:val="237"/>
        </w:trPr>
        <w:tc>
          <w:tcPr>
            <w:tcW w:w="2380" w:type="dxa"/>
            <w:vAlign w:val="bottom"/>
            <w:tcBorders>
              <w:left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spacing w:after="0"/>
              <w:rPr>
                <w:sz w:val="20"/>
                <w:szCs w:val="20"/>
                <w:color w:val="auto"/>
              </w:rPr>
            </w:pP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2380" w:type="dxa"/>
            <w:vAlign w:val="bottom"/>
            <w:tcBorders>
              <w:left w:val="single" w:sz="8" w:color="auto"/>
              <w:bottom w:val="single" w:sz="8" w:color="auto"/>
              <w:right w:val="single" w:sz="8" w:color="auto"/>
            </w:tcBorders>
          </w:tcPr>
          <w:p>
            <w:pPr>
              <w:jc w:val="right"/>
              <w:ind w:right="1734"/>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jc w:val="right"/>
              <w:ind w:right="416"/>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0" w:type="dxa"/>
            <w:vAlign w:val="bottom"/>
            <w:tcBorders>
              <w:bottom w:val="single" w:sz="8" w:color="auto"/>
              <w:right w:val="single" w:sz="8" w:color="auto"/>
            </w:tcBorders>
          </w:tcPr>
          <w:p>
            <w:pPr>
              <w:jc w:val="right"/>
              <w:ind w:right="3154"/>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10"/>
        </w:trPr>
        <w:tc>
          <w:tcPr>
            <w:tcW w:w="238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1860" w:type="dxa"/>
            <w:vAlign w:val="bottom"/>
            <w:tcBorders>
              <w:bottom w:val="single" w:sz="8" w:color="auto"/>
            </w:tcBorders>
            <w:gridSpan w:val="2"/>
            <w:shd w:val="clear" w:color="auto" w:fill="D9D9D9"/>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2080" w:type="dxa"/>
            <w:vAlign w:val="bottom"/>
            <w:tcBorders>
              <w:bottom w:val="single" w:sz="8" w:color="auto"/>
              <w:right w:val="single" w:sz="8" w:color="auto"/>
            </w:tcBorders>
            <w:shd w:val="clear" w:color="auto" w:fill="D9D9D9"/>
          </w:tcPr>
          <w:p>
            <w:pPr>
              <w:spacing w:after="0"/>
              <w:rPr>
                <w:sz w:val="18"/>
                <w:szCs w:val="18"/>
                <w:color w:val="auto"/>
              </w:rPr>
            </w:pPr>
          </w:p>
        </w:tc>
        <w:tc>
          <w:tcPr>
            <w:tcW w:w="1300" w:type="dxa"/>
            <w:vAlign w:val="bottom"/>
            <w:tcBorders>
              <w:bottom w:val="single" w:sz="8" w:color="auto"/>
              <w:right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$548,495</w:t>
            </w:r>
          </w:p>
        </w:tc>
        <w:tc>
          <w:tcPr>
            <w:tcW w:w="3800" w:type="dxa"/>
            <w:vAlign w:val="bottom"/>
            <w:tcBorders>
              <w:bottom w:val="single" w:sz="8" w:color="auto"/>
              <w:right w:val="single" w:sz="8" w:color="auto"/>
            </w:tcBorders>
            <w:shd w:val="clear" w:color="auto" w:fill="D9D9D9"/>
          </w:tcPr>
          <w:p>
            <w:pPr>
              <w:spacing w:after="0"/>
              <w:rPr>
                <w:sz w:val="18"/>
                <w:szCs w:val="18"/>
                <w:color w:val="auto"/>
              </w:rPr>
            </w:pPr>
          </w:p>
        </w:tc>
      </w:tr>
    </w:tbl>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1"/>
          <w:szCs w:val="21"/>
          <w:color w:val="auto"/>
        </w:rPr>
        <w:t>All invoices for time and materials-based costs will be based on actual usage or hours spent. Time and expense will be invoiced every month against the approved purchase order and will be based on timesheets, which will be provided to Client upon request.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Cleanroom rent, warehouse space, and CTU rentals will be invoiced on the first of the month.</w:t>
      </w:r>
    </w:p>
    <w:p>
      <w:pPr>
        <w:spacing w:after="0" w:line="206"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Consumables will be invoiced every month. An updated consumable list will be provided to Azzur prior to storage and will be updated as appropriate.</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An initial invoice following acceptance of this proposal will be generated for a deposit of [***] (Table 8) within [***]. The deposit will be applied to the final invoice against the purchase order.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0" w:name="page151"/>
    <w:bookmarkEnd w:id="1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spacing w:after="0"/>
        <w:rPr>
          <w:sz w:val="20"/>
          <w:szCs w:val="20"/>
          <w:color w:val="auto"/>
        </w:rPr>
      </w:pPr>
      <w:r>
        <w:rPr>
          <w:rFonts w:ascii="Times New Roman" w:cs="Times New Roman" w:eastAsia="Times New Roman" w:hAnsi="Times New Roman"/>
          <w:sz w:val="29"/>
          <w:szCs w:val="29"/>
          <w:b w:val="1"/>
          <w:bCs w:val="1"/>
          <w:color w:val="auto"/>
        </w:rPr>
        <w:t>Section 5 – Timeline</w:t>
      </w:r>
    </w:p>
    <w:p>
      <w:pPr>
        <w:spacing w:after="0" w:line="19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term of this Statement of Work (the “Term”) shall commence on the date indicated on the first page of this Agreement (the “Effective Date”), and shall remain in full force and effect until the final completion of the Services as set out in this Statement of Work. For the time-based elements of this Statement of Work (cleanroom use and warehouse use), the Parties shall, five months after the Effective Date, discuss whether to extend the time-based elements and, if so, shall agree on further terms regarding any such extension.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Section 6 – Exhibits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Cleanroom Layout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Section 7 – Change History</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02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Date</w:t>
            </w:r>
          </w:p>
        </w:tc>
        <w:tc>
          <w:tcPr>
            <w:tcW w:w="252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color w:val="auto"/>
              </w:rPr>
              <w:t>Reason for Change</w:t>
            </w:r>
          </w:p>
        </w:tc>
      </w:tr>
      <w:tr>
        <w:trPr>
          <w:trHeight w:val="237"/>
        </w:trPr>
        <w:tc>
          <w:tcPr>
            <w:tcW w:w="20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13Aug2018</w:t>
            </w:r>
          </w:p>
        </w:tc>
        <w:tc>
          <w:tcPr>
            <w:tcW w:w="2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Initial Submission</w:t>
            </w:r>
          </w:p>
        </w:tc>
      </w:tr>
      <w:tr>
        <w:trPr>
          <w:trHeight w:val="237"/>
        </w:trPr>
        <w:tc>
          <w:tcPr>
            <w:tcW w:w="20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29Aug2018</w:t>
            </w:r>
          </w:p>
        </w:tc>
        <w:tc>
          <w:tcPr>
            <w:tcW w:w="2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Revised Submission</w:t>
            </w:r>
          </w:p>
        </w:tc>
      </w:tr>
      <w:tr>
        <w:trPr>
          <w:trHeight w:val="237"/>
        </w:trPr>
        <w:tc>
          <w:tcPr>
            <w:tcW w:w="20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10Sep2018</w:t>
            </w:r>
          </w:p>
        </w:tc>
        <w:tc>
          <w:tcPr>
            <w:tcW w:w="25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Revised Submission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SOW 1 Generated by (Azzur):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Nicole Labrecque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 10Sep2018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Nicole Labrecque</w:t>
      </w:r>
    </w:p>
    <w:p>
      <w:pPr>
        <w:spacing w:after="0" w:line="230" w:lineRule="auto"/>
        <w:rPr>
          <w:sz w:val="20"/>
          <w:szCs w:val="20"/>
          <w:color w:val="auto"/>
        </w:rPr>
      </w:pPr>
      <w:r>
        <w:rPr>
          <w:rFonts w:ascii="Times New Roman" w:cs="Times New Roman" w:eastAsia="Times New Roman" w:hAnsi="Times New Roman"/>
          <w:sz w:val="22"/>
          <w:szCs w:val="22"/>
          <w:color w:val="auto"/>
        </w:rPr>
        <w:t>Title: Tech Transfer Manager, Azzur Group</w:t>
      </w:r>
    </w:p>
    <w:p>
      <w:pPr>
        <w:spacing w:after="0" w:line="231" w:lineRule="auto"/>
        <w:rPr>
          <w:sz w:val="20"/>
          <w:szCs w:val="20"/>
          <w:color w:val="auto"/>
        </w:rPr>
      </w:pPr>
      <w:r>
        <w:rPr>
          <w:rFonts w:ascii="Times New Roman" w:cs="Times New Roman" w:eastAsia="Times New Roman" w:hAnsi="Times New Roman"/>
          <w:sz w:val="22"/>
          <w:szCs w:val="22"/>
          <w:color w:val="auto"/>
        </w:rPr>
        <w:t>Address: 411 Waverley Oaks Rd., #126</w:t>
      </w:r>
    </w:p>
    <w:p>
      <w:pPr>
        <w:spacing w:after="0" w:line="230" w:lineRule="auto"/>
        <w:rPr>
          <w:sz w:val="20"/>
          <w:szCs w:val="20"/>
          <w:color w:val="auto"/>
        </w:rPr>
      </w:pPr>
      <w:r>
        <w:rPr>
          <w:rFonts w:ascii="Times New Roman" w:cs="Times New Roman" w:eastAsia="Times New Roman" w:hAnsi="Times New Roman"/>
          <w:sz w:val="22"/>
          <w:szCs w:val="22"/>
          <w:color w:val="auto"/>
        </w:rPr>
        <w:t>Waltham, MA 02452</w:t>
      </w:r>
    </w:p>
    <w:p>
      <w:pPr>
        <w:spacing w:after="0" w:line="231" w:lineRule="auto"/>
        <w:rPr>
          <w:sz w:val="20"/>
          <w:szCs w:val="20"/>
          <w:color w:val="auto"/>
        </w:rPr>
      </w:pPr>
      <w:r>
        <w:rPr>
          <w:rFonts w:ascii="Times New Roman" w:cs="Times New Roman" w:eastAsia="Times New Roman" w:hAnsi="Times New Roman"/>
          <w:sz w:val="22"/>
          <w:szCs w:val="22"/>
          <w:color w:val="auto"/>
        </w:rPr>
        <w:t>Phone: [***]</w:t>
      </w:r>
    </w:p>
    <w:p>
      <w:pPr>
        <w:spacing w:after="0" w:line="231" w:lineRule="auto"/>
        <w:rPr>
          <w:sz w:val="20"/>
          <w:szCs w:val="20"/>
          <w:color w:val="auto"/>
        </w:rPr>
      </w:pPr>
      <w:r>
        <w:rPr>
          <w:rFonts w:ascii="Times New Roman" w:cs="Times New Roman" w:eastAsia="Times New Roman" w:hAnsi="Times New Roman"/>
          <w:sz w:val="22"/>
          <w:szCs w:val="22"/>
          <w:color w:val="auto"/>
        </w:rPr>
        <w:t>Cell: [***]</w:t>
      </w:r>
    </w:p>
    <w:p>
      <w:pPr>
        <w:spacing w:after="0" w:line="230"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SOW 1 Accepted by (Synlogic):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Todd Shegog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 9/10/2018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Todd Shegog</w:t>
      </w:r>
    </w:p>
    <w:p>
      <w:pPr>
        <w:spacing w:after="0" w:line="230" w:lineRule="auto"/>
        <w:rPr>
          <w:sz w:val="20"/>
          <w:szCs w:val="20"/>
          <w:color w:val="auto"/>
        </w:rPr>
      </w:pPr>
      <w:r>
        <w:rPr>
          <w:rFonts w:ascii="Times New Roman" w:cs="Times New Roman" w:eastAsia="Times New Roman" w:hAnsi="Times New Roman"/>
          <w:sz w:val="22"/>
          <w:szCs w:val="22"/>
          <w:color w:val="auto"/>
        </w:rPr>
        <w:t>Title: CFO</w:t>
      </w:r>
    </w:p>
    <w:p>
      <w:pPr>
        <w:spacing w:after="0" w:line="231" w:lineRule="auto"/>
        <w:rPr>
          <w:sz w:val="20"/>
          <w:szCs w:val="20"/>
          <w:color w:val="auto"/>
        </w:rPr>
      </w:pPr>
      <w:r>
        <w:rPr>
          <w:rFonts w:ascii="Times New Roman" w:cs="Times New Roman" w:eastAsia="Times New Roman" w:hAnsi="Times New Roman"/>
          <w:sz w:val="22"/>
          <w:szCs w:val="22"/>
          <w:color w:val="auto"/>
        </w:rPr>
        <w:t>Address:</w:t>
      </w:r>
    </w:p>
    <w:p>
      <w:pPr>
        <w:spacing w:after="0" w:line="230" w:lineRule="auto"/>
        <w:rPr>
          <w:sz w:val="20"/>
          <w:szCs w:val="20"/>
          <w:color w:val="auto"/>
        </w:rPr>
      </w:pPr>
      <w:r>
        <w:rPr>
          <w:rFonts w:ascii="Times New Roman" w:cs="Times New Roman" w:eastAsia="Times New Roman" w:hAnsi="Times New Roman"/>
          <w:sz w:val="22"/>
          <w:szCs w:val="22"/>
          <w:color w:val="auto"/>
        </w:rPr>
        <w:t>Phone:</w:t>
      </w:r>
    </w:p>
    <w:p>
      <w:pPr>
        <w:spacing w:after="0" w:line="231" w:lineRule="auto"/>
        <w:rPr>
          <w:sz w:val="20"/>
          <w:szCs w:val="20"/>
          <w:color w:val="auto"/>
        </w:rPr>
      </w:pPr>
      <w:r>
        <w:rPr>
          <w:rFonts w:ascii="Times New Roman" w:cs="Times New Roman" w:eastAsia="Times New Roman" w:hAnsi="Times New Roman"/>
          <w:sz w:val="22"/>
          <w:szCs w:val="22"/>
          <w:color w:val="auto"/>
        </w:rPr>
        <w:t>Cell: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1" w:name="page152"/>
    <w:bookmarkEnd w:id="1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Proposal for Facility Use and Professional Services (SOW No. 1)</w:t>
      </w:r>
    </w:p>
    <w:p>
      <w:pPr>
        <w:spacing w:after="0" w:line="237"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85130695v.1</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ectPr>
          <w:pgSz w:w="11900" w:h="16838" w:orient="portrait"/>
          <w:cols w:equalWidth="0" w:num="1">
            <w:col w:w="11400"/>
          </w:cols>
          <w:pgMar w:left="240" w:top="117" w:right="259" w:bottom="1440"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1231265</wp:posOffset>
            </wp:positionV>
            <wp:extent cx="2761615" cy="8489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276161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color w:val="auto"/>
        </w:rPr>
        <w:t>Proposal P-6671 (SOW 2 Revision 1)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24130</wp:posOffset>
            </wp:positionV>
            <wp:extent cx="2426970" cy="1046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242697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Statement of Work for Azzur of New England Facility Use</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(Suite 3 – May 1, 2019 to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pacing w:after="0" w:line="19" w:lineRule="exact"/>
        <w:rPr>
          <w:sz w:val="20"/>
          <w:szCs w:val="20"/>
          <w:color w:val="auto"/>
        </w:rPr>
      </w:pPr>
    </w:p>
    <w:p>
      <w:pPr>
        <w:jc w:val="cente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80" w:top="117" w:right="239" w:bottom="1440" w:gutter="0" w:footer="0" w:header="0"/>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233" w:lineRule="auto"/>
        <w:rPr>
          <w:sz w:val="20"/>
          <w:szCs w:val="20"/>
          <w:color w:val="auto"/>
        </w:rPr>
      </w:pPr>
      <w:r>
        <w:rPr>
          <w:rFonts w:ascii="Times New Roman" w:cs="Times New Roman" w:eastAsia="Times New Roman" w:hAnsi="Times New Roman"/>
          <w:sz w:val="22"/>
          <w:szCs w:val="22"/>
          <w:color w:val="auto"/>
        </w:rPr>
        <w:t>THIS STATEMENT OF WORK #2 Rev 1 (the “Statement of Work”) by and between Synlogic Operating Company, Inc. (“Synlogic”) and Azzur Group (d/b/a Azzur of New England LLC) (“Service Provider”), will be effective as of the last date of signature below, and upon execution will be incorporated into the Master Contract Services Agreement between Synlogic and Service Provider dated 08 September 2018 (the “Agreement”). Capitalized terms used in this Statement of Work will have the same meaning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4140" w:type="dxa"/>
            <w:vAlign w:val="bottom"/>
          </w:tcPr>
          <w:p>
            <w:pPr>
              <w:spacing w:after="0"/>
              <w:rPr>
                <w:sz w:val="24"/>
                <w:szCs w:val="24"/>
                <w:color w:val="auto"/>
              </w:rPr>
            </w:pPr>
          </w:p>
        </w:tc>
      </w:tr>
      <w:tr>
        <w:trPr>
          <w:trHeight w:val="42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 – Background/Scope</w:t>
            </w:r>
          </w:p>
        </w:tc>
        <w:tc>
          <w:tcPr>
            <w:tcW w:w="4140" w:type="dxa"/>
            <w:vAlign w:val="bottom"/>
          </w:tcPr>
          <w:p>
            <w:pPr>
              <w:ind w:left="3920"/>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2</w:t>
            </w:r>
          </w:p>
        </w:tc>
        <w:tc>
          <w:tcPr>
            <w:tcW w:w="6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Technical Requirements</w:t>
            </w:r>
          </w:p>
        </w:tc>
        <w:tc>
          <w:tcPr>
            <w:tcW w:w="4140" w:type="dxa"/>
            <w:vAlign w:val="bottom"/>
          </w:tcPr>
          <w:p>
            <w:pPr>
              <w:ind w:left="3920"/>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3</w:t>
            </w:r>
          </w:p>
        </w:tc>
        <w:tc>
          <w:tcPr>
            <w:tcW w:w="6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Detailed Estimate</w:t>
            </w:r>
          </w:p>
        </w:tc>
        <w:tc>
          <w:tcPr>
            <w:tcW w:w="4140" w:type="dxa"/>
            <w:vAlign w:val="bottom"/>
          </w:tcPr>
          <w:p>
            <w:pPr>
              <w:ind w:left="3920"/>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4</w:t>
            </w:r>
          </w:p>
        </w:tc>
        <w:tc>
          <w:tcPr>
            <w:tcW w:w="6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Change History</w:t>
            </w:r>
          </w:p>
        </w:tc>
        <w:tc>
          <w:tcPr>
            <w:tcW w:w="4140" w:type="dxa"/>
            <w:vAlign w:val="bottom"/>
          </w:tcPr>
          <w:p>
            <w:pPr>
              <w:ind w:left="3920"/>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83"/>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Proposed Suite 3 Layout</w:t>
            </w:r>
          </w:p>
        </w:tc>
        <w:tc>
          <w:tcPr>
            <w:tcW w:w="4140" w:type="dxa"/>
            <w:vAlign w:val="bottom"/>
          </w:tcPr>
          <w:p>
            <w:pPr>
              <w:ind w:left="3920"/>
              <w:spacing w:after="0"/>
              <w:rPr>
                <w:sz w:val="20"/>
                <w:szCs w:val="20"/>
                <w:color w:val="auto"/>
              </w:rPr>
            </w:pPr>
            <w:r>
              <w:rPr>
                <w:rFonts w:ascii="Times New Roman" w:cs="Times New Roman" w:eastAsia="Times New Roman" w:hAnsi="Times New Roman"/>
                <w:sz w:val="22"/>
                <w:szCs w:val="22"/>
                <w:color w:val="auto"/>
                <w:w w:val="90"/>
              </w:rPr>
              <w:t>10</w:t>
            </w:r>
          </w:p>
        </w:tc>
      </w:tr>
    </w:tbl>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4" w:name="page155"/>
    <w:bookmarkEnd w:id="1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9"/>
          <w:szCs w:val="29"/>
          <w:b w:val="1"/>
          <w:bCs w:val="1"/>
          <w:color w:val="auto"/>
        </w:rPr>
        <w:t>Section 1 – Background/Scope</w:t>
      </w:r>
    </w:p>
    <w:p>
      <w:pPr>
        <w:spacing w:after="0" w:line="19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Upon execution of this Statement of Work and initiation of a purchase order, Azzur will commence performing this Services set forth in this Statement of Work. This Statement of Work is for the use of Azzur of New England LLC’s Waltham cleanroom suite 3 that is planned to be built in the existing space located at 411 Waverley Oaks Rd., #126, Waltham, MA 02452 (see Layout Diagram Attached). The proposed clean room 3 is to be appropriately designed to allow for future expansion to include a [***]. Azzur will not subcontract use of cleanroom 3 or the performance of any Services under this Statement of Work to a 3rd party without Synlogic’s written approval.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Section 2 – Technical Requirements</w:t>
      </w:r>
    </w:p>
    <w:p>
      <w:pPr>
        <w:spacing w:after="0" w:line="2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AZZUR personnel will be experienced with FDA facility compliance expectations. AZZUR has based this Statement of Work upon the following documents.</w:t>
      </w:r>
    </w:p>
    <w:p>
      <w:pPr>
        <w:spacing w:after="0" w:line="158" w:lineRule="exact"/>
        <w:rPr>
          <w:sz w:val="20"/>
          <w:szCs w:val="20"/>
          <w:color w:val="auto"/>
        </w:rPr>
      </w:pPr>
    </w:p>
    <w:p>
      <w:pPr>
        <w:ind w:left="1760" w:right="240" w:hanging="442"/>
        <w:spacing w:after="0" w:line="258" w:lineRule="auto"/>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of Federal Regulations Title 21 Part 210 – Current Good Manufacturing Practice in the Manufacturing, Processing, Packing, or Holding of Drugs; General</w:t>
      </w:r>
    </w:p>
    <w:p>
      <w:pPr>
        <w:spacing w:after="0" w:line="158" w:lineRule="exact"/>
        <w:rPr>
          <w:rFonts w:ascii="Times New Roman" w:cs="Times New Roman" w:eastAsia="Times New Roman" w:hAnsi="Times New Roman"/>
          <w:sz w:val="22"/>
          <w:szCs w:val="22"/>
          <w:color w:val="auto"/>
        </w:rPr>
      </w:pPr>
    </w:p>
    <w:p>
      <w:pPr>
        <w:ind w:left="1760" w:right="1080" w:hanging="442"/>
        <w:spacing w:after="0" w:line="258" w:lineRule="auto"/>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of Federal Regulations Title 21 Part 211 – Current Good Manufacturing Practice for Finished Pharmaceutical</w:t>
      </w:r>
    </w:p>
    <w:p>
      <w:pPr>
        <w:spacing w:after="0" w:line="158" w:lineRule="exact"/>
        <w:rPr>
          <w:rFonts w:ascii="Times New Roman" w:cs="Times New Roman" w:eastAsia="Times New Roman" w:hAnsi="Times New Roman"/>
          <w:sz w:val="22"/>
          <w:szCs w:val="22"/>
          <w:color w:val="auto"/>
        </w:rPr>
      </w:pPr>
    </w:p>
    <w:p>
      <w:pPr>
        <w:ind w:left="1760" w:right="660" w:hanging="442"/>
        <w:spacing w:after="0" w:line="258" w:lineRule="auto"/>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ASTM E-2500 – 07 – Standard Guide for Specification, Design, and Verification of Pharmaceutical and Biopharmaceutical Manufacturing Systems and Equipment</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Applied Risk Management for Commissioning and Qualification</w:t>
      </w:r>
    </w:p>
    <w:p>
      <w:pPr>
        <w:spacing w:after="0" w:line="206" w:lineRule="exact"/>
        <w:rPr>
          <w:rFonts w:ascii="Times New Roman" w:cs="Times New Roman" w:eastAsia="Times New Roman" w:hAnsi="Times New Roman"/>
          <w:sz w:val="22"/>
          <w:szCs w:val="22"/>
          <w:color w:val="auto"/>
        </w:rPr>
      </w:pPr>
    </w:p>
    <w:p>
      <w:pPr>
        <w:ind w:left="1760" w:right="600" w:hanging="442"/>
        <w:spacing w:after="0" w:line="258" w:lineRule="auto"/>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Science and Risk-Based Approach for the Delivery of Facility Systems and Equipment</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ISPE Good Practice Guide – Good Engineering Practices</w:t>
      </w:r>
    </w:p>
    <w:p>
      <w:pPr>
        <w:spacing w:after="0" w:line="206" w:lineRule="exact"/>
        <w:rPr>
          <w:rFonts w:ascii="Times New Roman" w:cs="Times New Roman" w:eastAsia="Times New Roman" w:hAnsi="Times New Roman"/>
          <w:sz w:val="22"/>
          <w:szCs w:val="22"/>
          <w:color w:val="auto"/>
        </w:rPr>
      </w:pPr>
    </w:p>
    <w:p>
      <w:pPr>
        <w:ind w:left="1760" w:right="160" w:hanging="442"/>
        <w:spacing w:after="0" w:line="258" w:lineRule="auto"/>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PDA Technical Report 56 – Application of Phase Appropriate Quality System and cGMP to the Development of Therapeutic Protein Drug Substance</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Synlogic’s personnel using the classified areas are to be trained on Azzur SOPs on gowning, personnel movement, material control etc.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9"/>
          <w:szCs w:val="29"/>
          <w:b w:val="1"/>
          <w:bCs w:val="1"/>
          <w:color w:val="auto"/>
        </w:rPr>
        <w:t>Section 3 – Detailed Estimate</w:t>
      </w:r>
    </w:p>
    <w:p>
      <w:pPr>
        <w:spacing w:after="0" w:line="189" w:lineRule="exact"/>
        <w:rPr>
          <w:sz w:val="20"/>
          <w:szCs w:val="20"/>
          <w:color w:val="auto"/>
        </w:rPr>
      </w:pPr>
    </w:p>
    <w:p>
      <w:pPr>
        <w:ind w:left="880" w:hanging="872"/>
        <w:spacing w:after="0"/>
        <w:tabs>
          <w:tab w:leader="none" w:pos="88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Fixed Priced Costs – Cleanroom Use</w:t>
      </w:r>
    </w:p>
    <w:p>
      <w:pPr>
        <w:spacing w:after="0" w:line="21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proposed cleanroom (Suite 3) for use by Synlogic includes a total of approximately 700 sq ft with [***]. The location of this proposed new cleanroom suite 3 is an expansion into the existing warehouse space located at 411 Waverley Oaks Rd., #126, Waltham, MA 02452.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items are included in the cost of the cleanroom use:</w:t>
      </w:r>
    </w:p>
    <w:p>
      <w:pPr>
        <w:spacing w:after="0" w:line="206" w:lineRule="exact"/>
        <w:rPr>
          <w:sz w:val="20"/>
          <w:szCs w:val="20"/>
          <w:color w:val="auto"/>
        </w:rPr>
      </w:pPr>
    </w:p>
    <w:p>
      <w:pPr>
        <w:ind w:left="1760" w:hanging="442"/>
        <w:spacing w:after="0"/>
        <w:tabs>
          <w:tab w:leader="none" w:pos="1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qualified/maintained core and gowning areas – Qualified to ISO standards</w:t>
      </w:r>
    </w:p>
    <w:p>
      <w:pPr>
        <w:spacing w:after="0" w:line="189" w:lineRule="exact"/>
        <w:rPr>
          <w:rFonts w:ascii="Times New Roman" w:cs="Times New Roman" w:eastAsia="Times New Roman" w:hAnsi="Times New Roman"/>
          <w:sz w:val="22"/>
          <w:szCs w:val="22"/>
          <w:color w:val="auto"/>
        </w:rPr>
      </w:pPr>
    </w:p>
    <w:p>
      <w:pPr>
        <w:ind w:left="2200"/>
        <w:spacing w:after="0"/>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All entry/exit door to classified spaces will be interlocked</w:t>
      </w:r>
    </w:p>
    <w:p>
      <w:pPr>
        <w:spacing w:after="0" w:line="187" w:lineRule="exact"/>
        <w:rPr>
          <w:rFonts w:ascii="Times New Roman" w:cs="Times New Roman" w:eastAsia="Times New Roman" w:hAnsi="Times New Roman"/>
          <w:sz w:val="22"/>
          <w:szCs w:val="22"/>
          <w:color w:val="auto"/>
        </w:rPr>
      </w:pPr>
    </w:p>
    <w:p>
      <w:pPr>
        <w:ind w:left="2200"/>
        <w:spacing w:after="0"/>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Room differential pressures which will meet [***] classification</w:t>
      </w:r>
    </w:p>
    <w:p>
      <w:pPr>
        <w:spacing w:after="0" w:line="187" w:lineRule="exact"/>
        <w:rPr>
          <w:rFonts w:ascii="Times New Roman" w:cs="Times New Roman" w:eastAsia="Times New Roman" w:hAnsi="Times New Roman"/>
          <w:sz w:val="22"/>
          <w:szCs w:val="22"/>
          <w:color w:val="auto"/>
        </w:rPr>
      </w:pPr>
    </w:p>
    <w:p>
      <w:pPr>
        <w:ind w:left="2200"/>
        <w:spacing w:after="0"/>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Temperature specification range of [***] with operation specification control of [***]</w:t>
      </w:r>
    </w:p>
    <w:p>
      <w:pPr>
        <w:spacing w:after="0" w:line="205" w:lineRule="exact"/>
        <w:rPr>
          <w:sz w:val="20"/>
          <w:szCs w:val="20"/>
          <w:color w:val="auto"/>
        </w:rPr>
      </w:pPr>
    </w:p>
    <w:p>
      <w:pPr>
        <w:ind w:left="2620" w:hanging="424"/>
        <w:spacing w:after="0"/>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Humidity specification range of [***] with operational control at [***]</w:t>
      </w:r>
    </w:p>
    <w:p>
      <w:pPr>
        <w:spacing w:after="0" w:line="187" w:lineRule="exact"/>
        <w:rPr>
          <w:rFonts w:ascii="Courier New" w:cs="Courier New" w:eastAsia="Courier New" w:hAnsi="Courier New"/>
          <w:sz w:val="22"/>
          <w:szCs w:val="22"/>
          <w:color w:val="auto"/>
        </w:rPr>
      </w:pPr>
    </w:p>
    <w:p>
      <w:pPr>
        <w:ind w:left="2620" w:right="520" w:hanging="424"/>
        <w:spacing w:after="0" w:line="241" w:lineRule="auto"/>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Differential pressure, temperature and humidity will be continually monitored using a validated controlled environmental monitoring system (CEMS) on a routine basis</w:t>
      </w:r>
    </w:p>
    <w:p>
      <w:pPr>
        <w:spacing w:after="0" w:line="175" w:lineRule="exact"/>
        <w:rPr>
          <w:rFonts w:ascii="Courier New" w:cs="Courier New" w:eastAsia="Courier New" w:hAnsi="Courier New"/>
          <w:sz w:val="22"/>
          <w:szCs w:val="22"/>
          <w:color w:val="auto"/>
        </w:rPr>
      </w:pPr>
    </w:p>
    <w:p>
      <w:pPr>
        <w:ind w:left="1760" w:hanging="442"/>
        <w:spacing w:after="0"/>
        <w:tabs>
          <w:tab w:leader="none" w:pos="1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Cleanroom cleaning</w:t>
      </w:r>
    </w:p>
    <w:p>
      <w:pPr>
        <w:spacing w:after="0" w:line="206" w:lineRule="exact"/>
        <w:rPr>
          <w:rFonts w:ascii="Times New Roman" w:cs="Times New Roman" w:eastAsia="Times New Roman" w:hAnsi="Times New Roman"/>
          <w:sz w:val="22"/>
          <w:szCs w:val="22"/>
          <w:color w:val="auto"/>
        </w:rPr>
      </w:pPr>
    </w:p>
    <w:p>
      <w:pPr>
        <w:ind w:left="2620" w:right="120" w:hanging="424"/>
        <w:spacing w:after="0" w:line="241" w:lineRule="auto"/>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Weekly – Horizontal and vertical surfaces including wiped using IPA, floors vacuumed and mopped using the latest version of the following approved cleaning solution [***]</w:t>
      </w:r>
    </w:p>
    <w:p>
      <w:pPr>
        <w:spacing w:after="0" w:line="175" w:lineRule="exact"/>
        <w:rPr>
          <w:rFonts w:ascii="Courier New" w:cs="Courier New" w:eastAsia="Courier New" w:hAnsi="Courier New"/>
          <w:sz w:val="22"/>
          <w:szCs w:val="22"/>
          <w:color w:val="auto"/>
        </w:rPr>
      </w:pPr>
    </w:p>
    <w:p>
      <w:pPr>
        <w:ind w:left="2620" w:right="180" w:hanging="424"/>
        <w:spacing w:after="0" w:line="241" w:lineRule="auto"/>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Monthly – Same as weekly cleaning followed by second cleaning using approved cleaning solution on all surfaces [***]</w:t>
      </w:r>
    </w:p>
    <w:p>
      <w:pPr>
        <w:spacing w:after="0" w:line="175" w:lineRule="exact"/>
        <w:rPr>
          <w:rFonts w:ascii="Courier New" w:cs="Courier New" w:eastAsia="Courier New" w:hAnsi="Courier New"/>
          <w:sz w:val="22"/>
          <w:szCs w:val="22"/>
          <w:color w:val="auto"/>
        </w:rPr>
      </w:pPr>
    </w:p>
    <w:p>
      <w:pPr>
        <w:ind w:left="2620" w:hanging="424"/>
        <w:spacing w:after="0"/>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Quarterly (once every 3 months) – Same as monthly cleaning [***]</w:t>
      </w:r>
    </w:p>
    <w:p>
      <w:pPr>
        <w:spacing w:after="0" w:line="187" w:lineRule="exact"/>
        <w:rPr>
          <w:rFonts w:ascii="Courier New" w:cs="Courier New" w:eastAsia="Courier New" w:hAnsi="Courier New"/>
          <w:sz w:val="22"/>
          <w:szCs w:val="22"/>
          <w:color w:val="auto"/>
        </w:rPr>
      </w:pPr>
    </w:p>
    <w:p>
      <w:pPr>
        <w:ind w:left="2620" w:right="560" w:hanging="424"/>
        <w:spacing w:after="0" w:line="241" w:lineRule="auto"/>
        <w:tabs>
          <w:tab w:leader="none" w:pos="2620" w:val="left"/>
        </w:tabs>
        <w:numPr>
          <w:ilvl w:val="1"/>
          <w:numId w:val="1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Triple clean – Quarterly cleaning performed 3 times. Performed on an as needed basis between campaigns or at Synlogic’s request.</w:t>
      </w:r>
    </w:p>
    <w:p>
      <w:pPr>
        <w:spacing w:after="0" w:line="175" w:lineRule="exact"/>
        <w:rPr>
          <w:rFonts w:ascii="Courier New" w:cs="Courier New" w:eastAsia="Courier New" w:hAnsi="Courier New"/>
          <w:sz w:val="22"/>
          <w:szCs w:val="22"/>
          <w:color w:val="auto"/>
        </w:rPr>
      </w:pPr>
    </w:p>
    <w:p>
      <w:pPr>
        <w:ind w:left="1760" w:hanging="442"/>
        <w:spacing w:after="0"/>
        <w:tabs>
          <w:tab w:leader="none" w:pos="1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and badge access control</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Back-up power</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Routine Environmental Monitoring</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6" w:name="page157"/>
    <w:bookmarkEnd w:id="1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ind w:left="2620" w:right="460" w:hanging="424"/>
        <w:spacing w:after="0" w:line="230" w:lineRule="auto"/>
        <w:tabs>
          <w:tab w:leader="none" w:pos="2620" w:val="left"/>
        </w:tabs>
        <w:numPr>
          <w:ilvl w:val="2"/>
          <w:numId w:val="11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Weekly TAP, Viable Air and Surface Monitoring – Additional environmental monitoring may be completed upon request as time &amp; materials.</w:t>
      </w:r>
    </w:p>
    <w:p>
      <w:pPr>
        <w:spacing w:after="0" w:line="176" w:lineRule="exact"/>
        <w:rPr>
          <w:rFonts w:ascii="Courier New" w:cs="Courier New" w:eastAsia="Courier New" w:hAnsi="Courier New"/>
          <w:sz w:val="22"/>
          <w:szCs w:val="22"/>
          <w:color w:val="auto"/>
        </w:rPr>
      </w:pPr>
    </w:p>
    <w:p>
      <w:pPr>
        <w:ind w:left="1760" w:hanging="442"/>
        <w:spacing w:after="0"/>
        <w:tabs>
          <w:tab w:leader="none" w:pos="17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Utilities</w:t>
      </w:r>
    </w:p>
    <w:p>
      <w:pPr>
        <w:spacing w:after="0" w:line="206" w:lineRule="exact"/>
        <w:rPr>
          <w:rFonts w:ascii="Times New Roman" w:cs="Times New Roman" w:eastAsia="Times New Roman" w:hAnsi="Times New Roman"/>
          <w:sz w:val="22"/>
          <w:szCs w:val="22"/>
          <w:color w:val="auto"/>
        </w:rPr>
      </w:pPr>
    </w:p>
    <w:p>
      <w:pPr>
        <w:ind w:left="2620" w:hanging="424"/>
        <w:spacing w:after="0"/>
        <w:tabs>
          <w:tab w:leader="none" w:pos="2620" w:val="left"/>
        </w:tabs>
        <w:numPr>
          <w:ilvl w:val="2"/>
          <w:numId w:val="11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Power, water (hand washing sink)</w:t>
      </w:r>
    </w:p>
    <w:p>
      <w:pPr>
        <w:spacing w:after="0" w:line="187" w:lineRule="exact"/>
        <w:rPr>
          <w:rFonts w:ascii="Courier New" w:cs="Courier New" w:eastAsia="Courier New" w:hAnsi="Courier New"/>
          <w:sz w:val="22"/>
          <w:szCs w:val="22"/>
          <w:color w:val="auto"/>
        </w:rPr>
      </w:pPr>
    </w:p>
    <w:p>
      <w:pPr>
        <w:ind w:left="1760" w:hanging="442"/>
        <w:spacing w:after="0"/>
        <w:tabs>
          <w:tab w:leader="none" w:pos="17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Pest Control</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Waste Disposal (Biological, Hazardous, Non-Hazardous)</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BSC certification/maintenance</w:t>
      </w:r>
    </w:p>
    <w:p>
      <w:pPr>
        <w:spacing w:after="0" w:line="206" w:lineRule="exact"/>
        <w:rPr>
          <w:rFonts w:ascii="Times New Roman" w:cs="Times New Roman" w:eastAsia="Times New Roman" w:hAnsi="Times New Roman"/>
          <w:sz w:val="22"/>
          <w:szCs w:val="22"/>
          <w:color w:val="auto"/>
        </w:rPr>
      </w:pPr>
    </w:p>
    <w:p>
      <w:pPr>
        <w:ind w:left="1760" w:right="260" w:hanging="442"/>
        <w:spacing w:after="0" w:line="244" w:lineRule="auto"/>
        <w:tabs>
          <w:tab w:leader="none" w:pos="17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repair or maintenance on all aspects of the classified space (e.g. HVAC maintenance, routine repairs). Such events will require downtime in terms of operations and will be scheduled based on Synlogic’s needs.</w:t>
      </w:r>
    </w:p>
    <w:p>
      <w:pPr>
        <w:spacing w:after="0" w:line="169" w:lineRule="exact"/>
        <w:rPr>
          <w:rFonts w:ascii="Times New Roman" w:cs="Times New Roman" w:eastAsia="Times New Roman" w:hAnsi="Times New Roman"/>
          <w:sz w:val="22"/>
          <w:szCs w:val="22"/>
          <w:color w:val="auto"/>
        </w:rPr>
      </w:pPr>
    </w:p>
    <w:p>
      <w:pPr>
        <w:ind w:left="880" w:hanging="872"/>
        <w:spacing w:after="0"/>
        <w:tabs>
          <w:tab w:leader="none" w:pos="88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Fixed Priced Costs – Storage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Storage space is available on a monthly basis and includes the following:</w:t>
      </w:r>
    </w:p>
    <w:p>
      <w:pPr>
        <w:spacing w:after="0" w:line="206" w:lineRule="exact"/>
        <w:rPr>
          <w:sz w:val="20"/>
          <w:szCs w:val="20"/>
          <w:color w:val="auto"/>
        </w:rPr>
      </w:pPr>
    </w:p>
    <w:p>
      <w:pPr>
        <w:ind w:left="1760" w:hanging="442"/>
        <w:spacing w:after="0"/>
        <w:tabs>
          <w:tab w:leader="none" w:pos="1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Dedicated storage location ([***])</w:t>
      </w:r>
    </w:p>
    <w:p>
      <w:pPr>
        <w:spacing w:after="0" w:line="206" w:lineRule="exact"/>
        <w:rPr>
          <w:rFonts w:ascii="Times New Roman" w:cs="Times New Roman" w:eastAsia="Times New Roman" w:hAnsi="Times New Roman"/>
          <w:sz w:val="22"/>
          <w:szCs w:val="22"/>
          <w:color w:val="auto"/>
        </w:rPr>
      </w:pPr>
    </w:p>
    <w:p>
      <w:pPr>
        <w:ind w:left="1760" w:right="1040" w:hanging="442"/>
        <w:spacing w:after="0" w:line="258" w:lineRule="auto"/>
        <w:tabs>
          <w:tab w:leader="none" w:pos="1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Temperature and humidity will be continually monitored using a validated controlled environmental monitoring system (CEMS) on a routine basis</w:t>
      </w:r>
    </w:p>
    <w:p>
      <w:pPr>
        <w:spacing w:after="0" w:line="158" w:lineRule="exact"/>
        <w:rPr>
          <w:rFonts w:ascii="Times New Roman" w:cs="Times New Roman" w:eastAsia="Times New Roman" w:hAnsi="Times New Roman"/>
          <w:sz w:val="22"/>
          <w:szCs w:val="22"/>
          <w:color w:val="auto"/>
        </w:rPr>
      </w:pPr>
    </w:p>
    <w:p>
      <w:pPr>
        <w:ind w:left="1760" w:right="340" w:hanging="442"/>
        <w:spacing w:after="0" w:line="258" w:lineRule="auto"/>
        <w:tabs>
          <w:tab w:leader="none" w:pos="1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repair or maintenance on the [***] storage units will require downtime in terms of operations and will be scheduled based on Synlogic’s needs.</w:t>
      </w:r>
    </w:p>
    <w:p>
      <w:pPr>
        <w:spacing w:after="0" w:line="15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The table below includes the all-inclusive fixed costs for cleanroom use and storage costs for each year. [***] Storage costs are based on the requirements provided by Synlogic. All costs listed in the table below are fixed costs that will be invoiced to Synlogic, at the beginning of each month irrespective of actual usage during the given month. Overages in storage space use compared to below amounts per month will be invoiced at the end of each month. The overage costs are the same as the unit costs quoted below. This SOW has been drafted for a total use duration of 44 months starting May 1st, 2019 to December 31st, 2022. The costs quoted include a price increase of [***] year over year to cover for increase in personnel, utilities and other costs.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 Fixed Costs (Cleanroom Use and Storage)</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210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980" w:type="dxa"/>
            <w:vAlign w:val="bottom"/>
            <w:tcBorders>
              <w:top w:val="single" w:sz="8" w:color="auto"/>
              <w:bottom w:val="single" w:sz="8" w:color="auto"/>
              <w:right w:val="single" w:sz="8" w:color="auto"/>
            </w:tcBorders>
            <w:shd w:val="clear" w:color="auto" w:fill="D9D9D9"/>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Unit Cost/mo (2019)</w:t>
            </w:r>
          </w:p>
        </w:tc>
        <w:tc>
          <w:tcPr>
            <w:tcW w:w="1460" w:type="dxa"/>
            <w:vAlign w:val="bottom"/>
            <w:tcBorders>
              <w:top w:val="single" w:sz="8" w:color="auto"/>
              <w:bottom w:val="single" w:sz="8" w:color="auto"/>
              <w:right w:val="single" w:sz="8" w:color="auto"/>
            </w:tcBorders>
            <w:shd w:val="clear" w:color="auto" w:fill="D9D9D9"/>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2019 Cost</w:t>
            </w:r>
          </w:p>
        </w:tc>
        <w:tc>
          <w:tcPr>
            <w:tcW w:w="1460" w:type="dxa"/>
            <w:vAlign w:val="bottom"/>
            <w:tcBorders>
              <w:top w:val="single" w:sz="8" w:color="auto"/>
              <w:bottom w:val="single" w:sz="8" w:color="auto"/>
              <w:right w:val="single" w:sz="8" w:color="auto"/>
            </w:tcBorders>
            <w:shd w:val="clear" w:color="auto" w:fill="D9D9D9"/>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2020 Cost</w:t>
            </w:r>
          </w:p>
        </w:tc>
        <w:tc>
          <w:tcPr>
            <w:tcW w:w="1480" w:type="dxa"/>
            <w:vAlign w:val="bottom"/>
            <w:tcBorders>
              <w:top w:val="single" w:sz="8" w:color="auto"/>
              <w:bottom w:val="single" w:sz="8" w:color="auto"/>
              <w:right w:val="single" w:sz="8" w:color="auto"/>
            </w:tcBorders>
            <w:shd w:val="clear" w:color="auto" w:fill="D9D9D9"/>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2021 Cost</w:t>
            </w:r>
          </w:p>
        </w:tc>
        <w:tc>
          <w:tcPr>
            <w:tcW w:w="1460" w:type="dxa"/>
            <w:vAlign w:val="bottom"/>
            <w:tcBorders>
              <w:top w:val="single" w:sz="8" w:color="auto"/>
              <w:bottom w:val="single" w:sz="8" w:color="auto"/>
              <w:right w:val="single" w:sz="8" w:color="auto"/>
            </w:tcBorders>
            <w:shd w:val="clear" w:color="auto" w:fill="D9D9D9"/>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2022 Cost</w:t>
            </w:r>
          </w:p>
        </w:tc>
        <w:tc>
          <w:tcPr>
            <w:tcW w:w="1480" w:type="dxa"/>
            <w:vAlign w:val="bottom"/>
            <w:tcBorders>
              <w:top w:val="single" w:sz="8" w:color="auto"/>
              <w:bottom w:val="single" w:sz="8" w:color="auto"/>
              <w:right w:val="single" w:sz="8" w:color="auto"/>
            </w:tcBorders>
            <w:shd w:val="clear" w:color="auto" w:fill="D9D9D9"/>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37"/>
        </w:trPr>
        <w:tc>
          <w:tcPr>
            <w:tcW w:w="21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80" w:type="dxa"/>
            <w:vAlign w:val="bottom"/>
            <w:tcBorders>
              <w:bottom w:val="single" w:sz="8" w:color="auto"/>
              <w:right w:val="single" w:sz="8" w:color="auto"/>
            </w:tcBorders>
          </w:tcPr>
          <w:p>
            <w:pPr>
              <w:jc w:val="right"/>
              <w:ind w:right="141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8"/>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1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80" w:type="dxa"/>
            <w:vAlign w:val="bottom"/>
            <w:tcBorders>
              <w:bottom w:val="single" w:sz="8" w:color="auto"/>
              <w:right w:val="single" w:sz="8" w:color="auto"/>
            </w:tcBorders>
          </w:tcPr>
          <w:p>
            <w:pPr>
              <w:jc w:val="right"/>
              <w:ind w:right="141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8"/>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8"/>
              <w:spacing w:after="0" w:line="237" w:lineRule="exact"/>
              <w:rPr>
                <w:sz w:val="20"/>
                <w:szCs w:val="20"/>
                <w:color w:val="auto"/>
              </w:rPr>
            </w:pPr>
            <w:r>
              <w:rPr>
                <w:rFonts w:ascii="Times New Roman" w:cs="Times New Roman" w:eastAsia="Times New Roman" w:hAnsi="Times New Roman"/>
                <w:sz w:val="22"/>
                <w:szCs w:val="22"/>
                <w:color w:val="auto"/>
                <w:w w:val="92"/>
              </w:rPr>
              <w:t>[***]</w:t>
            </w: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7" w:name="page158"/>
    <w:bookmarkEnd w:id="1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tbl>
      <w:tblPr>
        <w:tblLayout w:type="fixed"/>
        <w:tblInd w:w="30" w:type="dxa"/>
        <w:tblCellMar>
          <w:top w:w="0" w:type="dxa"/>
          <w:left w:w="0" w:type="dxa"/>
          <w:bottom w:w="0" w:type="dxa"/>
          <w:right w:w="0" w:type="dxa"/>
        </w:tblCellMar>
      </w:tblPr>
      <w:tr>
        <w:trPr>
          <w:trHeight w:val="237"/>
        </w:trPr>
        <w:tc>
          <w:tcPr>
            <w:tcW w:w="1140" w:type="dxa"/>
            <w:vAlign w:val="bottom"/>
            <w:tcBorders>
              <w:top w:val="single" w:sz="8" w:color="auto"/>
              <w:left w:val="single" w:sz="8" w:color="auto"/>
              <w:bottom w:val="single" w:sz="8" w:color="auto"/>
            </w:tcBorders>
            <w:shd w:val="clear" w:color="auto" w:fill="D9D9D9"/>
          </w:tcPr>
          <w:p>
            <w:pPr>
              <w:jc w:val="right"/>
              <w:ind w:right="5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960" w:type="dxa"/>
            <w:vAlign w:val="bottom"/>
            <w:tcBorders>
              <w:top w:val="single" w:sz="8" w:color="auto"/>
              <w:bottom w:val="single" w:sz="8" w:color="auto"/>
              <w:right w:val="single" w:sz="8" w:color="auto"/>
            </w:tcBorders>
            <w:shd w:val="clear" w:color="auto" w:fill="D9D9D9"/>
          </w:tcPr>
          <w:p>
            <w:pPr>
              <w:spacing w:after="0"/>
              <w:rPr>
                <w:sz w:val="20"/>
                <w:szCs w:val="20"/>
                <w:color w:val="auto"/>
              </w:rPr>
            </w:pPr>
          </w:p>
        </w:tc>
        <w:tc>
          <w:tcPr>
            <w:tcW w:w="1980" w:type="dxa"/>
            <w:vAlign w:val="bottom"/>
            <w:tcBorders>
              <w:top w:val="single" w:sz="8" w:color="auto"/>
              <w:bottom w:val="single" w:sz="8" w:color="auto"/>
              <w:right w:val="single" w:sz="8" w:color="auto"/>
            </w:tcBorders>
          </w:tcPr>
          <w:p>
            <w:pPr>
              <w:jc w:val="right"/>
              <w:ind w:right="141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top w:val="single" w:sz="8" w:color="auto"/>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top w:val="single" w:sz="8" w:color="auto"/>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top w:val="single" w:sz="8" w:color="auto"/>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top w:val="single" w:sz="8" w:color="auto"/>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top w:val="single" w:sz="8" w:color="auto"/>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1140" w:type="dxa"/>
            <w:vAlign w:val="bottom"/>
            <w:tcBorders>
              <w:left w:val="single" w:sz="8" w:color="auto"/>
              <w:bottom w:val="single" w:sz="8" w:color="auto"/>
            </w:tcBorders>
            <w:shd w:val="clear" w:color="auto" w:fill="D9D9D9"/>
          </w:tcPr>
          <w:p>
            <w:pPr>
              <w:jc w:val="right"/>
              <w:ind w:right="5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960" w:type="dxa"/>
            <w:vAlign w:val="bottom"/>
            <w:tcBorders>
              <w:bottom w:val="single" w:sz="8" w:color="auto"/>
              <w:right w:val="single" w:sz="8" w:color="auto"/>
            </w:tcBorders>
            <w:shd w:val="clear" w:color="auto" w:fill="D9D9D9"/>
          </w:tcPr>
          <w:p>
            <w:pPr>
              <w:spacing w:after="0"/>
              <w:rPr>
                <w:sz w:val="20"/>
                <w:szCs w:val="20"/>
                <w:color w:val="auto"/>
              </w:rPr>
            </w:pPr>
          </w:p>
        </w:tc>
        <w:tc>
          <w:tcPr>
            <w:tcW w:w="1980" w:type="dxa"/>
            <w:vAlign w:val="bottom"/>
            <w:tcBorders>
              <w:bottom w:val="single" w:sz="8" w:color="auto"/>
              <w:right w:val="single" w:sz="8" w:color="auto"/>
            </w:tcBorders>
          </w:tcPr>
          <w:p>
            <w:pPr>
              <w:jc w:val="right"/>
              <w:ind w:right="141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1140" w:type="dxa"/>
            <w:vAlign w:val="bottom"/>
            <w:tcBorders>
              <w:left w:val="single" w:sz="8" w:color="auto"/>
              <w:bottom w:val="single" w:sz="8" w:color="auto"/>
            </w:tcBorders>
            <w:shd w:val="clear" w:color="auto" w:fill="D9D9D9"/>
          </w:tcPr>
          <w:p>
            <w:pPr>
              <w:spacing w:after="0"/>
              <w:rPr>
                <w:sz w:val="20"/>
                <w:szCs w:val="20"/>
                <w:color w:val="auto"/>
              </w:rPr>
            </w:pPr>
          </w:p>
        </w:tc>
        <w:tc>
          <w:tcPr>
            <w:tcW w:w="2940" w:type="dxa"/>
            <w:vAlign w:val="bottom"/>
            <w:tcBorders>
              <w:bottom w:val="single" w:sz="8" w:color="auto"/>
              <w:right w:val="single" w:sz="8" w:color="auto"/>
            </w:tcBorders>
            <w:gridSpan w:val="2"/>
            <w:shd w:val="clear" w:color="auto" w:fill="D9D9D9"/>
          </w:tcPr>
          <w:p>
            <w:pPr>
              <w:jc w:val="right"/>
              <w:ind w:right="171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4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Times New Roman" w:cs="Times New Roman" w:eastAsia="Times New Roman" w:hAnsi="Times New Roman"/>
                <w:sz w:val="22"/>
                <w:szCs w:val="22"/>
                <w:color w:val="auto"/>
                <w:w w:val="92"/>
              </w:rPr>
              <w:t>[***]</w:t>
            </w:r>
          </w:p>
        </w:tc>
      </w:tr>
    </w:tbl>
    <w:p>
      <w:pPr>
        <w:spacing w:after="0" w:line="198" w:lineRule="exact"/>
        <w:rPr>
          <w:sz w:val="20"/>
          <w:szCs w:val="20"/>
          <w:color w:val="auto"/>
        </w:rPr>
      </w:pPr>
    </w:p>
    <w:p>
      <w:pPr>
        <w:ind w:left="880" w:hanging="872"/>
        <w:spacing w:after="0"/>
        <w:tabs>
          <w:tab w:leader="none" w:pos="88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Variable Costs – Personnel Support</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Azzur personnel at various levels will support activities including project management, sampling, material receipt/release, inventory control, training and general consulting for the duration of Synlogic’s use of cleanroom 3 and associate storage and other use. These costs are variable and will be invoiced every two weeks based on actual time spent on various Synlogic related activities during that period. Timesheets will be provided with all invoices related to personnel costs. Off-hours support will be provided, as needed with advance notice and the costs are the same as detailed below. The costs quoted include a price increase of [***] year over year due to increase in salaries, benefits costs, raises etc. The table below summarized the estimated variable costs for the duration of 44 months.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2: Variable Costs (Personnel Support)</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300" w:type="dxa"/>
            <w:vAlign w:val="bottom"/>
            <w:tcBorders>
              <w:top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b w:val="1"/>
                <w:bCs w:val="1"/>
                <w:color w:val="auto"/>
              </w:rPr>
              <w:t>Unit Cost/hr</w:t>
            </w:r>
          </w:p>
        </w:tc>
        <w:tc>
          <w:tcPr>
            <w:tcW w:w="1340" w:type="dxa"/>
            <w:vAlign w:val="bottom"/>
            <w:tcBorders>
              <w:top w:val="single" w:sz="8" w:color="auto"/>
              <w:right w:val="single" w:sz="8" w:color="auto"/>
            </w:tcBorders>
            <w:shd w:val="clear" w:color="auto" w:fill="D9D9D9"/>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80" w:type="dxa"/>
            <w:vAlign w:val="bottom"/>
            <w:tcBorders>
              <w:top w:val="single" w:sz="8" w:color="auto"/>
              <w:right w:val="single" w:sz="8" w:color="auto"/>
            </w:tcBorders>
            <w:shd w:val="clear" w:color="auto" w:fill="D9D9D9"/>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spacing w:after="0"/>
              <w:rPr>
                <w:sz w:val="18"/>
                <w:szCs w:val="18"/>
                <w:color w:val="auto"/>
              </w:rPr>
            </w:pPr>
          </w:p>
        </w:tc>
        <w:tc>
          <w:tcPr>
            <w:tcW w:w="1280" w:type="dxa"/>
            <w:vAlign w:val="bottom"/>
            <w:tcBorders>
              <w:top w:val="single" w:sz="8" w:color="auto"/>
              <w:right w:val="single" w:sz="8" w:color="auto"/>
            </w:tcBorders>
            <w:shd w:val="clear" w:color="auto" w:fill="D9D9D9"/>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spacing w:after="0"/>
              <w:rPr>
                <w:sz w:val="18"/>
                <w:szCs w:val="18"/>
                <w:color w:val="auto"/>
              </w:rPr>
            </w:pPr>
          </w:p>
        </w:tc>
        <w:tc>
          <w:tcPr>
            <w:tcW w:w="1300" w:type="dxa"/>
            <w:vAlign w:val="bottom"/>
            <w:tcBorders>
              <w:top w:val="single" w:sz="8" w:color="auto"/>
              <w:right w:val="single" w:sz="8" w:color="auto"/>
            </w:tcBorders>
            <w:shd w:val="clear" w:color="auto" w:fill="D9D9D9"/>
          </w:tcPr>
          <w:p>
            <w:pPr>
              <w:spacing w:after="0"/>
              <w:rPr>
                <w:sz w:val="18"/>
                <w:szCs w:val="18"/>
                <w:color w:val="auto"/>
              </w:rPr>
            </w:pPr>
          </w:p>
        </w:tc>
      </w:tr>
      <w:tr>
        <w:trPr>
          <w:trHeight w:val="238"/>
        </w:trPr>
        <w:tc>
          <w:tcPr>
            <w:tcW w:w="240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300" w:type="dxa"/>
            <w:vAlign w:val="bottom"/>
            <w:tcBorders>
              <w:bottom w:val="single" w:sz="8" w:color="auto"/>
              <w:right w:val="single" w:sz="8" w:color="auto"/>
            </w:tcBorders>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tcBorders>
              <w:bottom w:val="single" w:sz="8" w:color="auto"/>
              <w:right w:val="single" w:sz="8" w:color="auto"/>
            </w:tcBorders>
            <w:shd w:val="clear" w:color="auto" w:fill="D9D9D9"/>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Hrs/mo</w:t>
            </w:r>
          </w:p>
        </w:tc>
        <w:tc>
          <w:tcPr>
            <w:tcW w:w="1280" w:type="dxa"/>
            <w:vAlign w:val="bottom"/>
            <w:tcBorders>
              <w:bottom w:val="single" w:sz="8" w:color="auto"/>
              <w:right w:val="single" w:sz="8" w:color="auto"/>
            </w:tcBorders>
            <w:shd w:val="clear" w:color="auto" w:fill="D9D9D9"/>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2019 Cost</w:t>
            </w:r>
          </w:p>
        </w:tc>
        <w:tc>
          <w:tcPr>
            <w:tcW w:w="1260" w:type="dxa"/>
            <w:vAlign w:val="bottom"/>
            <w:tcBorders>
              <w:bottom w:val="single" w:sz="8" w:color="auto"/>
              <w:right w:val="single" w:sz="8" w:color="auto"/>
            </w:tcBorders>
            <w:shd w:val="clear" w:color="auto" w:fill="D9D9D9"/>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2020 Cost</w:t>
            </w:r>
          </w:p>
        </w:tc>
        <w:tc>
          <w:tcPr>
            <w:tcW w:w="1280" w:type="dxa"/>
            <w:vAlign w:val="bottom"/>
            <w:tcBorders>
              <w:bottom w:val="single" w:sz="8" w:color="auto"/>
              <w:right w:val="single" w:sz="8" w:color="auto"/>
            </w:tcBorders>
            <w:shd w:val="clear" w:color="auto" w:fill="D9D9D9"/>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2021 Cost</w:t>
            </w:r>
          </w:p>
        </w:tc>
        <w:tc>
          <w:tcPr>
            <w:tcW w:w="1260" w:type="dxa"/>
            <w:vAlign w:val="bottom"/>
            <w:tcBorders>
              <w:bottom w:val="single" w:sz="8" w:color="auto"/>
              <w:right w:val="single" w:sz="8" w:color="auto"/>
            </w:tcBorders>
            <w:shd w:val="clear" w:color="auto" w:fill="D9D9D9"/>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2022 Cost</w:t>
            </w:r>
          </w:p>
        </w:tc>
        <w:tc>
          <w:tcPr>
            <w:tcW w:w="1300" w:type="dxa"/>
            <w:vAlign w:val="bottom"/>
            <w:tcBorders>
              <w:bottom w:val="single" w:sz="8" w:color="auto"/>
              <w:right w:val="single" w:sz="8" w:color="auto"/>
            </w:tcBorders>
            <w:shd w:val="clear" w:color="auto" w:fill="D9D9D9"/>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37"/>
        </w:trPr>
        <w:tc>
          <w:tcPr>
            <w:tcW w:w="24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right w:val="single" w:sz="8" w:color="auto"/>
            </w:tcBorders>
          </w:tcPr>
          <w:p>
            <w:pPr>
              <w:jc w:val="right"/>
              <w:ind w:right="797"/>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4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right w:val="single" w:sz="8" w:color="auto"/>
            </w:tcBorders>
          </w:tcPr>
          <w:p>
            <w:pPr>
              <w:jc w:val="right"/>
              <w:ind w:right="797"/>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4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right w:val="single" w:sz="8" w:color="auto"/>
            </w:tcBorders>
          </w:tcPr>
          <w:p>
            <w:pPr>
              <w:jc w:val="right"/>
              <w:ind w:right="797"/>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4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right w:val="single" w:sz="8" w:color="auto"/>
            </w:tcBorders>
          </w:tcPr>
          <w:p>
            <w:pPr>
              <w:jc w:val="right"/>
              <w:ind w:right="797"/>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4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right w:val="single" w:sz="8" w:color="auto"/>
            </w:tcBorders>
          </w:tcPr>
          <w:p>
            <w:pPr>
              <w:jc w:val="right"/>
              <w:ind w:right="797"/>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40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1300" w:type="dxa"/>
            <w:vAlign w:val="bottom"/>
            <w:tcBorders>
              <w:bottom w:val="single" w:sz="8" w:color="auto"/>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28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260" w:type="dxa"/>
            <w:vAlign w:val="bottom"/>
            <w:tcBorders>
              <w:bottom w:val="single" w:sz="8" w:color="auto"/>
              <w:right w:val="single" w:sz="8" w:color="auto"/>
            </w:tcBorders>
          </w:tcPr>
          <w:p>
            <w:pPr>
              <w:jc w:val="right"/>
              <w:ind w:right="715"/>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00" w:type="dxa"/>
            <w:vAlign w:val="bottom"/>
            <w:tcBorders>
              <w:bottom w:val="single" w:sz="8" w:color="auto"/>
              <w:right w:val="single" w:sz="8" w:color="auto"/>
            </w:tcBorders>
          </w:tcPr>
          <w:p>
            <w:pPr>
              <w:jc w:val="right"/>
              <w:ind w:right="735"/>
              <w:spacing w:after="0" w:line="237" w:lineRule="exact"/>
              <w:rPr>
                <w:sz w:val="20"/>
                <w:szCs w:val="20"/>
                <w:color w:val="auto"/>
              </w:rPr>
            </w:pPr>
            <w:r>
              <w:rPr>
                <w:rFonts w:ascii="Times New Roman" w:cs="Times New Roman" w:eastAsia="Times New Roman" w:hAnsi="Times New Roman"/>
                <w:sz w:val="22"/>
                <w:szCs w:val="22"/>
                <w:color w:val="auto"/>
                <w:w w:val="92"/>
              </w:rPr>
              <w:t>[***]</w:t>
            </w:r>
          </w:p>
        </w:tc>
      </w:tr>
    </w:tbl>
    <w:p>
      <w:pPr>
        <w:spacing w:after="0" w:line="198" w:lineRule="exact"/>
        <w:rPr>
          <w:sz w:val="20"/>
          <w:szCs w:val="20"/>
          <w:color w:val="auto"/>
        </w:rPr>
      </w:pPr>
    </w:p>
    <w:p>
      <w:pPr>
        <w:ind w:left="880" w:hanging="872"/>
        <w:spacing w:after="0"/>
        <w:tabs>
          <w:tab w:leader="none" w:pos="88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Variable Costs – Process Gases, Shipping, Consumables, Liquid Nitrogen</w:t>
      </w:r>
    </w:p>
    <w:p>
      <w:pPr>
        <w:spacing w:after="0" w:line="21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This section provides the standard costs for use of process gases, shipping, consumables and liquid nitrogen at the Azzur site in Waltham.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items are included in these costs:</w:t>
      </w:r>
    </w:p>
    <w:p>
      <w:pPr>
        <w:spacing w:after="0" w:line="206" w:lineRule="exact"/>
        <w:rPr>
          <w:sz w:val="20"/>
          <w:szCs w:val="20"/>
          <w:color w:val="auto"/>
        </w:rPr>
      </w:pPr>
    </w:p>
    <w:p>
      <w:pPr>
        <w:ind w:left="1760" w:right="260" w:hanging="442"/>
        <w:spacing w:after="0" w:line="258" w:lineRule="auto"/>
        <w:tabs>
          <w:tab w:leader="none" w:pos="1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process gases ([***]). Azzur will house and maintain gas cylinders for Synlogic use. Process gases will be piped into the cleanroom for use.</w:t>
      </w:r>
    </w:p>
    <w:p>
      <w:pPr>
        <w:spacing w:after="0" w:line="158"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during processing for freezing steps.</w:t>
      </w:r>
    </w:p>
    <w:p>
      <w:pPr>
        <w:spacing w:after="0" w:line="206" w:lineRule="exact"/>
        <w:rPr>
          <w:rFonts w:ascii="Times New Roman" w:cs="Times New Roman" w:eastAsia="Times New Roman" w:hAnsi="Times New Roman"/>
          <w:sz w:val="22"/>
          <w:szCs w:val="22"/>
          <w:color w:val="auto"/>
        </w:rPr>
      </w:pPr>
    </w:p>
    <w:p>
      <w:pPr>
        <w:ind w:left="1760" w:hanging="442"/>
        <w:spacing w:after="0"/>
        <w:tabs>
          <w:tab w:leader="none" w:pos="1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Shipping of materials to and from the Azzur site using an Azzur van.</w:t>
      </w: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table below includes the costs of all items listed above for the duration of the project. These costs are variable and will be invoiced at the end of every month based on actual usage during that period. The costs quoted include a price increase of [***] year over year due to increase in</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2"/>
          <w:szCs w:val="22"/>
          <w:color w:val="auto"/>
        </w:rPr>
        <w:t>rent, personnel costs, utilities etc. The table below summarized the estimated variable costs for the duration of 44 months.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3: Variable Costs [***]</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200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200" w:type="dxa"/>
            <w:vAlign w:val="bottom"/>
            <w:tcBorders>
              <w:top w:val="single" w:sz="8" w:color="auto"/>
              <w:right w:val="single" w:sz="8" w:color="auto"/>
            </w:tcBorders>
            <w:shd w:val="clear" w:color="auto" w:fill="D9D9D9"/>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Unit Cost/Mo</w:t>
            </w:r>
          </w:p>
        </w:tc>
        <w:tc>
          <w:tcPr>
            <w:tcW w:w="1440" w:type="dxa"/>
            <w:vAlign w:val="bottom"/>
            <w:tcBorders>
              <w:top w:val="single" w:sz="8" w:color="auto"/>
              <w:right w:val="single" w:sz="8" w:color="auto"/>
            </w:tcBorders>
            <w:shd w:val="clear" w:color="auto" w:fill="D9D9D9"/>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Estimated Units</w:t>
            </w:r>
          </w:p>
        </w:tc>
        <w:tc>
          <w:tcPr>
            <w:tcW w:w="1360" w:type="dxa"/>
            <w:vAlign w:val="bottom"/>
            <w:tcBorders>
              <w:top w:val="single" w:sz="8" w:color="auto"/>
              <w:right w:val="single" w:sz="8" w:color="auto"/>
            </w:tcBorders>
            <w:shd w:val="clear" w:color="auto" w:fill="D9D9D9"/>
          </w:tcPr>
          <w:p>
            <w:pPr>
              <w:spacing w:after="0"/>
              <w:rPr>
                <w:sz w:val="18"/>
                <w:szCs w:val="18"/>
                <w:color w:val="auto"/>
              </w:rPr>
            </w:pPr>
          </w:p>
        </w:tc>
        <w:tc>
          <w:tcPr>
            <w:tcW w:w="1340" w:type="dxa"/>
            <w:vAlign w:val="bottom"/>
            <w:tcBorders>
              <w:top w:val="single" w:sz="8" w:color="auto"/>
              <w:right w:val="single" w:sz="8" w:color="auto"/>
            </w:tcBorders>
            <w:shd w:val="clear" w:color="auto" w:fill="D9D9D9"/>
          </w:tcPr>
          <w:p>
            <w:pPr>
              <w:spacing w:after="0"/>
              <w:rPr>
                <w:sz w:val="18"/>
                <w:szCs w:val="18"/>
                <w:color w:val="auto"/>
              </w:rPr>
            </w:pPr>
          </w:p>
        </w:tc>
        <w:tc>
          <w:tcPr>
            <w:tcW w:w="1360" w:type="dxa"/>
            <w:vAlign w:val="bottom"/>
            <w:tcBorders>
              <w:top w:val="single" w:sz="8" w:color="auto"/>
              <w:right w:val="single" w:sz="8" w:color="auto"/>
            </w:tcBorders>
            <w:shd w:val="clear" w:color="auto" w:fill="D9D9D9"/>
          </w:tcPr>
          <w:p>
            <w:pPr>
              <w:spacing w:after="0"/>
              <w:rPr>
                <w:sz w:val="18"/>
                <w:szCs w:val="18"/>
                <w:color w:val="auto"/>
              </w:rPr>
            </w:pPr>
          </w:p>
        </w:tc>
        <w:tc>
          <w:tcPr>
            <w:tcW w:w="1360" w:type="dxa"/>
            <w:vAlign w:val="bottom"/>
            <w:tcBorders>
              <w:top w:val="single" w:sz="8" w:color="auto"/>
              <w:right w:val="single" w:sz="8" w:color="auto"/>
            </w:tcBorders>
            <w:shd w:val="clear" w:color="auto" w:fill="D9D9D9"/>
          </w:tcPr>
          <w:p>
            <w:pPr>
              <w:spacing w:after="0"/>
              <w:rPr>
                <w:sz w:val="18"/>
                <w:szCs w:val="18"/>
                <w:color w:val="auto"/>
              </w:rPr>
            </w:pPr>
          </w:p>
        </w:tc>
        <w:tc>
          <w:tcPr>
            <w:tcW w:w="1360" w:type="dxa"/>
            <w:vAlign w:val="bottom"/>
            <w:tcBorders>
              <w:top w:val="single" w:sz="8" w:color="auto"/>
              <w:right w:val="single" w:sz="8" w:color="auto"/>
            </w:tcBorders>
            <w:shd w:val="clear" w:color="auto" w:fill="D9D9D9"/>
          </w:tcPr>
          <w:p>
            <w:pPr>
              <w:spacing w:after="0"/>
              <w:rPr>
                <w:sz w:val="18"/>
                <w:szCs w:val="18"/>
                <w:color w:val="auto"/>
              </w:rPr>
            </w:pPr>
          </w:p>
        </w:tc>
      </w:tr>
      <w:tr>
        <w:trPr>
          <w:trHeight w:val="238"/>
        </w:trPr>
        <w:tc>
          <w:tcPr>
            <w:tcW w:w="200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00" w:type="dxa"/>
            <w:vAlign w:val="bottom"/>
            <w:tcBorders>
              <w:bottom w:val="single" w:sz="8" w:color="auto"/>
              <w:right w:val="single" w:sz="8" w:color="auto"/>
            </w:tcBorders>
            <w:shd w:val="clear" w:color="auto" w:fill="D9D9D9"/>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40" w:type="dxa"/>
            <w:vAlign w:val="bottom"/>
            <w:tcBorders>
              <w:bottom w:val="single" w:sz="8" w:color="auto"/>
              <w:right w:val="single" w:sz="8" w:color="auto"/>
            </w:tcBorders>
            <w:shd w:val="clear" w:color="auto" w:fill="D9D9D9"/>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or events/mo</w:t>
            </w:r>
          </w:p>
        </w:tc>
        <w:tc>
          <w:tcPr>
            <w:tcW w:w="1360" w:type="dxa"/>
            <w:vAlign w:val="bottom"/>
            <w:tcBorders>
              <w:bottom w:val="single" w:sz="8" w:color="auto"/>
              <w:right w:val="single" w:sz="8" w:color="auto"/>
            </w:tcBorders>
            <w:shd w:val="clear" w:color="auto" w:fill="D9D9D9"/>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2019 Cost</w:t>
            </w:r>
          </w:p>
        </w:tc>
        <w:tc>
          <w:tcPr>
            <w:tcW w:w="1340" w:type="dxa"/>
            <w:vAlign w:val="bottom"/>
            <w:tcBorders>
              <w:bottom w:val="single" w:sz="8" w:color="auto"/>
              <w:right w:val="single" w:sz="8" w:color="auto"/>
            </w:tcBorders>
            <w:shd w:val="clear" w:color="auto" w:fill="D9D9D9"/>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2020 Cost</w:t>
            </w:r>
          </w:p>
        </w:tc>
        <w:tc>
          <w:tcPr>
            <w:tcW w:w="1360" w:type="dxa"/>
            <w:vAlign w:val="bottom"/>
            <w:tcBorders>
              <w:bottom w:val="single" w:sz="8" w:color="auto"/>
              <w:right w:val="single" w:sz="8" w:color="auto"/>
            </w:tcBorders>
            <w:shd w:val="clear" w:color="auto" w:fill="D9D9D9"/>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2021 Cost</w:t>
            </w:r>
          </w:p>
        </w:tc>
        <w:tc>
          <w:tcPr>
            <w:tcW w:w="1360" w:type="dxa"/>
            <w:vAlign w:val="bottom"/>
            <w:tcBorders>
              <w:bottom w:val="single" w:sz="8" w:color="auto"/>
              <w:right w:val="single" w:sz="8" w:color="auto"/>
            </w:tcBorders>
            <w:shd w:val="clear" w:color="auto" w:fill="D9D9D9"/>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2022 Cost</w:t>
            </w:r>
          </w:p>
        </w:tc>
        <w:tc>
          <w:tcPr>
            <w:tcW w:w="1360" w:type="dxa"/>
            <w:vAlign w:val="bottom"/>
            <w:tcBorders>
              <w:bottom w:val="single" w:sz="8" w:color="auto"/>
              <w:right w:val="single" w:sz="8" w:color="auto"/>
            </w:tcBorders>
            <w:shd w:val="clear" w:color="auto" w:fill="D9D9D9"/>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37"/>
        </w:trPr>
        <w:tc>
          <w:tcPr>
            <w:tcW w:w="20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tcPr>
          <w:p>
            <w:pPr>
              <w:jc w:val="right"/>
              <w:ind w:right="661"/>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440" w:type="dxa"/>
            <w:vAlign w:val="bottom"/>
            <w:tcBorders>
              <w:bottom w:val="single" w:sz="8" w:color="auto"/>
              <w:right w:val="single" w:sz="8" w:color="auto"/>
            </w:tcBorders>
          </w:tcPr>
          <w:p>
            <w:pPr>
              <w:jc w:val="right"/>
              <w:ind w:right="879"/>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4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81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0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tcPr>
          <w:p>
            <w:pPr>
              <w:jc w:val="right"/>
              <w:ind w:right="661"/>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440" w:type="dxa"/>
            <w:vAlign w:val="bottom"/>
            <w:tcBorders>
              <w:bottom w:val="single" w:sz="8" w:color="auto"/>
              <w:right w:val="single" w:sz="8" w:color="auto"/>
            </w:tcBorders>
          </w:tcPr>
          <w:p>
            <w:pPr>
              <w:jc w:val="right"/>
              <w:ind w:right="879"/>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4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81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0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tcPr>
          <w:p>
            <w:pPr>
              <w:jc w:val="right"/>
              <w:ind w:right="661"/>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440" w:type="dxa"/>
            <w:vAlign w:val="bottom"/>
            <w:tcBorders>
              <w:bottom w:val="single" w:sz="8" w:color="auto"/>
              <w:right w:val="single" w:sz="8" w:color="auto"/>
            </w:tcBorders>
          </w:tcPr>
          <w:p>
            <w:pPr>
              <w:jc w:val="right"/>
              <w:ind w:right="879"/>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4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81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r>
      <w:tr>
        <w:trPr>
          <w:trHeight w:val="237"/>
        </w:trPr>
        <w:tc>
          <w:tcPr>
            <w:tcW w:w="200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1200" w:type="dxa"/>
            <w:vAlign w:val="bottom"/>
            <w:tcBorders>
              <w:bottom w:val="single" w:sz="8" w:color="auto"/>
              <w:right w:val="single" w:sz="8" w:color="D9D9D9"/>
            </w:tcBorders>
            <w:shd w:val="clear" w:color="auto" w:fill="D9D9D9"/>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440" w:type="dxa"/>
            <w:vAlign w:val="bottom"/>
            <w:tcBorders>
              <w:bottom w:val="single" w:sz="8" w:color="auto"/>
              <w:right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4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1360" w:type="dxa"/>
            <w:vAlign w:val="bottom"/>
            <w:tcBorders>
              <w:bottom w:val="single" w:sz="8" w:color="auto"/>
              <w:right w:val="single" w:sz="8" w:color="auto"/>
            </w:tcBorders>
          </w:tcPr>
          <w:p>
            <w:pPr>
              <w:jc w:val="right"/>
              <w:ind w:right="816"/>
              <w:spacing w:after="0" w:line="237" w:lineRule="exact"/>
              <w:rPr>
                <w:sz w:val="20"/>
                <w:szCs w:val="20"/>
                <w:color w:val="auto"/>
              </w:rPr>
            </w:pPr>
            <w:r>
              <w:rPr>
                <w:rFonts w:ascii="Times New Roman" w:cs="Times New Roman" w:eastAsia="Times New Roman" w:hAnsi="Times New Roman"/>
                <w:sz w:val="22"/>
                <w:szCs w:val="22"/>
                <w:color w:val="auto"/>
                <w:w w:val="88"/>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Times New Roman" w:cs="Times New Roman" w:eastAsia="Times New Roman" w:hAnsi="Times New Roman"/>
                <w:sz w:val="22"/>
                <w:szCs w:val="22"/>
                <w:color w:val="auto"/>
                <w:w w:val="92"/>
              </w:rPr>
              <w:t>[***]</w:t>
            </w:r>
          </w:p>
        </w:tc>
      </w:tr>
    </w:tbl>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*Consumables will be invoiced based on [***] for storage, handling and related costs. Estimated unit cost is an average amount per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below table shows the total estimated project costs based on the fixed and estimated variable costs shown in tables above.</w:t>
      </w:r>
    </w:p>
    <w:p>
      <w:pPr>
        <w:spacing w:after="0" w:line="2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Table 4: Overall Project Cost Estimate for 44 Months</w:t>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230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820" w:type="dxa"/>
            <w:vAlign w:val="bottom"/>
            <w:tcBorders>
              <w:top w:val="single" w:sz="8" w:color="auto"/>
              <w:bottom w:val="single" w:sz="8" w:color="auto"/>
            </w:tcBorders>
            <w:shd w:val="clear" w:color="auto" w:fill="D9D9D9"/>
          </w:tcPr>
          <w:p>
            <w:pPr>
              <w:spacing w:after="0"/>
              <w:rPr>
                <w:sz w:val="19"/>
                <w:szCs w:val="19"/>
                <w:color w:val="auto"/>
              </w:rPr>
            </w:pPr>
          </w:p>
        </w:tc>
        <w:tc>
          <w:tcPr>
            <w:tcW w:w="2580" w:type="dxa"/>
            <w:vAlign w:val="bottom"/>
            <w:tcBorders>
              <w:top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Type and Invoicing</w:t>
            </w:r>
          </w:p>
        </w:tc>
        <w:tc>
          <w:tcPr>
            <w:tcW w:w="1540" w:type="dxa"/>
            <w:vAlign w:val="bottom"/>
            <w:tcBorders>
              <w:top w:val="single" w:sz="8" w:color="auto"/>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8"/>
                <w:szCs w:val="18"/>
                <w:b w:val="1"/>
                <w:bCs w:val="1"/>
                <w:color w:val="auto"/>
              </w:rPr>
              <w:t>Total Costs</w:t>
            </w:r>
          </w:p>
        </w:tc>
        <w:tc>
          <w:tcPr>
            <w:tcW w:w="3180" w:type="dxa"/>
            <w:vAlign w:val="bottom"/>
            <w:tcBorders>
              <w:top w:val="single" w:sz="8" w:color="auto"/>
              <w:bottom w:val="single" w:sz="8" w:color="auto"/>
              <w:right w:val="single" w:sz="8" w:color="auto"/>
            </w:tcBorders>
            <w:shd w:val="clear" w:color="auto" w:fill="D9D9D9"/>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Notes/Assumptions</w:t>
            </w:r>
          </w:p>
        </w:tc>
      </w:tr>
      <w:tr>
        <w:trPr>
          <w:trHeight w:val="237"/>
        </w:trPr>
        <w:tc>
          <w:tcPr>
            <w:tcW w:w="23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tcBorders>
          </w:tcPr>
          <w:p>
            <w:pPr>
              <w:jc w:val="right"/>
              <w:ind w:right="25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258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jc w:val="right"/>
              <w:ind w:right="2636"/>
              <w:spacing w:after="0" w:line="237" w:lineRule="exact"/>
              <w:rPr>
                <w:sz w:val="20"/>
                <w:szCs w:val="20"/>
                <w:color w:val="auto"/>
              </w:rPr>
            </w:pPr>
            <w:r>
              <w:rPr>
                <w:rFonts w:ascii="Times New Roman" w:cs="Times New Roman" w:eastAsia="Times New Roman" w:hAnsi="Times New Roman"/>
                <w:sz w:val="22"/>
                <w:szCs w:val="22"/>
                <w:color w:val="auto"/>
                <w:w w:val="88"/>
              </w:rPr>
              <w:t>[***]</w:t>
            </w:r>
          </w:p>
        </w:tc>
      </w:tr>
      <w:tr>
        <w:trPr>
          <w:trHeight w:val="237"/>
        </w:trPr>
        <w:tc>
          <w:tcPr>
            <w:tcW w:w="23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tcBorders>
          </w:tcPr>
          <w:p>
            <w:pPr>
              <w:jc w:val="right"/>
              <w:ind w:right="25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258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jc w:val="right"/>
              <w:ind w:right="2636"/>
              <w:spacing w:after="0" w:line="237" w:lineRule="exact"/>
              <w:rPr>
                <w:sz w:val="20"/>
                <w:szCs w:val="20"/>
                <w:color w:val="auto"/>
              </w:rPr>
            </w:pPr>
            <w:r>
              <w:rPr>
                <w:rFonts w:ascii="Times New Roman" w:cs="Times New Roman" w:eastAsia="Times New Roman" w:hAnsi="Times New Roman"/>
                <w:sz w:val="22"/>
                <w:szCs w:val="22"/>
                <w:color w:val="auto"/>
                <w:w w:val="88"/>
              </w:rPr>
              <w:t>[***]</w:t>
            </w:r>
          </w:p>
        </w:tc>
      </w:tr>
      <w:tr>
        <w:trPr>
          <w:trHeight w:val="237"/>
        </w:trPr>
        <w:tc>
          <w:tcPr>
            <w:tcW w:w="2300" w:type="dxa"/>
            <w:vAlign w:val="bottom"/>
            <w:tcBorders>
              <w:left w:val="single" w:sz="8" w:color="auto"/>
              <w:bottom w:val="single" w:sz="8" w:color="auto"/>
              <w:right w:val="single" w:sz="8" w:color="auto"/>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tcBorders>
          </w:tcPr>
          <w:p>
            <w:pPr>
              <w:jc w:val="right"/>
              <w:ind w:right="25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258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tcBorders>
              <w:bottom w:val="single" w:sz="8" w:color="auto"/>
              <w:right w:val="single" w:sz="8" w:color="auto"/>
            </w:tcBorders>
          </w:tcPr>
          <w:p>
            <w:pPr>
              <w:jc w:val="right"/>
              <w:ind w:right="2636"/>
              <w:spacing w:after="0" w:line="237" w:lineRule="exact"/>
              <w:rPr>
                <w:sz w:val="20"/>
                <w:szCs w:val="20"/>
                <w:color w:val="auto"/>
              </w:rPr>
            </w:pPr>
            <w:r>
              <w:rPr>
                <w:rFonts w:ascii="Times New Roman" w:cs="Times New Roman" w:eastAsia="Times New Roman" w:hAnsi="Times New Roman"/>
                <w:sz w:val="22"/>
                <w:szCs w:val="22"/>
                <w:color w:val="auto"/>
                <w:w w:val="88"/>
              </w:rPr>
              <w:t>[***]</w:t>
            </w:r>
          </w:p>
        </w:tc>
      </w:tr>
      <w:tr>
        <w:trPr>
          <w:trHeight w:val="210"/>
        </w:trPr>
        <w:tc>
          <w:tcPr>
            <w:tcW w:w="230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1820" w:type="dxa"/>
            <w:vAlign w:val="bottom"/>
            <w:tcBorders>
              <w:bottom w:val="single" w:sz="8" w:color="auto"/>
            </w:tcBorders>
            <w:gridSpan w:val="2"/>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2580" w:type="dxa"/>
            <w:vAlign w:val="bottom"/>
            <w:tcBorders>
              <w:bottom w:val="single" w:sz="8" w:color="auto"/>
              <w:right w:val="single" w:sz="8" w:color="auto"/>
            </w:tcBorders>
            <w:shd w:val="clear" w:color="auto" w:fill="D9D9D9"/>
          </w:tcPr>
          <w:p>
            <w:pPr>
              <w:spacing w:after="0"/>
              <w:rPr>
                <w:sz w:val="18"/>
                <w:szCs w:val="18"/>
                <w:color w:val="auto"/>
              </w:rPr>
            </w:pP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$4,785,040</w:t>
            </w:r>
          </w:p>
        </w:tc>
        <w:tc>
          <w:tcPr>
            <w:tcW w:w="3180" w:type="dxa"/>
            <w:vAlign w:val="bottom"/>
            <w:tcBorders>
              <w:bottom w:val="single" w:sz="8" w:color="auto"/>
              <w:right w:val="single" w:sz="8" w:color="auto"/>
            </w:tcBorders>
            <w:shd w:val="clear" w:color="auto" w:fill="D9D9D9"/>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Right of First Refusal</w:t>
      </w:r>
    </w:p>
    <w:p>
      <w:pPr>
        <w:spacing w:after="0" w:line="210"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Synlogic has the first right of refusal to rent Cleanroom Suite 3 following December 31st, 2022. Each time that Azzur intends to rent Cleanroom Suite 3 to an alternate client party during the 6-month period after December 31, 2022, Azzur will first promptly notify Synlogic and offer the opportunity to rent Cleanroom Suite 3 on substantially similar terms as Azzur offered to the third party. Synlogic will notify Azzur of its decision to rent Cleanroom Suite 3 on substantially similar terms as Azzur offered to the third party within 15 days after receiving Azzur’s notice. If Synlogic does not give written notice to Azzur of its intent to rent Cleanroom Suite 3 within such 15-day period, Azzur will be free to rent Cleanroom Suite 3 to such alternate client without further obligation to Synlogic.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Option to Extend</w:t>
      </w:r>
    </w:p>
    <w:p>
      <w:pPr>
        <w:spacing w:after="0" w:line="210"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Synlogic has the option to extend beyond the current end date of this SOW (Dec 2022) provided a letter of intent to extend for a minimum of 3 months at least 6 month before the end date and a new SOW for the extension signed at least 3 months prior to the end date.</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Early Termination of Contract</w:t>
      </w:r>
    </w:p>
    <w:p>
      <w:pPr>
        <w:spacing w:after="0" w:line="18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At any time during the duration of Cleanroom Suite 3 rental (May 1st, 2019 to December 31st, 2022), if Synlogic anticipates having to terminate this contract for the rental duration early, it will provide a written notice to Azzur at least 4 months in advance of the effective date of the termination.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Option to Sub-lease Cleanroom</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At any time during the duration of Cleanroom 3 rental, if Synlogic anticipates not using the Cleanroom 3, a written notice will be provided at least 3 months in advance to the non-occupancy start date, to Azzur. In such an instance, Azzur will make efforts to find an alternate client to occupy the space for the duration that Cleanroom 3 remains unoccupied. Provided an alternate client is available and willing to occupy the space, Azzur will not charge Synlogic for the duration the alternate client is occupying Cleanroom 3. If Azzur is unable to find an alternate client to occupy Cleanroom 3, Azzur will continue to invoice Synlogic based on the terms of this SOW.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Option to use Alternate Cleanroom, Termination in Event Cleanroom Suite 3 is not Available</w:t>
      </w:r>
    </w:p>
    <w:p>
      <w:pPr>
        <w:spacing w:after="0" w:line="2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Azzur shall inform Synlogic within 2 business days of the delivery of the prefabricated cleanroom suite 3 and related equipment for humidity control to Azzur’s facility located at 411 Waverley Oaks Rd., #126, Waltham, MA 02452. In the event that the new cleanroom suite 3 is anticipated to not be ready prior to the start date of use (May 1st, 2019), the existing Cleanroom Suite 1 will be offered to Synlogic, at its election, as a back-up option starting July 1st, 2019, on the terms set out in Proposal P-6454 (SOW No.</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2"/>
          <w:szCs w:val="22"/>
          <w:color w:val="auto"/>
        </w:rPr>
        <w:t>1). This determination will be made on the later of March 31st, 2019 or 5 business days after notification by Azzur to Synlogic of the delivery of the prefabricated suite 3 and related equipment for humidity control, as set out above. In the event that cleanroom suite 3 is not available to Synlogic on May 1st, 2019, Synlogic shall have the option to terminate this SOW upon notice to Azzur and any deposit paid by Synlogic shall be returned to Synlogic in full within 30 days of such termination. If Synlogic does not exercise its option to terminate the SOW in the event of a delay, the parties agree that any costs relating to cleanroom suite 3 (other than the deposit) shall not be incurred until such time as the cleanroom suite 3 becomes available to Synlogic. The rates of Cleanroom Suite 1 rental will be subject to the terms and conditions outlined in SOW P-6464.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Invoicing</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All invoices related to the fixed costs identified in table 1 will be generated at the start of any given month. Any overages in items listed in table 1 will be invoiced at the end of any given month. All invoices related to the variable costs identified in table 2 will be generated once every two weeks based on actual time spent during that period (with timesheets). All invoices related to the variable costs identified in table 3 will be generated every month based on actual usage for any given month. An initial invoice following acceptance of this proposal will be generated for 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jc w:val="center"/>
        <w:ind w:left="2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CONFIDENTIAL</w:t>
      </w:r>
    </w:p>
    <w:p>
      <w:pPr>
        <w:ind w:right="100"/>
        <w:spacing w:after="0" w:line="244" w:lineRule="auto"/>
        <w:rPr>
          <w:sz w:val="20"/>
          <w:szCs w:val="20"/>
          <w:color w:val="auto"/>
        </w:rPr>
      </w:pPr>
      <w:r>
        <w:rPr>
          <w:rFonts w:ascii="Times New Roman" w:cs="Times New Roman" w:eastAsia="Times New Roman" w:hAnsi="Times New Roman"/>
          <w:sz w:val="21"/>
          <w:szCs w:val="21"/>
          <w:color w:val="auto"/>
        </w:rPr>
        <w:t>deposit of [***] of the first twelve months of fixed costs [***] within [***] of acceptance by Synlogic of this SOW. The deposit will be applied to the three invoices relating to fixed costs for February, March and April 2020. In order for Azzur to invoice the deposit amount, an initial PO for the first twelve months of fixed and variable costs listed in this SOW will be required. This initial PO will for the twelve months spanning May 2019 through April 20120 and amounts to [***]. Additional POs will need to be generated for the subsequent durations listed in this SOW on a twelve months basis, except for the last PO will be for a duration of 8 months in 2022. The below table shows the PO schedule for the entire duration of 44 months from May 2019 to Dec 2022</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5: PO Amounts and Schedules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240" w:type="dxa"/>
            <w:vAlign w:val="bottom"/>
            <w:tcBorders>
              <w:top w:val="single" w:sz="8" w:color="auto"/>
              <w:left w:val="single" w:sz="8" w:color="auto"/>
              <w:bottom w:val="single" w:sz="8" w:color="auto"/>
              <w:right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PO Duration</w:t>
            </w:r>
          </w:p>
        </w:tc>
        <w:tc>
          <w:tcPr>
            <w:tcW w:w="156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280" w:type="dxa"/>
            <w:vAlign w:val="bottom"/>
            <w:tcBorders>
              <w:top w:val="single" w:sz="8" w:color="auto"/>
              <w:bottom w:val="single" w:sz="8" w:color="auto"/>
              <w:right w:val="single" w:sz="8" w:color="D9D9D9"/>
            </w:tcBorders>
            <w:shd w:val="clear" w:color="auto" w:fill="D9D9D9"/>
          </w:tcPr>
          <w:p>
            <w:pPr>
              <w:spacing w:after="0"/>
              <w:rPr>
                <w:sz w:val="22"/>
                <w:szCs w:val="22"/>
                <w:color w:val="auto"/>
              </w:rPr>
            </w:pPr>
          </w:p>
        </w:tc>
        <w:tc>
          <w:tcPr>
            <w:tcW w:w="2540" w:type="dxa"/>
            <w:vAlign w:val="bottom"/>
            <w:tcBorders>
              <w:top w:val="single" w:sz="8" w:color="auto"/>
              <w:bottom w:val="single" w:sz="8" w:color="auto"/>
              <w:right w:val="single" w:sz="8" w:color="auto"/>
            </w:tcBorders>
            <w:shd w:val="clear" w:color="auto" w:fill="D9D9D9"/>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8"/>
              </w:rPr>
              <w:t>Amount</w:t>
            </w:r>
          </w:p>
        </w:tc>
        <w:tc>
          <w:tcPr>
            <w:tcW w:w="38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Need by Date</w:t>
            </w:r>
          </w:p>
        </w:tc>
      </w:tr>
      <w:tr>
        <w:trPr>
          <w:trHeight w:val="237"/>
        </w:trPr>
        <w:tc>
          <w:tcPr>
            <w:tcW w:w="20" w:type="dxa"/>
            <w:vAlign w:val="bottom"/>
          </w:tcPr>
          <w:p>
            <w:pPr>
              <w:spacing w:after="0"/>
              <w:rPr>
                <w:sz w:val="20"/>
                <w:szCs w:val="20"/>
                <w:color w:val="auto"/>
              </w:rPr>
            </w:pPr>
          </w:p>
        </w:tc>
        <w:tc>
          <w:tcPr>
            <w:tcW w:w="2240" w:type="dxa"/>
            <w:vAlign w:val="bottom"/>
            <w:tcBorders>
              <w:left w:val="single" w:sz="8" w:color="auto"/>
              <w:bottom w:val="single" w:sz="8" w:color="auto"/>
              <w:right w:val="single" w:sz="8" w:color="D9D9D9"/>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May 2019 to April 2020</w:t>
            </w: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3820" w:type="dxa"/>
            <w:vAlign w:val="bottom"/>
            <w:tcBorders>
              <w:bottom w:val="single" w:sz="8" w:color="auto"/>
              <w:right w:val="single" w:sz="8" w:color="auto"/>
            </w:tcBorders>
            <w:gridSpan w:val="2"/>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38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Upon signing of the SOW</w:t>
            </w:r>
          </w:p>
        </w:tc>
      </w:tr>
      <w:tr>
        <w:trPr>
          <w:trHeight w:val="237"/>
        </w:trPr>
        <w:tc>
          <w:tcPr>
            <w:tcW w:w="20" w:type="dxa"/>
            <w:vAlign w:val="bottom"/>
          </w:tcPr>
          <w:p>
            <w:pPr>
              <w:spacing w:after="0"/>
              <w:rPr>
                <w:sz w:val="20"/>
                <w:szCs w:val="20"/>
                <w:color w:val="auto"/>
              </w:rPr>
            </w:pPr>
          </w:p>
        </w:tc>
        <w:tc>
          <w:tcPr>
            <w:tcW w:w="2240" w:type="dxa"/>
            <w:vAlign w:val="bottom"/>
            <w:tcBorders>
              <w:left w:val="single" w:sz="8" w:color="auto"/>
              <w:bottom w:val="single" w:sz="8" w:color="auto"/>
              <w:right w:val="single" w:sz="8" w:color="D9D9D9"/>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May 2020 to April 2021</w:t>
            </w: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3820" w:type="dxa"/>
            <w:vAlign w:val="bottom"/>
            <w:tcBorders>
              <w:bottom w:val="single" w:sz="8" w:color="auto"/>
              <w:right w:val="single" w:sz="8" w:color="auto"/>
            </w:tcBorders>
            <w:gridSpan w:val="2"/>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38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March 31st 2020</w:t>
            </w:r>
          </w:p>
        </w:tc>
      </w:tr>
      <w:tr>
        <w:trPr>
          <w:trHeight w:val="237"/>
        </w:trPr>
        <w:tc>
          <w:tcPr>
            <w:tcW w:w="20" w:type="dxa"/>
            <w:vAlign w:val="bottom"/>
          </w:tcPr>
          <w:p>
            <w:pPr>
              <w:spacing w:after="0"/>
              <w:rPr>
                <w:sz w:val="20"/>
                <w:szCs w:val="20"/>
                <w:color w:val="auto"/>
              </w:rPr>
            </w:pPr>
          </w:p>
        </w:tc>
        <w:tc>
          <w:tcPr>
            <w:tcW w:w="2240" w:type="dxa"/>
            <w:vAlign w:val="bottom"/>
            <w:tcBorders>
              <w:left w:val="single" w:sz="8" w:color="auto"/>
              <w:bottom w:val="single" w:sz="8" w:color="auto"/>
              <w:right w:val="single" w:sz="8" w:color="D9D9D9"/>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May 2021 to April 2022</w:t>
            </w: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3820" w:type="dxa"/>
            <w:vAlign w:val="bottom"/>
            <w:tcBorders>
              <w:bottom w:val="single" w:sz="8" w:color="auto"/>
              <w:right w:val="single" w:sz="8" w:color="auto"/>
            </w:tcBorders>
            <w:gridSpan w:val="2"/>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38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March 31st 2021</w:t>
            </w:r>
          </w:p>
        </w:tc>
      </w:tr>
      <w:tr>
        <w:trPr>
          <w:trHeight w:val="237"/>
        </w:trPr>
        <w:tc>
          <w:tcPr>
            <w:tcW w:w="20" w:type="dxa"/>
            <w:vAlign w:val="bottom"/>
          </w:tcPr>
          <w:p>
            <w:pPr>
              <w:spacing w:after="0"/>
              <w:rPr>
                <w:sz w:val="20"/>
                <w:szCs w:val="20"/>
                <w:color w:val="auto"/>
              </w:rPr>
            </w:pPr>
          </w:p>
        </w:tc>
        <w:tc>
          <w:tcPr>
            <w:tcW w:w="2240" w:type="dxa"/>
            <w:vAlign w:val="bottom"/>
            <w:tcBorders>
              <w:left w:val="single" w:sz="8" w:color="auto"/>
              <w:bottom w:val="single" w:sz="8" w:color="auto"/>
              <w:right w:val="single" w:sz="8" w:color="D9D9D9"/>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color w:val="auto"/>
              </w:rPr>
              <w:t>May 2022 to Dec 2022</w:t>
            </w: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3820" w:type="dxa"/>
            <w:vAlign w:val="bottom"/>
            <w:tcBorders>
              <w:bottom w:val="single" w:sz="8" w:color="auto"/>
              <w:right w:val="single" w:sz="8" w:color="auto"/>
            </w:tcBorders>
            <w:gridSpan w:val="2"/>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38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March 31st 2022</w:t>
            </w:r>
          </w:p>
        </w:tc>
      </w:tr>
      <w:tr>
        <w:trPr>
          <w:trHeight w:val="237"/>
        </w:trPr>
        <w:tc>
          <w:tcPr>
            <w:tcW w:w="20" w:type="dxa"/>
            <w:vAlign w:val="bottom"/>
          </w:tcPr>
          <w:p>
            <w:pPr>
              <w:spacing w:after="0"/>
              <w:rPr>
                <w:sz w:val="20"/>
                <w:szCs w:val="20"/>
                <w:color w:val="auto"/>
              </w:rPr>
            </w:pPr>
          </w:p>
        </w:tc>
        <w:tc>
          <w:tcPr>
            <w:tcW w:w="2240" w:type="dxa"/>
            <w:vAlign w:val="bottom"/>
            <w:tcBorders>
              <w:left w:val="single" w:sz="8" w:color="auto"/>
              <w:bottom w:val="single" w:sz="8" w:color="auto"/>
              <w:right w:val="single" w:sz="8" w:color="D9D9D9"/>
            </w:tcBorders>
            <w:shd w:val="clear" w:color="auto" w:fill="D9D9D9"/>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Total Amount</w:t>
            </w: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1280" w:type="dxa"/>
            <w:vAlign w:val="bottom"/>
            <w:tcBorders>
              <w:bottom w:val="single" w:sz="8" w:color="auto"/>
            </w:tcBorders>
          </w:tcPr>
          <w:p>
            <w:pPr>
              <w:jc w:val="right"/>
              <w:ind w:right="212"/>
              <w:spacing w:after="0" w:line="237" w:lineRule="exact"/>
              <w:rPr>
                <w:sz w:val="20"/>
                <w:szCs w:val="20"/>
                <w:color w:val="auto"/>
              </w:rPr>
            </w:pPr>
            <w:r>
              <w:rPr>
                <w:rFonts w:ascii="Times New Roman" w:cs="Times New Roman" w:eastAsia="Times New Roman" w:hAnsi="Times New Roman"/>
                <w:sz w:val="22"/>
                <w:szCs w:val="22"/>
                <w:b w:val="1"/>
                <w:bCs w:val="1"/>
                <w:color w:val="auto"/>
                <w:w w:val="94"/>
              </w:rPr>
              <w:t>$4,785,040</w:t>
            </w:r>
          </w:p>
        </w:tc>
        <w:tc>
          <w:tcPr>
            <w:tcW w:w="254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568"/>
        </w:trPr>
        <w:tc>
          <w:tcPr>
            <w:tcW w:w="7640" w:type="dxa"/>
            <w:vAlign w:val="bottom"/>
            <w:gridSpan w:val="5"/>
          </w:tcPr>
          <w:p>
            <w:pPr>
              <w:spacing w:after="0"/>
              <w:rPr>
                <w:sz w:val="20"/>
                <w:szCs w:val="20"/>
                <w:color w:val="auto"/>
              </w:rPr>
            </w:pPr>
            <w:r>
              <w:rPr>
                <w:rFonts w:ascii="Times New Roman" w:cs="Times New Roman" w:eastAsia="Times New Roman" w:hAnsi="Times New Roman"/>
                <w:sz w:val="29"/>
                <w:szCs w:val="29"/>
                <w:b w:val="1"/>
                <w:bCs w:val="1"/>
                <w:color w:val="auto"/>
              </w:rPr>
              <w:t>Section 4 – Change History</w:t>
            </w:r>
          </w:p>
        </w:tc>
        <w:tc>
          <w:tcPr>
            <w:tcW w:w="3800" w:type="dxa"/>
            <w:vAlign w:val="bottom"/>
          </w:tcPr>
          <w:p>
            <w:pPr>
              <w:spacing w:after="0"/>
              <w:rPr>
                <w:sz w:val="24"/>
                <w:szCs w:val="24"/>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spacing w:after="0"/>
              <w:rPr>
                <w:sz w:val="18"/>
                <w:szCs w:val="18"/>
                <w:color w:val="auto"/>
              </w:rPr>
            </w:pPr>
          </w:p>
        </w:tc>
        <w:tc>
          <w:tcPr>
            <w:tcW w:w="254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2240" w:type="dxa"/>
            <w:vAlign w:val="bottom"/>
            <w:tcBorders>
              <w:left w:val="single" w:sz="8" w:color="D9D9D9"/>
              <w:bottom w:val="single" w:sz="8" w:color="auto"/>
              <w:right w:val="single" w:sz="8" w:color="auto"/>
            </w:tcBorders>
            <w:shd w:val="clear" w:color="auto" w:fill="D9D9D9"/>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Date</w:t>
            </w:r>
          </w:p>
        </w:tc>
        <w:tc>
          <w:tcPr>
            <w:tcW w:w="2840" w:type="dxa"/>
            <w:vAlign w:val="bottom"/>
            <w:tcBorders>
              <w:bottom w:val="single" w:sz="8" w:color="auto"/>
              <w:right w:val="single" w:sz="8" w:color="auto"/>
            </w:tcBorders>
            <w:gridSpan w:val="2"/>
            <w:shd w:val="clear" w:color="auto" w:fill="D9D9D9"/>
          </w:tcPr>
          <w:p>
            <w:pPr>
              <w:jc w:val="right"/>
              <w:ind w:right="452"/>
              <w:spacing w:after="0" w:line="237" w:lineRule="exact"/>
              <w:rPr>
                <w:sz w:val="20"/>
                <w:szCs w:val="20"/>
                <w:color w:val="auto"/>
              </w:rPr>
            </w:pPr>
            <w:r>
              <w:rPr>
                <w:rFonts w:ascii="Times New Roman" w:cs="Times New Roman" w:eastAsia="Times New Roman" w:hAnsi="Times New Roman"/>
                <w:sz w:val="22"/>
                <w:szCs w:val="22"/>
                <w:b w:val="1"/>
                <w:bCs w:val="1"/>
                <w:color w:val="auto"/>
              </w:rPr>
              <w:t>Reason for Change</w:t>
            </w:r>
          </w:p>
        </w:tc>
        <w:tc>
          <w:tcPr>
            <w:tcW w:w="25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22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22Oct2018</w:t>
            </w:r>
          </w:p>
        </w:tc>
        <w:tc>
          <w:tcPr>
            <w:tcW w:w="2840" w:type="dxa"/>
            <w:vAlign w:val="bottom"/>
            <w:tcBorders>
              <w:bottom w:val="single" w:sz="8" w:color="auto"/>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Initial Submission</w:t>
            </w:r>
          </w:p>
        </w:tc>
        <w:tc>
          <w:tcPr>
            <w:tcW w:w="25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22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30Nov2018</w:t>
            </w:r>
          </w:p>
        </w:tc>
        <w:tc>
          <w:tcPr>
            <w:tcW w:w="2840" w:type="dxa"/>
            <w:vAlign w:val="bottom"/>
            <w:tcBorders>
              <w:bottom w:val="single" w:sz="8" w:color="auto"/>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Revision 1</w:t>
            </w:r>
          </w:p>
        </w:tc>
        <w:tc>
          <w:tcPr>
            <w:tcW w:w="25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SOW Generated by (Azzur):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Ravi Samavedam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 30Nov2018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Ravi Samavedam</w:t>
      </w:r>
    </w:p>
    <w:p>
      <w:pPr>
        <w:spacing w:after="0" w:line="230" w:lineRule="auto"/>
        <w:rPr>
          <w:sz w:val="20"/>
          <w:szCs w:val="20"/>
          <w:color w:val="auto"/>
        </w:rPr>
      </w:pPr>
      <w:r>
        <w:rPr>
          <w:rFonts w:ascii="Times New Roman" w:cs="Times New Roman" w:eastAsia="Times New Roman" w:hAnsi="Times New Roman"/>
          <w:sz w:val="22"/>
          <w:szCs w:val="22"/>
          <w:color w:val="auto"/>
        </w:rPr>
        <w:t>Title: General Manager, Azzur Group</w:t>
      </w:r>
    </w:p>
    <w:p>
      <w:pPr>
        <w:spacing w:after="0" w:line="231" w:lineRule="auto"/>
        <w:rPr>
          <w:sz w:val="20"/>
          <w:szCs w:val="20"/>
          <w:color w:val="auto"/>
        </w:rPr>
      </w:pPr>
      <w:r>
        <w:rPr>
          <w:rFonts w:ascii="Times New Roman" w:cs="Times New Roman" w:eastAsia="Times New Roman" w:hAnsi="Times New Roman"/>
          <w:sz w:val="22"/>
          <w:szCs w:val="22"/>
          <w:color w:val="auto"/>
        </w:rPr>
        <w:t>Address: 411 Waverley Oaks Rd. #126</w:t>
      </w:r>
    </w:p>
    <w:p>
      <w:pPr>
        <w:spacing w:after="0" w:line="230" w:lineRule="auto"/>
        <w:rPr>
          <w:sz w:val="20"/>
          <w:szCs w:val="20"/>
          <w:color w:val="auto"/>
        </w:rPr>
      </w:pPr>
      <w:r>
        <w:rPr>
          <w:rFonts w:ascii="Times New Roman" w:cs="Times New Roman" w:eastAsia="Times New Roman" w:hAnsi="Times New Roman"/>
          <w:sz w:val="22"/>
          <w:szCs w:val="22"/>
          <w:color w:val="auto"/>
        </w:rPr>
        <w:t>Waltham, MA 02452</w:t>
      </w:r>
    </w:p>
    <w:p>
      <w:pPr>
        <w:spacing w:after="0" w:line="231" w:lineRule="auto"/>
        <w:rPr>
          <w:sz w:val="20"/>
          <w:szCs w:val="20"/>
          <w:color w:val="auto"/>
        </w:rPr>
      </w:pPr>
      <w:r>
        <w:rPr>
          <w:rFonts w:ascii="Times New Roman" w:cs="Times New Roman" w:eastAsia="Times New Roman" w:hAnsi="Times New Roman"/>
          <w:sz w:val="22"/>
          <w:szCs w:val="22"/>
          <w:color w:val="auto"/>
        </w:rPr>
        <w:t>Phone: [***]</w:t>
      </w:r>
    </w:p>
    <w:p>
      <w:pPr>
        <w:spacing w:after="0" w:line="231" w:lineRule="auto"/>
        <w:rPr>
          <w:sz w:val="20"/>
          <w:szCs w:val="20"/>
          <w:color w:val="auto"/>
        </w:rPr>
      </w:pPr>
      <w:r>
        <w:rPr>
          <w:rFonts w:ascii="Times New Roman" w:cs="Times New Roman" w:eastAsia="Times New Roman" w:hAnsi="Times New Roman"/>
          <w:sz w:val="22"/>
          <w:szCs w:val="22"/>
          <w:color w:val="auto"/>
        </w:rPr>
        <w:t>Cell: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pacing w:after="0" w:line="1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2"/>
          <w:szCs w:val="22"/>
          <w:b w:val="1"/>
          <w:bCs w:val="1"/>
          <w:color w:val="auto"/>
        </w:rPr>
        <w:t>SOW Accepted by (Synlogic):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Todd Shegog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 12/7/2018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Todd Shegog</w:t>
      </w:r>
    </w:p>
    <w:p>
      <w:pPr>
        <w:spacing w:after="0" w:line="230" w:lineRule="auto"/>
        <w:rPr>
          <w:sz w:val="20"/>
          <w:szCs w:val="20"/>
          <w:color w:val="auto"/>
        </w:rPr>
      </w:pPr>
      <w:r>
        <w:rPr>
          <w:rFonts w:ascii="Times New Roman" w:cs="Times New Roman" w:eastAsia="Times New Roman" w:hAnsi="Times New Roman"/>
          <w:sz w:val="22"/>
          <w:szCs w:val="22"/>
          <w:color w:val="auto"/>
        </w:rPr>
        <w:t>Title: CFO</w:t>
      </w:r>
    </w:p>
    <w:p>
      <w:pPr>
        <w:spacing w:after="0" w:line="231" w:lineRule="auto"/>
        <w:rPr>
          <w:sz w:val="20"/>
          <w:szCs w:val="20"/>
          <w:color w:val="auto"/>
        </w:rPr>
      </w:pPr>
      <w:r>
        <w:rPr>
          <w:rFonts w:ascii="Times New Roman" w:cs="Times New Roman" w:eastAsia="Times New Roman" w:hAnsi="Times New Roman"/>
          <w:sz w:val="22"/>
          <w:szCs w:val="22"/>
          <w:color w:val="auto"/>
        </w:rPr>
        <w:t>Address: 301 Binney Street Suite 402 Cambridge, MA 02142</w:t>
      </w:r>
    </w:p>
    <w:p>
      <w:pPr>
        <w:spacing w:after="0" w:line="230" w:lineRule="auto"/>
        <w:rPr>
          <w:sz w:val="20"/>
          <w:szCs w:val="20"/>
          <w:color w:val="auto"/>
        </w:rPr>
      </w:pPr>
      <w:r>
        <w:rPr>
          <w:rFonts w:ascii="Times New Roman" w:cs="Times New Roman" w:eastAsia="Times New Roman" w:hAnsi="Times New Roman"/>
          <w:sz w:val="22"/>
          <w:szCs w:val="22"/>
          <w:color w:val="auto"/>
        </w:rPr>
        <w:t>Phone:</w:t>
      </w:r>
    </w:p>
    <w:p>
      <w:pPr>
        <w:spacing w:after="0" w:line="231" w:lineRule="auto"/>
        <w:rPr>
          <w:sz w:val="20"/>
          <w:szCs w:val="20"/>
          <w:color w:val="auto"/>
        </w:rPr>
      </w:pPr>
      <w:r>
        <w:rPr>
          <w:rFonts w:ascii="Times New Roman" w:cs="Times New Roman" w:eastAsia="Times New Roman" w:hAnsi="Times New Roman"/>
          <w:sz w:val="22"/>
          <w:szCs w:val="22"/>
          <w:color w:val="auto"/>
        </w:rPr>
        <w:t>Cell: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62" w:name="page163"/>
    <w:bookmarkEnd w:id="1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P-6671 SOW 2 Rev l for Facility Use (Suite 3 May 2019 to Dec 2022)</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Cleanroom Suite 3 Proposed Expansion is into existing warehouse space of the Azzur site in Waltham.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19" w:lineRule="exact"/>
        <w:rPr>
          <w:sz w:val="20"/>
          <w:szCs w:val="20"/>
          <w:color w:val="auto"/>
        </w:rPr>
      </w:pPr>
    </w:p>
    <w:p>
      <w:pPr>
        <w:jc w:val="center"/>
        <w:ind w:lef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ectPr>
          <w:pgSz w:w="11900" w:h="16838" w:orient="portrait"/>
          <w:cols w:equalWidth="0" w:num="1">
            <w:col w:w="11400"/>
          </w:cols>
          <w:pgMar w:left="240" w:top="117" w:right="25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8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w w:val="97"/>
              </w:rPr>
              <w:t>SUBSIDIARIES OF SYNLOGIC, INC.</w:t>
            </w:r>
          </w:p>
        </w:tc>
      </w:tr>
      <w:tr>
        <w:trPr>
          <w:trHeight w:val="407"/>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22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0"/>
        </w:trPr>
        <w:tc>
          <w:tcPr>
            <w:tcW w:w="10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IBDCo, Inc.</w:t>
            </w:r>
          </w:p>
        </w:tc>
        <w:tc>
          <w:tcPr>
            <w:tcW w:w="22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Synlogic Operating Company, Inc.</w:t>
            </w:r>
          </w:p>
        </w:tc>
        <w:tc>
          <w:tcPr>
            <w:tcW w:w="2260" w:type="dxa"/>
            <w:vAlign w:val="bottom"/>
          </w:tcPr>
          <w:p>
            <w:pPr>
              <w:spacing w:after="0"/>
              <w:rPr>
                <w:sz w:val="21"/>
                <w:szCs w:val="21"/>
                <w:color w:val="auto"/>
              </w:rPr>
            </w:pPr>
          </w:p>
        </w:tc>
        <w:tc>
          <w:tcPr>
            <w:tcW w:w="1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3"/>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Securities Corporation</w:t>
            </w:r>
          </w:p>
        </w:tc>
        <w:tc>
          <w:tcPr>
            <w:tcW w:w="22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Massachusetts</w:t>
            </w:r>
          </w:p>
        </w:tc>
      </w:tr>
    </w:tbl>
    <w:p>
      <w:pPr>
        <w:sectPr>
          <w:pgSz w:w="11900" w:h="16838" w:orient="portrait"/>
          <w:cols w:equalWidth="0" w:num="1">
            <w:col w:w="11420"/>
          </w:cols>
          <w:pgMar w:left="240" w:top="108" w:right="239" w:bottom="1440" w:gutter="0" w:footer="0" w:header="0"/>
        </w:sectPr>
      </w:pPr>
    </w:p>
    <w:bookmarkStart w:id="164" w:name="page165"/>
    <w:bookmarkEnd w:id="164"/>
    <w:p>
      <w:pPr>
        <w:ind w:left="9660"/>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Synlogic, Inc.</w:t>
      </w:r>
    </w:p>
    <w:p>
      <w:pPr>
        <w:spacing w:after="0" w:line="18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(Nos. 333-220841, 333-223798, 333-210466 and 333-207299) on Form S-8 and (Nos. 333-226730 and 333-220948) on Form S-3 of Synlogic, Inc., of our report dated March 12, 2019, with respect to the consolidated balance sheets of Synlogic, Inc. as of December 31, 2018 and 2017, and the related consolidated statements of operations and comprehensive loss, contingently redeemable preferred equity and stockholders’ equity, and cash flows for the years then ended, and the related notes (collectively, the consolidated financial statements), which report appears in the December 31, 2018 annual report on Form 10-K of Synlogic,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KPMG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Cambridge, Massachusetts</w:t>
      </w:r>
    </w:p>
    <w:p>
      <w:pPr>
        <w:spacing w:after="0"/>
        <w:rPr>
          <w:sz w:val="20"/>
          <w:szCs w:val="20"/>
          <w:color w:val="auto"/>
        </w:rPr>
      </w:pPr>
      <w:r>
        <w:rPr>
          <w:rFonts w:ascii="Times New Roman" w:cs="Times New Roman" w:eastAsia="Times New Roman" w:hAnsi="Times New Roman"/>
          <w:sz w:val="22"/>
          <w:szCs w:val="22"/>
          <w:color w:val="auto"/>
        </w:rPr>
        <w:t>March 12, 2019</w:t>
      </w:r>
    </w:p>
    <w:p>
      <w:pPr>
        <w:sectPr>
          <w:pgSz w:w="11900" w:h="16838" w:orient="portrait"/>
          <w:cols w:equalWidth="0" w:num="1">
            <w:col w:w="11240"/>
          </w:cols>
          <w:pgMar w:left="240" w:top="338" w:right="4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25" w:lineRule="exact"/>
        <w:rPr>
          <w:sz w:val="20"/>
          <w:szCs w:val="20"/>
          <w:color w:val="auto"/>
        </w:rPr>
      </w:pPr>
    </w:p>
    <w:p>
      <w:pPr>
        <w:ind w:left="1000" w:hanging="231"/>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right="180" w:firstLine="769"/>
        <w:spacing w:after="0" w:line="282" w:lineRule="auto"/>
        <w:tabs>
          <w:tab w:leader="none" w:pos="9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80" w:firstLine="769"/>
        <w:spacing w:after="0" w:line="282" w:lineRule="auto"/>
        <w:tabs>
          <w:tab w:leader="none" w:pos="9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769"/>
        <w:spacing w:after="0" w:line="266" w:lineRule="auto"/>
        <w:tabs>
          <w:tab w:leader="none" w:pos="98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240" w:firstLine="769"/>
        <w:spacing w:after="0" w:line="266" w:lineRule="auto"/>
        <w:tabs>
          <w:tab w:leader="none" w:pos="99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769"/>
        <w:spacing w:after="0" w:line="266" w:lineRule="auto"/>
        <w:tabs>
          <w:tab w:leader="none" w:pos="100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0" w:firstLine="769"/>
        <w:spacing w:after="0" w:line="282" w:lineRule="auto"/>
        <w:tabs>
          <w:tab w:leader="none" w:pos="9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769"/>
        <w:spacing w:after="0" w:line="266" w:lineRule="auto"/>
        <w:tabs>
          <w:tab w:leader="none" w:pos="95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00" w:firstLine="769"/>
        <w:spacing w:after="0" w:line="282" w:lineRule="auto"/>
        <w:tabs>
          <w:tab w:leader="none" w:pos="9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60" w:firstLine="769"/>
        <w:spacing w:after="0" w:line="282" w:lineRule="auto"/>
        <w:tabs>
          <w:tab w:leader="none" w:pos="99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00" w:firstLine="769"/>
        <w:spacing w:after="0" w:line="282" w:lineRule="auto"/>
        <w:tabs>
          <w:tab w:leader="none" w:pos="100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240" w:val="left"/>
          <w:tab w:leader="none" w:pos="7920" w:val="left"/>
        </w:tabs>
        <w:rPr>
          <w:sz w:val="20"/>
          <w:szCs w:val="20"/>
          <w:color w:val="auto"/>
        </w:rPr>
      </w:pPr>
      <w:r>
        <w:rPr>
          <w:rFonts w:ascii="Times New Roman" w:cs="Times New Roman" w:eastAsia="Times New Roman" w:hAnsi="Times New Roman"/>
          <w:sz w:val="18"/>
          <w:szCs w:val="18"/>
          <w:color w:val="auto"/>
        </w:rPr>
        <w:t>Date: March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Aoife Brennan</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Chief Medical Officer</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420"/>
          </w:cols>
          <w:pgMar w:left="240" w:top="347"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Shegog, certify that:</w:t>
      </w:r>
    </w:p>
    <w:p>
      <w:pPr>
        <w:spacing w:after="0" w:line="225" w:lineRule="exact"/>
        <w:rPr>
          <w:sz w:val="20"/>
          <w:szCs w:val="20"/>
          <w:color w:val="auto"/>
        </w:rPr>
      </w:pPr>
    </w:p>
    <w:p>
      <w:pPr>
        <w:ind w:left="1000" w:hanging="231"/>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right="180" w:firstLine="769"/>
        <w:spacing w:after="0" w:line="282" w:lineRule="auto"/>
        <w:tabs>
          <w:tab w:leader="none" w:pos="98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80" w:firstLine="769"/>
        <w:spacing w:after="0" w:line="282" w:lineRule="auto"/>
        <w:tabs>
          <w:tab w:leader="none" w:pos="98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769"/>
        <w:spacing w:after="0" w:line="266" w:lineRule="auto"/>
        <w:tabs>
          <w:tab w:leader="none" w:pos="98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240" w:firstLine="769"/>
        <w:spacing w:after="0" w:line="266" w:lineRule="auto"/>
        <w:tabs>
          <w:tab w:leader="none" w:pos="99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769"/>
        <w:spacing w:after="0" w:line="266" w:lineRule="auto"/>
        <w:tabs>
          <w:tab w:leader="none" w:pos="10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0" w:firstLine="769"/>
        <w:spacing w:after="0" w:line="282" w:lineRule="auto"/>
        <w:tabs>
          <w:tab w:leader="none" w:pos="9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769"/>
        <w:spacing w:after="0" w:line="266" w:lineRule="auto"/>
        <w:tabs>
          <w:tab w:leader="none" w:pos="9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00" w:firstLine="769"/>
        <w:spacing w:after="0" w:line="282" w:lineRule="auto"/>
        <w:tabs>
          <w:tab w:leader="none" w:pos="98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60" w:firstLine="769"/>
        <w:spacing w:after="0" w:line="282" w:lineRule="auto"/>
        <w:tabs>
          <w:tab w:leader="none" w:pos="99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00" w:firstLine="769"/>
        <w:spacing w:after="0" w:line="282" w:lineRule="auto"/>
        <w:tabs>
          <w:tab w:leader="none" w:pos="100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240" w:val="left"/>
          <w:tab w:leader="none" w:pos="7960" w:val="left"/>
        </w:tabs>
        <w:rPr>
          <w:sz w:val="20"/>
          <w:szCs w:val="20"/>
          <w:color w:val="auto"/>
        </w:rPr>
      </w:pPr>
      <w:r>
        <w:rPr>
          <w:rFonts w:ascii="Times New Roman" w:cs="Times New Roman" w:eastAsia="Times New Roman" w:hAnsi="Times New Roman"/>
          <w:sz w:val="18"/>
          <w:szCs w:val="18"/>
          <w:color w:val="auto"/>
        </w:rPr>
        <w:t>Date: March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Todd Shegog</w:t>
      </w:r>
    </w:p>
    <w:p>
      <w:pPr>
        <w:spacing w:after="0" w:line="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ectPr>
          <w:pgSz w:w="11900" w:h="16838" w:orient="portrait"/>
          <w:cols w:equalWidth="0" w:num="1">
            <w:col w:w="11420"/>
          </w:cols>
          <w:pgMar w:left="240" w:top="347" w:right="2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2018 as filed with the Securities and Exchange Commission on the date hereof (the “Report”), I, Aoife Brennan,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60" w:val="left"/>
          <w:tab w:leader="none" w:pos="8100" w:val="left"/>
        </w:tabs>
        <w:rPr>
          <w:sz w:val="20"/>
          <w:szCs w:val="20"/>
          <w:color w:val="auto"/>
        </w:rPr>
      </w:pPr>
      <w:r>
        <w:rPr>
          <w:rFonts w:ascii="Times New Roman" w:cs="Times New Roman" w:eastAsia="Times New Roman" w:hAnsi="Times New Roman"/>
          <w:sz w:val="18"/>
          <w:szCs w:val="18"/>
          <w:color w:val="auto"/>
        </w:rPr>
        <w:t>Date: March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Aoife Brennan</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Chief Medical Officer</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20" w:lineRule="exact"/>
        <w:rPr>
          <w:sz w:val="20"/>
          <w:szCs w:val="20"/>
          <w:color w:val="auto"/>
        </w:rPr>
      </w:pPr>
    </w:p>
    <w:p>
      <w:pPr>
        <w:jc w:val="center"/>
        <w:ind w:left="260"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47"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2018 as filed with the Securities and Exchange Commission on the date hereof (the “Report”), I, Todd Shegog, Chief Financial Officer, certify, pursuant to 18 U.S.C. § 1350, as adopted pursuant to §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60" w:val="left"/>
          <w:tab w:leader="none" w:pos="8160" w:val="left"/>
        </w:tabs>
        <w:rPr>
          <w:sz w:val="20"/>
          <w:szCs w:val="20"/>
          <w:color w:val="auto"/>
        </w:rPr>
      </w:pPr>
      <w:r>
        <w:rPr>
          <w:rFonts w:ascii="Times New Roman" w:cs="Times New Roman" w:eastAsia="Times New Roman" w:hAnsi="Times New Roman"/>
          <w:sz w:val="18"/>
          <w:szCs w:val="18"/>
          <w:color w:val="auto"/>
        </w:rPr>
        <w:t>Date: March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Todd Shegog</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20" w:lineRule="exact"/>
        <w:rPr>
          <w:sz w:val="20"/>
          <w:szCs w:val="20"/>
          <w:color w:val="auto"/>
        </w:rPr>
      </w:pPr>
    </w:p>
    <w:p>
      <w:pPr>
        <w:jc w:val="center"/>
        <w:ind w:left="260"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1)"/>
      <w:numFmt w:val="decimal"/>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lvl w:ilvl="1">
      <w:lvlJc w:val="left"/>
      <w:lvlText w:val="•"/>
      <w:numFmt w:val="bullet"/>
      <w:start w:val="1"/>
    </w:lvl>
  </w:abstractNum>
  <w:abstractNum w:abstractNumId="12">
    <w:nsid w:val="168E121F"/>
    <w:multiLevelType w:val="hybridMultilevel"/>
    <w:lvl w:ilvl="0">
      <w:lvlJc w:val="left"/>
      <w:lvlText w:val="•"/>
      <w:numFmt w:val="bullet"/>
      <w:start w:val="1"/>
    </w:lvl>
    <w:lvl w:ilvl="1">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1)"/>
      <w:numFmt w:val="decimal"/>
      <w:start w:val="2"/>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1."/>
      <w:numFmt w:val="decimal"/>
      <w:start w:val="2"/>
    </w:lvl>
  </w:abstractNum>
  <w:abstractNum w:abstractNumId="37">
    <w:nsid w:val="6EB5BD4"/>
    <w:multiLevelType w:val="hybridMultilevel"/>
    <w:lvl w:ilvl="0">
      <w:lvlJc w:val="left"/>
      <w:lvlText w:val="(%1)"/>
      <w:numFmt w:val="decimal"/>
      <w:start w:val="2"/>
    </w:lvl>
  </w:abstractNum>
  <w:abstractNum w:abstractNumId="38">
    <w:nsid w:val="6F6DD9AC"/>
    <w:multiLevelType w:val="hybridMultilevel"/>
    <w:lvl w:ilvl="0">
      <w:lvlJc w:val="left"/>
      <w:lvlText w:val="(%1)"/>
      <w:numFmt w:val="decimal"/>
      <w:start w:val="3"/>
    </w:lvl>
  </w:abstractNum>
  <w:abstractNum w:abstractNumId="39">
    <w:nsid w:val="94211F2"/>
    <w:multiLevelType w:val="hybridMultilevel"/>
    <w:lvl w:ilvl="0">
      <w:lvlJc w:val="left"/>
      <w:lvlText w:val="(%1)"/>
      <w:numFmt w:val="decimal"/>
      <w:start w:val="4"/>
    </w:lvl>
  </w:abstractNum>
  <w:abstractNum w:abstractNumId="40">
    <w:nsid w:val="885E1B"/>
    <w:multiLevelType w:val="hybridMultilevel"/>
    <w:lvl w:ilvl="0">
      <w:lvlJc w:val="left"/>
      <w:lvlText w:val="(%1)"/>
      <w:numFmt w:val="decimal"/>
      <w:start w:val="5"/>
    </w:lvl>
  </w:abstractNum>
  <w:abstractNum w:abstractNumId="41">
    <w:nsid w:val="76272110"/>
    <w:multiLevelType w:val="hybridMultilevel"/>
    <w:lvl w:ilvl="0">
      <w:lvlJc w:val="left"/>
      <w:lvlText w:val="(%1)"/>
      <w:numFmt w:val="decimal"/>
      <w:start w:val="6"/>
    </w:lvl>
  </w:abstractNum>
  <w:abstractNum w:abstractNumId="42">
    <w:nsid w:val="4C04A8AF"/>
    <w:multiLevelType w:val="hybridMultilevel"/>
    <w:lvl w:ilvl="0">
      <w:lvlJc w:val="left"/>
      <w:lvlText w:val="(%1)"/>
      <w:numFmt w:val="decimal"/>
      <w:start w:val="7"/>
    </w:lvl>
  </w:abstractNum>
  <w:abstractNum w:abstractNumId="43">
    <w:nsid w:val="1716703B"/>
    <w:multiLevelType w:val="hybridMultilevel"/>
    <w:lvl w:ilvl="0">
      <w:lvlJc w:val="left"/>
      <w:lvlText w:val="(%1)"/>
      <w:numFmt w:val="decimal"/>
      <w:start w:val="8"/>
    </w:lvl>
  </w:abstractNum>
  <w:abstractNum w:abstractNumId="44">
    <w:nsid w:val="14E17E33"/>
    <w:multiLevelType w:val="hybridMultilevel"/>
    <w:lvl w:ilvl="0">
      <w:lvlJc w:val="left"/>
      <w:lvlText w:val="(%1)"/>
      <w:numFmt w:val="decimal"/>
      <w:start w:val="9"/>
    </w:lvl>
    <w:lvl w:ilvl="1">
      <w:lvlJc w:val="left"/>
      <w:lvlText w:val="•"/>
      <w:numFmt w:val="bullet"/>
      <w:start w:val="1"/>
    </w:lvl>
  </w:abstractNum>
  <w:abstractNum w:abstractNumId="45">
    <w:nsid w:val="3222E7CD"/>
    <w:multiLevelType w:val="hybridMultilevel"/>
    <w:lvl w:ilvl="0">
      <w:lvlJc w:val="left"/>
      <w:lvlText w:val="(%1)"/>
      <w:numFmt w:val="decimal"/>
      <w:start w:val="10"/>
    </w:lvl>
  </w:abstractNum>
  <w:abstractNum w:abstractNumId="46">
    <w:nsid w:val="74DE0EE3"/>
    <w:multiLevelType w:val="hybridMultilevel"/>
    <w:lvl w:ilvl="0">
      <w:lvlJc w:val="left"/>
      <w:lvlText w:val="(%1)"/>
      <w:numFmt w:val="lowerRoman"/>
      <w:start w:val="1"/>
    </w:lvl>
  </w:abstractNum>
  <w:abstractNum w:abstractNumId="47">
    <w:nsid w:val="68EBC550"/>
    <w:multiLevelType w:val="hybridMultilevel"/>
    <w:lvl w:ilvl="0">
      <w:lvlJc w:val="left"/>
      <w:lvlText w:val="(%1)"/>
      <w:numFmt w:val="lowerRoman"/>
      <w:start w:val="3"/>
    </w:lvl>
  </w:abstractNum>
  <w:abstractNum w:abstractNumId="48">
    <w:nsid w:val="2DF6D648"/>
    <w:multiLevelType w:val="hybridMultilevel"/>
    <w:lvl w:ilvl="0">
      <w:lvlJc w:val="left"/>
      <w:lvlText w:val="(%1)"/>
      <w:numFmt w:val="decimal"/>
      <w:start w:val="11"/>
    </w:lvl>
  </w:abstractNum>
  <w:abstractNum w:abstractNumId="49">
    <w:nsid w:val="46B7D447"/>
    <w:multiLevelType w:val="hybridMultilevel"/>
    <w:lvl w:ilvl="0">
      <w:lvlJc w:val="left"/>
      <w:lvlText w:val="(%1)"/>
      <w:numFmt w:val="lowerRoman"/>
      <w:start w:val="1"/>
    </w:lvl>
  </w:abstractNum>
  <w:abstractNum w:abstractNumId="50">
    <w:nsid w:val="4A2AC315"/>
    <w:multiLevelType w:val="hybridMultilevel"/>
    <w:lvl w:ilvl="0">
      <w:lvlJc w:val="left"/>
      <w:lvlText w:val="(%1)"/>
      <w:numFmt w:val="lowerRoman"/>
      <w:start w:val="2"/>
    </w:lvl>
  </w:abstractNum>
  <w:abstractNum w:abstractNumId="51">
    <w:nsid w:val="39EE015C"/>
    <w:multiLevelType w:val="hybridMultilevel"/>
    <w:lvl w:ilvl="0">
      <w:lvlJc w:val="left"/>
      <w:lvlText w:val="(%1)"/>
      <w:numFmt w:val="lowerRoman"/>
      <w:start w:val="3"/>
    </w:lvl>
  </w:abstractNum>
  <w:abstractNum w:abstractNumId="52">
    <w:nsid w:val="57FC4FBB"/>
    <w:multiLevelType w:val="hybridMultilevel"/>
    <w:lvl w:ilvl="0">
      <w:lvlJc w:val="left"/>
      <w:lvlText w:val="(%1)"/>
      <w:numFmt w:val="lowerRoman"/>
      <w:start w:val="4"/>
    </w:lvl>
  </w:abstractNum>
  <w:abstractNum w:abstractNumId="53">
    <w:nsid w:val="CC1016F"/>
    <w:multiLevelType w:val="hybridMultilevel"/>
    <w:lvl w:ilvl="0">
      <w:lvlJc w:val="left"/>
      <w:lvlText w:val="(%1)"/>
      <w:numFmt w:val="lowerRoman"/>
      <w:start w:val="5"/>
    </w:lvl>
  </w:abstractNum>
  <w:abstractNum w:abstractNumId="54">
    <w:nsid w:val="43F18422"/>
    <w:multiLevelType w:val="hybridMultilevel"/>
    <w:lvl w:ilvl="0">
      <w:lvlJc w:val="left"/>
      <w:lvlText w:val="(%1)"/>
      <w:numFmt w:val="lowerRoman"/>
      <w:start w:val="6"/>
    </w:lvl>
  </w:abstractNum>
  <w:abstractNum w:abstractNumId="55">
    <w:nsid w:val="60EF0119"/>
    <w:multiLevelType w:val="hybridMultilevel"/>
    <w:lvl w:ilvl="0">
      <w:lvlJc w:val="left"/>
      <w:lvlText w:val="(%1)"/>
      <w:numFmt w:val="lowerRoman"/>
      <w:start w:val="7"/>
    </w:lvl>
  </w:abstractNum>
  <w:abstractNum w:abstractNumId="56">
    <w:nsid w:val="26F324BA"/>
    <w:multiLevelType w:val="hybridMultilevel"/>
    <w:lvl w:ilvl="0">
      <w:lvlJc w:val="left"/>
      <w:lvlText w:val="(%1)"/>
      <w:numFmt w:val="decimal"/>
      <w:start w:val="12"/>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decimal"/>
      <w:start w:val="13"/>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4"/>
    </w:lvl>
  </w:abstractNum>
  <w:abstractNum w:abstractNumId="62">
    <w:nsid w:val="488AC1A"/>
    <w:multiLevelType w:val="hybridMultilevel"/>
    <w:lvl w:ilvl="0">
      <w:lvlJc w:val="left"/>
      <w:lvlText w:val="(%1)"/>
      <w:numFmt w:val="decimal"/>
      <w:start w:val="15"/>
    </w:lvl>
  </w:abstractNum>
  <w:abstractNum w:abstractNumId="63">
    <w:nsid w:val="5FB8011C"/>
    <w:multiLevelType w:val="hybridMultilevel"/>
    <w:lvl w:ilvl="0">
      <w:lvlJc w:val="left"/>
      <w:lvlText w:val="(%1)"/>
      <w:numFmt w:val="decimal"/>
      <w:start w:val="16"/>
    </w:lvl>
  </w:abstractNum>
  <w:abstractNum w:abstractNumId="64">
    <w:nsid w:val="6AA78F7F"/>
    <w:multiLevelType w:val="hybridMultilevel"/>
    <w:lvl w:ilvl="0">
      <w:lvlJc w:val="left"/>
      <w:lvlText w:val="(%1)"/>
      <w:numFmt w:val="decimal"/>
      <w:start w:val="17"/>
    </w:lvl>
  </w:abstractNum>
  <w:abstractNum w:abstractNumId="65">
    <w:nsid w:val="7672BD23"/>
    <w:multiLevelType w:val="hybridMultilevel"/>
    <w:lvl w:ilvl="0">
      <w:lvlJc w:val="left"/>
      <w:lvlText w:val="(%1)"/>
      <w:numFmt w:val="decimal"/>
      <w:start w:val="18"/>
    </w:lvl>
  </w:abstractNum>
  <w:abstractNum w:abstractNumId="66">
    <w:nsid w:val="6FC75AF8"/>
    <w:multiLevelType w:val="hybridMultilevel"/>
    <w:lvl w:ilvl="0">
      <w:lvlJc w:val="left"/>
      <w:lvlText w:val="(%1)"/>
      <w:numFmt w:val="decimal"/>
      <w:start w:val="19"/>
    </w:lvl>
  </w:abstractNum>
  <w:abstractNum w:abstractNumId="67">
    <w:nsid w:val="6A5F7029"/>
    <w:multiLevelType w:val="hybridMultilevel"/>
    <w:lvl w:ilvl="0">
      <w:lvlJc w:val="left"/>
      <w:lvlText w:val="(%1)"/>
      <w:numFmt w:val="decimal"/>
      <w:start w:val="20"/>
    </w:lvl>
  </w:abstractNum>
  <w:abstractNum w:abstractNumId="68">
    <w:nsid w:val="7D5E18F8"/>
    <w:multiLevelType w:val="hybridMultilevel"/>
    <w:lvl w:ilvl="0">
      <w:lvlJc w:val="left"/>
      <w:lvlText w:val="(%1)"/>
      <w:numFmt w:val="decimal"/>
      <w:start w:val="21"/>
    </w:lvl>
  </w:abstractNum>
  <w:abstractNum w:abstractNumId="69">
    <w:nsid w:val="5F3534A4"/>
    <w:multiLevelType w:val="hybridMultilevel"/>
    <w:lvl w:ilvl="0">
      <w:lvlJc w:val="left"/>
      <w:lvlText w:val="(%1)"/>
      <w:numFmt w:val="decimal"/>
      <w:start w:val="22"/>
    </w:lvl>
  </w:abstractNum>
  <w:abstractNum w:abstractNumId="70">
    <w:nsid w:val="73A1821B"/>
    <w:multiLevelType w:val="hybridMultilevel"/>
    <w:lvl w:ilvl="0">
      <w:lvlJc w:val="left"/>
      <w:lvlText w:val="%1."/>
      <w:numFmt w:val="decimal"/>
      <w:start w:val="1"/>
    </w:lvl>
    <w:lvl w:ilvl="1">
      <w:lvlJc w:val="left"/>
      <w:lvlText w:val="%2."/>
      <w:numFmt w:val="lowerLetter"/>
      <w:start w:val="1"/>
    </w:lvl>
  </w:abstractNum>
  <w:abstractNum w:abstractNumId="71">
    <w:nsid w:val="7DE67713"/>
    <w:multiLevelType w:val="hybridMultilevel"/>
    <w:lvl w:ilvl="0">
      <w:lvlJc w:val="left"/>
      <w:lvlText w:val="%1."/>
      <w:numFmt w:val="decimal"/>
      <w:start w:val="2"/>
    </w:lvl>
  </w:abstractNum>
  <w:abstractNum w:abstractNumId="72">
    <w:nsid w:val="555C55B5"/>
    <w:multiLevelType w:val="hybridMultilevel"/>
    <w:lvl w:ilvl="0">
      <w:lvlJc w:val="left"/>
      <w:lvlText w:val="%1."/>
      <w:numFmt w:val="decimal"/>
      <w:start w:val="3"/>
    </w:lvl>
    <w:lvl w:ilvl="1">
      <w:lvlJc w:val="left"/>
      <w:lvlText w:val="%2."/>
      <w:numFmt w:val="lowerLetter"/>
      <w:start w:val="1"/>
    </w:lvl>
  </w:abstractNum>
  <w:abstractNum w:abstractNumId="73">
    <w:nsid w:val="3FA62ACA"/>
    <w:multiLevelType w:val="hybridMultilevel"/>
    <w:lvl w:ilvl="0">
      <w:lvlJc w:val="left"/>
      <w:lvlText w:val="%1."/>
      <w:numFmt w:val="decimal"/>
      <w:start w:val="4"/>
    </w:lvl>
    <w:lvl w:ilvl="1">
      <w:lvlJc w:val="left"/>
      <w:lvlText w:val="%2."/>
      <w:numFmt w:val="lowerLetter"/>
      <w:start w:val="1"/>
    </w:lvl>
  </w:abstractNum>
  <w:abstractNum w:abstractNumId="74">
    <w:nsid w:val="14FCE74E"/>
    <w:multiLevelType w:val="hybridMultilevel"/>
    <w:lvl w:ilvl="0">
      <w:lvlJc w:val="left"/>
      <w:lvlText w:val="%1."/>
      <w:numFmt w:val="decimal"/>
      <w:start w:val="5"/>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3"/>
    </w:lvl>
  </w:abstractNum>
  <w:abstractNum w:abstractNumId="77">
    <w:nsid w:val="9DAF632"/>
    <w:multiLevelType w:val="hybridMultilevel"/>
    <w:lvl w:ilvl="0">
      <w:lvlJc w:val="left"/>
      <w:lvlText w:val="%1."/>
      <w:numFmt w:val="decimal"/>
      <w:start w:val="4"/>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2"/>
    </w:lvl>
  </w:abstractNum>
  <w:abstractNum w:abstractNumId="80">
    <w:nsid w:val="5092CA79"/>
    <w:multiLevelType w:val="hybridMultilevel"/>
    <w:lvl w:ilvl="0">
      <w:lvlJc w:val="left"/>
      <w:lvlText w:val="(%1)"/>
      <w:numFmt w:val="lowerLetter"/>
      <w:start w:val="1"/>
    </w:lvl>
    <w:lvl w:ilvl="1">
      <w:lvlJc w:val="left"/>
      <w:lvlText w:val="(%2)"/>
      <w:numFmt w:val="lowerRoman"/>
      <w:start w:val="1"/>
    </w:lvl>
  </w:abstractNum>
  <w:abstractNum w:abstractNumId="81">
    <w:nsid w:val="1D545C4D"/>
    <w:multiLevelType w:val="hybridMultilevel"/>
    <w:lvl w:ilvl="0">
      <w:lvlJc w:val="left"/>
      <w:lvlText w:val="(%1)"/>
      <w:numFmt w:val="lowerRoman"/>
      <w:start w:val="4"/>
    </w:lvl>
  </w:abstractNum>
  <w:abstractNum w:abstractNumId="82">
    <w:nsid w:val="59ADEA3D"/>
    <w:multiLevelType w:val="hybridMultilevel"/>
    <w:lvl w:ilvl="0">
      <w:lvlJc w:val="left"/>
      <w:lvlText w:val="%1."/>
      <w:numFmt w:val="decimal"/>
      <w:start w:val="6"/>
    </w:lvl>
  </w:abstractNum>
  <w:abstractNum w:abstractNumId="83">
    <w:nsid w:val="288F1A34"/>
    <w:multiLevelType w:val="hybridMultilevel"/>
    <w:lvl w:ilvl="0">
      <w:lvlJc w:val="left"/>
      <w:lvlText w:val="(%1)"/>
      <w:numFmt w:val="lowerLetter"/>
      <w:start w:val="4"/>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decimal"/>
      <w:start w:val="7"/>
    </w:lvl>
  </w:abstractNum>
  <w:abstractNum w:abstractNumId="86">
    <w:nsid w:val="97E1B4E"/>
    <w:multiLevelType w:val="hybridMultilevel"/>
    <w:lvl w:ilvl="0">
      <w:lvlJc w:val="left"/>
      <w:lvlText w:val="%1."/>
      <w:numFmt w:val="decimal"/>
      <w:start w:val="8"/>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decimal"/>
      <w:start w:val="1"/>
    </w:lvl>
    <w:lvl w:ilvl="1">
      <w:lvlJc w:val="left"/>
      <w:lvlText w:val="(%2)"/>
      <w:numFmt w:val="lowerLetter"/>
      <w:start w:val="3"/>
    </w:lvl>
  </w:abstractNum>
  <w:abstractNum w:abstractNumId="89">
    <w:nsid w:val="53584BCB"/>
    <w:multiLevelType w:val="hybridMultilevel"/>
    <w:lvl w:ilvl="0">
      <w:lvlJc w:val="left"/>
      <w:lvlText w:val="%1."/>
      <w:numFmt w:val="decimal"/>
      <w:start w:val="9"/>
    </w:lvl>
    <w:lvl w:ilvl="1">
      <w:lvlJc w:val="left"/>
      <w:lvlText w:val="%2"/>
      <w:numFmt w:val="lowerLetter"/>
      <w:start w:val="1"/>
    </w:lvl>
  </w:abstractNum>
  <w:abstractNum w:abstractNumId="90">
    <w:nsid w:val="415E286C"/>
    <w:multiLevelType w:val="hybridMultilevel"/>
    <w:lvl w:ilvl="0">
      <w:lvlJc w:val="left"/>
      <w:lvlText w:val="(%1)"/>
      <w:numFmt w:val="decimal"/>
      <w:start w:val="3"/>
    </w:lvl>
  </w:abstractNum>
  <w:abstractNum w:abstractNumId="91">
    <w:nsid w:val="7C58FD05"/>
    <w:multiLevelType w:val="hybridMultilevel"/>
    <w:lvl w:ilvl="0">
      <w:lvlJc w:val="left"/>
      <w:lvlText w:val="%1."/>
      <w:numFmt w:val="decimal"/>
      <w:start w:val="1"/>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o"/>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lvl w:ilvl="1">
      <w:lvlJc w:val="left"/>
      <w:lvlText w:val="o"/>
      <w:numFmt w:val="bullet"/>
      <w:start w:val="1"/>
    </w:lvl>
  </w:abstractNum>
  <w:abstractNum w:abstractNumId="100">
    <w:nsid w:val="2B0D8DBE"/>
    <w:multiLevelType w:val="hybridMultilevel"/>
    <w:lvl w:ilvl="0">
      <w:lvlJc w:val="left"/>
      <w:lvlText w:val="%1)"/>
      <w:numFmt w:val="lowerLetter"/>
      <w:start w:val="2"/>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lvl w:ilvl="1">
      <w:lvlJc w:val="left"/>
      <w:lvlText w:val="o"/>
      <w:numFmt w:val="bullet"/>
      <w:start w:val="1"/>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lowerLetter"/>
      <w:start w:val="4"/>
    </w:lvl>
  </w:abstractNum>
  <w:abstractNum w:abstractNumId="107">
    <w:nsid w:val="1DF029D3"/>
    <w:multiLevelType w:val="hybridMultilevel"/>
    <w:lvl w:ilvl="0">
      <w:lvlJc w:val="left"/>
      <w:lvlText w:val="%1)"/>
      <w:numFmt w:val="lowerLetter"/>
      <w:start w:val="5"/>
    </w:lvl>
  </w:abstractNum>
  <w:abstractNum w:abstractNumId="108">
    <w:nsid w:val="5675FF36"/>
    <w:multiLevelType w:val="hybridMultilevel"/>
    <w:lvl w:ilvl="0">
      <w:lvlJc w:val="left"/>
      <w:lvlText w:val="%1)"/>
      <w:numFmt w:val="lowerLetter"/>
      <w:start w:val="6"/>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
      <w:numFmt w:val="bullet"/>
      <w:start w:val="1"/>
    </w:lvl>
  </w:abstractNum>
  <w:abstractNum w:abstractNumId="112">
    <w:nsid w:val="5B25ACE2"/>
    <w:multiLevelType w:val="hybridMultilevel"/>
    <w:lvl w:ilvl="0">
      <w:lvlJc w:val="left"/>
      <w:lvlText w:val="%1)"/>
      <w:numFmt w:val="lowerLetter"/>
      <w:start w:val="7"/>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
      <w:numFmt w:val="bullet"/>
      <w:start w:val="1"/>
    </w:lvl>
  </w:abstractNum>
  <w:abstractNum w:abstractNumId="116">
    <w:nsid w:val="34FD6B4F"/>
    <w:multiLevelType w:val="hybridMultilevel"/>
    <w:lvl w:ilvl="0">
      <w:lvlJc w:val="left"/>
      <w:lvlText w:val="•"/>
      <w:numFmt w:val="bullet"/>
      <w:start w:val="1"/>
    </w:lvl>
    <w:lvl w:ilvl="1">
      <w:lvlJc w:val="left"/>
      <w:lvlText w:val="o"/>
      <w:numFmt w:val="bullet"/>
      <w:start w:val="1"/>
    </w:lvl>
  </w:abstractNum>
  <w:abstractNum w:abstractNumId="117">
    <w:nsid w:val="5915FF32"/>
    <w:multiLevelType w:val="hybridMultilevel"/>
    <w:lvl w:ilvl="0">
      <w:lvlJc w:val="left"/>
      <w:lvlText w:val="%1)"/>
      <w:numFmt w:val="lowerLetter"/>
      <w:start w:val="1"/>
    </w:lvl>
    <w:lvl w:ilvl="1">
      <w:lvlJc w:val="left"/>
      <w:lvlText w:val="•"/>
      <w:numFmt w:val="bullet"/>
      <w:start w:val="1"/>
    </w:lvl>
    <w:lvl w:ilvl="2">
      <w:lvlJc w:val="left"/>
      <w:lvlText w:val="o"/>
      <w:numFmt w:val="bullet"/>
      <w:start w:val="1"/>
    </w:lvl>
  </w:abstractNum>
  <w:abstractNum w:abstractNumId="118">
    <w:nsid w:val="56438D15"/>
    <w:multiLevelType w:val="hybridMultilevel"/>
    <w:lvl w:ilvl="0">
      <w:lvlJc w:val="left"/>
      <w:lvlText w:val="•"/>
      <w:numFmt w:val="bullet"/>
      <w:start w:val="1"/>
    </w:lvl>
  </w:abstractNum>
  <w:abstractNum w:abstractNumId="119">
    <w:nsid w:val="519E3149"/>
    <w:multiLevelType w:val="hybridMultilevel"/>
    <w:lvl w:ilvl="0">
      <w:lvlJc w:val="left"/>
      <w:lvlText w:val="%1)"/>
      <w:numFmt w:val="lowerLetter"/>
      <w:start w:val="3"/>
    </w:lvl>
  </w:abstractNum>
  <w:abstractNum w:abstractNumId="120">
    <w:nsid w:val="2C6E4AFD"/>
    <w:multiLevelType w:val="hybridMultilevel"/>
    <w:lvl w:ilvl="0">
      <w:lvlJc w:val="left"/>
      <w:lvlText w:val="%1)"/>
      <w:numFmt w:val="lowerLetter"/>
      <w:start w:val="4"/>
    </w:lvl>
  </w:abstractNum>
  <w:abstractNum w:abstractNumId="121">
    <w:nsid w:val="17A1B582"/>
    <w:multiLevelType w:val="hybridMultilevel"/>
    <w:lvl w:ilvl="0">
      <w:lvlJc w:val="left"/>
      <w:lvlText w:val="•"/>
      <w:numFmt w:val="bullet"/>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decimal"/>
      <w:start w:val="5"/>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decimal"/>
      <w:start w:val="5"/>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29"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jpeg"/><Relationship Id="rId205" Type="http://schemas.openxmlformats.org/officeDocument/2006/relationships/image" Target="media/image165.jpe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jpeg"/><Relationship Id="rId219" Type="http://schemas.openxmlformats.org/officeDocument/2006/relationships/image" Target="media/image179.jpe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97" Type="http://schemas.openxmlformats.org/officeDocument/2006/relationships/hyperlink" Target="http://www.sec.gov/Archives/edgar/data/1527599/000110465917032941/a17-13113_1ex2d1.htm" TargetMode="External"/><Relationship Id="rId98" Type="http://schemas.openxmlformats.org/officeDocument/2006/relationships/hyperlink" Target="http://www.sec.gov/Archives/edgar/data/1527599/000110465915069368/a15-14644_8ex3d1.htm" TargetMode="External"/><Relationship Id="rId99" Type="http://schemas.openxmlformats.org/officeDocument/2006/relationships/hyperlink" Target="http://www.sec.gov/Archives/edgar/data/1527599/000119312517270395/d431294dex31.htm" TargetMode="External"/><Relationship Id="rId100" Type="http://schemas.openxmlformats.org/officeDocument/2006/relationships/hyperlink" Target="http://www.sec.gov/Archives/edgar/data/1527599/000119312517270395/d431294dex32.htm" TargetMode="External"/><Relationship Id="rId101" Type="http://schemas.openxmlformats.org/officeDocument/2006/relationships/hyperlink" Target="http://www.sec.gov/Archives/edgar/data/1527599/000110465915069368/a15-14644_8ex3d2.htm" TargetMode="External"/><Relationship Id="rId102" Type="http://schemas.openxmlformats.org/officeDocument/2006/relationships/hyperlink" Target="http://www.sec.gov/Archives/edgar/data/1527599/000104746915007386/a2226006zex-4_2.htm" TargetMode="External"/><Relationship Id="rId103" Type="http://schemas.openxmlformats.org/officeDocument/2006/relationships/hyperlink" Target="http://www.sec.gov/Archives/edgar/data/1527599/000156459018006323/sybx-ex101_397.htm" TargetMode="External"/><Relationship Id="rId104" Type="http://schemas.openxmlformats.org/officeDocument/2006/relationships/hyperlink" Target="http://www.sec.gov/Archives/edgar/data/1527599/000104746915007251/a2225898zex-10_9b.htm" TargetMode="External"/><Relationship Id="rId105" Type="http://schemas.openxmlformats.org/officeDocument/2006/relationships/hyperlink" Target="http://www.sec.gov/Archives/edgar/data/1527599/000104746915007251/a2225898zex-10_9c.htm" TargetMode="External"/><Relationship Id="rId106" Type="http://schemas.openxmlformats.org/officeDocument/2006/relationships/hyperlink" Target="http://www.sec.gov/Archives/edgar/data/1527599/000156459018006323/sybx-ex104_396.htm" TargetMode="External"/><Relationship Id="rId107" Type="http://schemas.openxmlformats.org/officeDocument/2006/relationships/hyperlink" Target="http://www.sec.gov/Archives/edgar/data/1527599/000119312517340965/d458814dex1017.htm" TargetMode="External"/><Relationship Id="rId108" Type="http://schemas.openxmlformats.org/officeDocument/2006/relationships/hyperlink" Target="http://www.sec.gov/Archives/edgar/data/1527599/000156459018006323/sybx-ex106_235.htm" TargetMode="External"/><Relationship Id="rId109" Type="http://schemas.openxmlformats.org/officeDocument/2006/relationships/hyperlink" Target="http://www.sec.gov/Archives/edgar/data/1527599/000104746915007251/a2225898zex-10_13.htm" TargetMode="External"/><Relationship Id="rId110" Type="http://schemas.openxmlformats.org/officeDocument/2006/relationships/hyperlink" Target="http://www.sec.gov/Archives/edgar/data/1527599/000119312517270395/d431294dex102.htm" TargetMode="External"/><Relationship Id="rId113" Type="http://schemas.openxmlformats.org/officeDocument/2006/relationships/hyperlink" Target="http://www.sec.gov/Archives/edgar/data/1527599/000119312517270395/d431294dex103.htm" TargetMode="External"/><Relationship Id="rId114" Type="http://schemas.openxmlformats.org/officeDocument/2006/relationships/hyperlink" Target="http://www.sec.gov/Archives/edgar/data/1527599/000156459018013629/sybx-ex102_326.htm" TargetMode="External"/><Relationship Id="rId115" Type="http://schemas.openxmlformats.org/officeDocument/2006/relationships/hyperlink" Target="http://www.sec.gov/Archives/edgar/data/1527599/000156459018020755/sybx-ex102_101.htm" TargetMode="External"/><Relationship Id="rId116" Type="http://schemas.openxmlformats.org/officeDocument/2006/relationships/hyperlink" Target="http://www.sec.gov/Archives/edgar/data/1527599/000119312517270395/d431294dex104.htm" TargetMode="External"/><Relationship Id="rId117" Type="http://schemas.openxmlformats.org/officeDocument/2006/relationships/hyperlink" Target="http://www.sec.gov/Archives/edgar/data/1527599/000119312517270395/d431294dex105.htm" TargetMode="External"/><Relationship Id="rId118" Type="http://schemas.openxmlformats.org/officeDocument/2006/relationships/hyperlink" Target="http://www.sec.gov/Archives/edgar/data/1527599/000119312517270395/d431294dex106.htm" TargetMode="External"/><Relationship Id="rId119" Type="http://schemas.openxmlformats.org/officeDocument/2006/relationships/hyperlink" Target="http://www.sec.gov/Archives/edgar/data/1527599/000119312517270395/d431294dex107.htm" TargetMode="External"/><Relationship Id="rId120" Type="http://schemas.openxmlformats.org/officeDocument/2006/relationships/hyperlink" Target="http://www.sec.gov/Archives/edgar/data/1527599/000119312517270395/d431294dex108.htm" TargetMode="External"/><Relationship Id="rId121" Type="http://schemas.openxmlformats.org/officeDocument/2006/relationships/hyperlink" Target="http://www.sec.gov/Archives/edgar/data/1527599/000156459018020755/sybx-ex101_100.htm" TargetMode="External"/><Relationship Id="rId122" Type="http://schemas.openxmlformats.org/officeDocument/2006/relationships/hyperlink" Target="http://www.sec.gov/Archives/edgar/data/1527599/000156459018029326/sybx-ex101_305.htm" TargetMode="External"/><Relationship Id="rId123" Type="http://schemas.openxmlformats.org/officeDocument/2006/relationships/hyperlink" Target="http://www.sec.gov/Archives/edgar/data/1527599/000119312517270395/d431294dex109.htm" TargetMode="External"/><Relationship Id="rId124" Type="http://schemas.openxmlformats.org/officeDocument/2006/relationships/hyperlink" Target="http://www.sec.gov/Archives/edgar/data/1527599/000119312517307077/d469197dex101.htm" TargetMode="External"/><Relationship Id="rId125" Type="http://schemas.openxmlformats.org/officeDocument/2006/relationships/hyperlink" Target="http://www.sec.gov/Archives/edgar/data/1527599/000119312517270395/d431294dex1010.htm" TargetMode="External"/><Relationship Id="rId126" Type="http://schemas.openxmlformats.org/officeDocument/2006/relationships/hyperlink" Target="http://www.sec.gov/Archives/edgar/data/1527599/000119312517270395/d431294dex1011.htm" TargetMode="External"/><Relationship Id="rId127" Type="http://schemas.openxmlformats.org/officeDocument/2006/relationships/hyperlink" Target="http://www.sec.gov/Archives/edgar/data/1527599/000119312517270395/d431294dex1012.htm" TargetMode="External"/><Relationship Id="rId128" Type="http://schemas.openxmlformats.org/officeDocument/2006/relationships/hyperlink" Target="http://www.sec.gov/Archives/edgar/data/1527599/000156459018029326/sybx-ex102_304.htm" TargetMode="External"/><Relationship Id="rId130" Type="http://schemas.openxmlformats.org/officeDocument/2006/relationships/hyperlink" Target="http://www.sec.gov/Archives/edgar/data/1527599/000119312517270395/d431294dex1013.htm" TargetMode="External"/><Relationship Id="rId131" Type="http://schemas.openxmlformats.org/officeDocument/2006/relationships/hyperlink" Target="http://www.sec.gov/Archives/edgar/data/1527599/000119312517310897/d671201dex11.htm" TargetMode="External"/><Relationship Id="rId132" Type="http://schemas.openxmlformats.org/officeDocument/2006/relationships/hyperlink" Target="http://www.sec.gov/Archives/edgar/data/1527599/000119312518109307/d5644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2019-12-28T14:27:19Z</dcterms:created>
  <dcterms:modified xsi:type="dcterms:W3CDTF">2019-12-28T14:27:19Z</dcterms:modified>
</cp:coreProperties>
</file>