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141605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178435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2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89" w:lineRule="exact"/>
        <w:rPr>
          <w:sz w:val="24"/>
          <w:szCs w:val="24"/>
          <w:color w:val="auto"/>
        </w:rPr>
      </w:pPr>
    </w:p>
    <w:p>
      <w:pPr>
        <w:ind w:left="520" w:right="2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For the transition period from ______ to ______</w:t>
      </w:r>
    </w:p>
    <w:p>
      <w:pPr>
        <w:spacing w:after="0" w:line="18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No.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163195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SYNLOGIC,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4200" w:type="dxa"/>
            <w:vAlign w:val="bottom"/>
          </w:tcPr>
          <w:p>
            <w:pPr>
              <w:jc w:val="center"/>
              <w:ind w:right="1739"/>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right"/>
              <w:ind w:right="481"/>
              <w:spacing w:after="0"/>
              <w:rPr>
                <w:sz w:val="20"/>
                <w:szCs w:val="20"/>
                <w:color w:val="auto"/>
              </w:rPr>
            </w:pPr>
            <w:r>
              <w:rPr>
                <w:rFonts w:ascii="Arial" w:cs="Arial" w:eastAsia="Arial" w:hAnsi="Arial"/>
                <w:sz w:val="18"/>
                <w:szCs w:val="18"/>
                <w:b w:val="1"/>
                <w:bCs w:val="1"/>
                <w:color w:val="auto"/>
              </w:rPr>
              <w:t>26-1824804</w:t>
            </w:r>
          </w:p>
        </w:tc>
      </w:tr>
      <w:tr>
        <w:trPr>
          <w:trHeight w:val="149"/>
        </w:trPr>
        <w:tc>
          <w:tcPr>
            <w:tcW w:w="4200" w:type="dxa"/>
            <w:vAlign w:val="bottom"/>
          </w:tcPr>
          <w:p>
            <w:pPr>
              <w:jc w:val="center"/>
              <w:ind w:right="173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3800" w:type="dxa"/>
            <w:vAlign w:val="bottom"/>
          </w:tcPr>
          <w:p>
            <w:pPr>
              <w:jc w:val="center"/>
              <w:ind w:left="17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00" w:type="dxa"/>
            <w:vAlign w:val="bottom"/>
          </w:tcPr>
          <w:p>
            <w:pPr>
              <w:jc w:val="center"/>
              <w:ind w:right="1739"/>
              <w:spacing w:after="0"/>
              <w:rPr>
                <w:sz w:val="20"/>
                <w:szCs w:val="20"/>
                <w:color w:val="auto"/>
              </w:rPr>
            </w:pPr>
            <w:r>
              <w:rPr>
                <w:rFonts w:ascii="Arial" w:cs="Arial" w:eastAsia="Arial" w:hAnsi="Arial"/>
                <w:sz w:val="14"/>
                <w:szCs w:val="14"/>
                <w:b w:val="1"/>
                <w:bCs w:val="1"/>
                <w:color w:val="auto"/>
                <w:w w:val="93"/>
              </w:rPr>
              <w:t>incorporation or organization)</w:t>
            </w:r>
          </w:p>
        </w:tc>
        <w:tc>
          <w:tcPr>
            <w:tcW w:w="3800" w:type="dxa"/>
            <w:vAlign w:val="bottom"/>
          </w:tcPr>
          <w:p>
            <w:pPr>
              <w:jc w:val="center"/>
              <w:ind w:left="172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4200" w:type="dxa"/>
            <w:vAlign w:val="bottom"/>
          </w:tcPr>
          <w:p>
            <w:pPr>
              <w:jc w:val="center"/>
              <w:ind w:right="1739"/>
              <w:spacing w:after="0"/>
              <w:rPr>
                <w:sz w:val="20"/>
                <w:szCs w:val="20"/>
                <w:color w:val="auto"/>
              </w:rPr>
            </w:pPr>
            <w:r>
              <w:rPr>
                <w:rFonts w:ascii="Arial" w:cs="Arial" w:eastAsia="Arial" w:hAnsi="Arial"/>
                <w:sz w:val="18"/>
                <w:szCs w:val="18"/>
                <w:b w:val="1"/>
                <w:bCs w:val="1"/>
                <w:color w:val="auto"/>
                <w:w w:val="89"/>
              </w:rPr>
              <w:t>301 Binney St., Suite 402</w:t>
            </w:r>
          </w:p>
        </w:tc>
        <w:tc>
          <w:tcPr>
            <w:tcW w:w="3800" w:type="dxa"/>
            <w:vAlign w:val="bottom"/>
          </w:tcPr>
          <w:p>
            <w:pPr>
              <w:spacing w:after="0"/>
              <w:rPr>
                <w:sz w:val="24"/>
                <w:szCs w:val="24"/>
                <w:color w:val="auto"/>
              </w:rPr>
            </w:pPr>
          </w:p>
        </w:tc>
      </w:tr>
      <w:tr>
        <w:trPr>
          <w:trHeight w:val="212"/>
        </w:trPr>
        <w:tc>
          <w:tcPr>
            <w:tcW w:w="4200" w:type="dxa"/>
            <w:vAlign w:val="bottom"/>
          </w:tcPr>
          <w:p>
            <w:pPr>
              <w:jc w:val="center"/>
              <w:ind w:right="1739"/>
              <w:spacing w:after="0"/>
              <w:rPr>
                <w:sz w:val="20"/>
                <w:szCs w:val="20"/>
                <w:color w:val="auto"/>
              </w:rPr>
            </w:pPr>
            <w:r>
              <w:rPr>
                <w:rFonts w:ascii="Arial" w:cs="Arial" w:eastAsia="Arial" w:hAnsi="Arial"/>
                <w:sz w:val="18"/>
                <w:szCs w:val="18"/>
                <w:b w:val="1"/>
                <w:bCs w:val="1"/>
                <w:color w:val="auto"/>
                <w:w w:val="92"/>
              </w:rPr>
              <w:t>Cambridge, MA 02142</w:t>
            </w:r>
          </w:p>
        </w:tc>
        <w:tc>
          <w:tcPr>
            <w:tcW w:w="3800" w:type="dxa"/>
            <w:vAlign w:val="bottom"/>
          </w:tcPr>
          <w:p>
            <w:pPr>
              <w:jc w:val="right"/>
              <w:ind w:right="361"/>
              <w:spacing w:after="0"/>
              <w:rPr>
                <w:sz w:val="20"/>
                <w:szCs w:val="20"/>
                <w:color w:val="auto"/>
              </w:rPr>
            </w:pPr>
            <w:r>
              <w:rPr>
                <w:rFonts w:ascii="Arial" w:cs="Arial" w:eastAsia="Arial" w:hAnsi="Arial"/>
                <w:sz w:val="18"/>
                <w:szCs w:val="18"/>
                <w:b w:val="1"/>
                <w:bCs w:val="1"/>
                <w:color w:val="auto"/>
              </w:rPr>
              <w:t>(617) 401-9975</w:t>
            </w:r>
          </w:p>
        </w:tc>
      </w:tr>
      <w:tr>
        <w:trPr>
          <w:trHeight w:val="186"/>
        </w:trPr>
        <w:tc>
          <w:tcPr>
            <w:tcW w:w="4200" w:type="dxa"/>
            <w:vAlign w:val="bottom"/>
          </w:tcPr>
          <w:p>
            <w:pPr>
              <w:jc w:val="center"/>
              <w:ind w:right="173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800" w:type="dxa"/>
            <w:vAlign w:val="bottom"/>
          </w:tcPr>
          <w:p>
            <w:pPr>
              <w:jc w:val="center"/>
              <w:ind w:left="1721"/>
              <w:spacing w:after="0"/>
              <w:rPr>
                <w:sz w:val="20"/>
                <w:szCs w:val="20"/>
                <w:color w:val="auto"/>
              </w:rPr>
            </w:pPr>
            <w:r>
              <w:rPr>
                <w:rFonts w:ascii="Arial" w:cs="Arial" w:eastAsia="Arial" w:hAnsi="Arial"/>
                <w:sz w:val="14"/>
                <w:szCs w:val="14"/>
                <w:b w:val="1"/>
                <w:bCs w:val="1"/>
                <w:color w:val="auto"/>
                <w:w w:val="92"/>
              </w:rPr>
              <w:t>(Registrant’s telephone number)</w:t>
            </w:r>
          </w:p>
        </w:tc>
      </w:tr>
    </w:tbl>
    <w:p>
      <w:pPr>
        <w:spacing w:after="0" w:line="187"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46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80" w:type="dxa"/>
            <w:vAlign w:val="bottom"/>
          </w:tcPr>
          <w:p>
            <w:pPr>
              <w:ind w:left="246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180" w:type="dxa"/>
            <w:vAlign w:val="bottom"/>
          </w:tcPr>
          <w:p>
            <w:pPr>
              <w:ind w:left="246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760"/>
        <w:spacing w:after="0" w:line="28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2, 2018, there were 25,430,948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553720</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382" w:right="3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0" w:firstLine="518"/>
        <w:spacing w:after="0" w:line="297"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172"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agreements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1A. “Risk Factors”.</w:t>
      </w:r>
    </w:p>
    <w:p>
      <w:pPr>
        <w:spacing w:after="0" w:line="225"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5"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SYNLOGIC, INC. AND SUBSIDIARIES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Page</w:t>
            </w:r>
          </w:p>
        </w:tc>
      </w:tr>
      <w:tr>
        <w:trPr>
          <w:trHeight w:val="358"/>
        </w:trPr>
        <w:tc>
          <w:tcPr>
            <w:tcW w:w="10740" w:type="dxa"/>
            <w:vAlign w:val="bottom"/>
            <w:gridSpan w:val="18"/>
          </w:tcPr>
          <w:p>
            <w:pPr>
              <w:spacing w:after="0"/>
              <w:rPr>
                <w:sz w:val="20"/>
                <w:szCs w:val="20"/>
                <w:color w:val="auto"/>
              </w:rPr>
            </w:pPr>
            <w:r>
              <w:rPr>
                <w:rFonts w:ascii="Arial" w:cs="Arial" w:eastAsia="Arial" w:hAnsi="Arial"/>
                <w:sz w:val="18"/>
                <w:szCs w:val="18"/>
                <w:b w:val="1"/>
                <w:bCs w:val="1"/>
                <w:color w:val="auto"/>
              </w:rPr>
              <w:t>PART I - FINANCIAL INFORMATION</w:t>
            </w: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260" w:type="dxa"/>
            <w:vAlign w:val="bottom"/>
          </w:tcPr>
          <w:p>
            <w:pPr>
              <w:spacing w:after="0"/>
              <w:rPr>
                <w:sz w:val="24"/>
                <w:szCs w:val="24"/>
                <w:color w:val="auto"/>
              </w:rPr>
            </w:pPr>
          </w:p>
        </w:tc>
        <w:tc>
          <w:tcPr>
            <w:tcW w:w="10480" w:type="dxa"/>
            <w:vAlign w:val="bottom"/>
            <w:gridSpan w:val="17"/>
          </w:tcPr>
          <w:p>
            <w:pPr>
              <w:spacing w:after="0"/>
              <w:rPr>
                <w:sz w:val="20"/>
                <w:szCs w:val="20"/>
                <w:color w:val="auto"/>
              </w:rPr>
            </w:pPr>
            <w:r>
              <w:rPr>
                <w:rFonts w:ascii="Arial" w:cs="Arial" w:eastAsia="Arial" w:hAnsi="Arial"/>
                <w:sz w:val="18"/>
                <w:szCs w:val="18"/>
                <w:color w:val="auto"/>
              </w:rPr>
              <w:t>Item 1. Financial Statements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Balance Sheets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Consolidated 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318"/>
        </w:trPr>
        <w:tc>
          <w:tcPr>
            <w:tcW w:w="260" w:type="dxa"/>
            <w:vAlign w:val="bottom"/>
          </w:tcPr>
          <w:p>
            <w:pPr>
              <w:spacing w:after="0"/>
              <w:rPr>
                <w:sz w:val="24"/>
                <w:szCs w:val="24"/>
                <w:color w:val="auto"/>
              </w:rPr>
            </w:pPr>
          </w:p>
        </w:tc>
        <w:tc>
          <w:tcPr>
            <w:tcW w:w="10480" w:type="dxa"/>
            <w:vAlign w:val="bottom"/>
            <w:gridSpan w:val="17"/>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318"/>
        </w:trPr>
        <w:tc>
          <w:tcPr>
            <w:tcW w:w="260" w:type="dxa"/>
            <w:vAlign w:val="bottom"/>
          </w:tcPr>
          <w:p>
            <w:pPr>
              <w:spacing w:after="0"/>
              <w:rPr>
                <w:sz w:val="24"/>
                <w:szCs w:val="24"/>
                <w:color w:val="auto"/>
              </w:rPr>
            </w:pPr>
          </w:p>
        </w:tc>
        <w:tc>
          <w:tcPr>
            <w:tcW w:w="48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3. 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4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318"/>
        </w:trPr>
        <w:tc>
          <w:tcPr>
            <w:tcW w:w="260" w:type="dxa"/>
            <w:vAlign w:val="bottom"/>
          </w:tcPr>
          <w:p>
            <w:pPr>
              <w:spacing w:after="0"/>
              <w:rPr>
                <w:sz w:val="24"/>
                <w:szCs w:val="24"/>
                <w:color w:val="auto"/>
              </w:rPr>
            </w:pPr>
          </w:p>
        </w:tc>
        <w:tc>
          <w:tcPr>
            <w:tcW w:w="23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Item 4. Controls and Procedures</w:t>
              </w:r>
            </w:hyperlink>
          </w:p>
        </w:tc>
        <w:tc>
          <w:tcPr>
            <w:tcW w:w="8120" w:type="dxa"/>
            <w:vAlign w:val="bottom"/>
            <w:gridSpan w:val="9"/>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r>
      <w:tr>
        <w:trPr>
          <w:trHeight w:val="358"/>
        </w:trPr>
        <w:tc>
          <w:tcPr>
            <w:tcW w:w="10740" w:type="dxa"/>
            <w:vAlign w:val="bottom"/>
            <w:gridSpan w:val="18"/>
          </w:tcPr>
          <w:p>
            <w:pPr>
              <w:spacing w:after="0"/>
              <w:rPr>
                <w:sz w:val="20"/>
                <w:szCs w:val="20"/>
                <w:color w:val="auto"/>
              </w:rPr>
            </w:pPr>
            <w:r>
              <w:rPr>
                <w:rFonts w:ascii="Arial" w:cs="Arial" w:eastAsia="Arial" w:hAnsi="Arial"/>
                <w:sz w:val="18"/>
                <w:szCs w:val="18"/>
                <w:b w:val="1"/>
                <w:bCs w:val="1"/>
                <w:color w:val="auto"/>
              </w:rPr>
              <w:t>PART II - OTHER INFORMATION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Item 1. Legal Proceedings</w:t>
              </w:r>
            </w:hyperlink>
          </w:p>
        </w:tc>
        <w:tc>
          <w:tcPr>
            <w:tcW w:w="8580" w:type="dxa"/>
            <w:vAlign w:val="bottom"/>
            <w:gridSpan w:val="11"/>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318"/>
        </w:trPr>
        <w:tc>
          <w:tcPr>
            <w:tcW w:w="26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Item 1A. Risk Factors</w:t>
              </w:r>
            </w:hyperlink>
          </w:p>
        </w:tc>
        <w:tc>
          <w:tcPr>
            <w:tcW w:w="8880" w:type="dxa"/>
            <w:vAlign w:val="bottom"/>
            <w:gridSpan w:val="13"/>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r>
      <w:tr>
        <w:trPr>
          <w:trHeight w:val="318"/>
        </w:trPr>
        <w:tc>
          <w:tcPr>
            <w:tcW w:w="260" w:type="dxa"/>
            <w:vAlign w:val="bottom"/>
          </w:tcPr>
          <w:p>
            <w:pPr>
              <w:spacing w:after="0"/>
              <w:rPr>
                <w:sz w:val="24"/>
                <w:szCs w:val="24"/>
                <w:color w:val="auto"/>
              </w:rPr>
            </w:pPr>
          </w:p>
        </w:tc>
        <w:tc>
          <w:tcPr>
            <w:tcW w:w="49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Item 2. Unregistered Sales of Equity Securities and Use of Proceeds</w:t>
              </w:r>
            </w:hyperlink>
          </w:p>
        </w:tc>
        <w:tc>
          <w:tcPr>
            <w:tcW w:w="5560" w:type="dxa"/>
            <w:vAlign w:val="bottom"/>
            <w:gridSpan w:val="2"/>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318"/>
        </w:trPr>
        <w:tc>
          <w:tcPr>
            <w:tcW w:w="2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Item 3.</w:t>
              </w:r>
            </w:hyperlink>
          </w:p>
        </w:tc>
        <w:tc>
          <w:tcPr>
            <w:tcW w:w="9940" w:type="dxa"/>
            <w:vAlign w:val="bottom"/>
            <w:gridSpan w:val="15"/>
          </w:tcPr>
          <w:p>
            <w:pPr>
              <w:ind w:left="20"/>
              <w:spacing w:after="0"/>
              <w:rPr>
                <w:rFonts w:ascii="Arial" w:cs="Arial" w:eastAsia="Arial" w:hAnsi="Arial"/>
                <w:sz w:val="18"/>
                <w:szCs w:val="18"/>
                <w:color w:val="0000EE"/>
              </w:rPr>
            </w:pPr>
            <w:hyperlink w:anchor="page56">
              <w:r>
                <w:rPr>
                  <w:rFonts w:ascii="Arial" w:cs="Arial" w:eastAsia="Arial" w:hAnsi="Arial"/>
                  <w:sz w:val="18"/>
                  <w:szCs w:val="18"/>
                  <w:color w:val="0000EE"/>
                </w:rPr>
                <w:t>Defaults Upon Senior Securities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318"/>
        </w:trPr>
        <w:tc>
          <w:tcPr>
            <w:tcW w:w="260" w:type="dxa"/>
            <w:vAlign w:val="bottom"/>
          </w:tcPr>
          <w:p>
            <w:pPr>
              <w:spacing w:after="0"/>
              <w:rPr>
                <w:sz w:val="24"/>
                <w:szCs w:val="24"/>
                <w:color w:val="auto"/>
              </w:rPr>
            </w:pPr>
          </w:p>
        </w:tc>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Item 4.</w:t>
              </w:r>
            </w:hyperlink>
          </w:p>
        </w:tc>
        <w:tc>
          <w:tcPr>
            <w:tcW w:w="1800" w:type="dxa"/>
            <w:vAlign w:val="bottom"/>
            <w:tcBorders>
              <w:top w:val="single" w:sz="8" w:color="0000EE"/>
              <w:bottom w:val="single" w:sz="8" w:color="0000EE"/>
            </w:tcBorders>
            <w:gridSpan w:val="5"/>
          </w:tcPr>
          <w:p>
            <w:pPr>
              <w:ind w:left="20"/>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7600" w:type="dxa"/>
            <w:vAlign w:val="bottom"/>
            <w:gridSpan w:val="8"/>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318"/>
        </w:trPr>
        <w:tc>
          <w:tcPr>
            <w:tcW w:w="260" w:type="dxa"/>
            <w:vAlign w:val="bottom"/>
          </w:tcPr>
          <w:p>
            <w:pPr>
              <w:spacing w:after="0"/>
              <w:rPr>
                <w:sz w:val="24"/>
                <w:szCs w:val="24"/>
                <w:color w:val="auto"/>
              </w:rPr>
            </w:pPr>
          </w:p>
        </w:tc>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56">
              <w:r>
                <w:rPr>
                  <w:rFonts w:ascii="Arial" w:cs="Arial" w:eastAsia="Arial" w:hAnsi="Arial"/>
                  <w:sz w:val="18"/>
                  <w:szCs w:val="18"/>
                  <w:color w:val="0000EE"/>
                  <w:w w:val="94"/>
                </w:rPr>
                <w:t>Item 5.</w:t>
              </w:r>
            </w:hyperlink>
          </w:p>
        </w:tc>
        <w:tc>
          <w:tcPr>
            <w:tcW w:w="1340" w:type="dxa"/>
            <w:vAlign w:val="bottom"/>
            <w:tcBorders>
              <w:bottom w:val="single" w:sz="8" w:color="0000EE"/>
            </w:tcBorders>
            <w:gridSpan w:val="3"/>
          </w:tcPr>
          <w:p>
            <w:pPr>
              <w:ind w:left="20"/>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Other Information</w:t>
              </w:r>
            </w:hyperlink>
          </w:p>
        </w:tc>
        <w:tc>
          <w:tcPr>
            <w:tcW w:w="8600" w:type="dxa"/>
            <w:vAlign w:val="bottom"/>
            <w:gridSpan w:val="12"/>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318"/>
        </w:trPr>
        <w:tc>
          <w:tcPr>
            <w:tcW w:w="260" w:type="dxa"/>
            <w:vAlign w:val="bottom"/>
          </w:tcPr>
          <w:p>
            <w:pPr>
              <w:spacing w:after="0"/>
              <w:rPr>
                <w:sz w:val="24"/>
                <w:szCs w:val="24"/>
                <w:color w:val="auto"/>
              </w:rPr>
            </w:pPr>
          </w:p>
        </w:tc>
        <w:tc>
          <w:tcPr>
            <w:tcW w:w="540" w:type="dxa"/>
            <w:vAlign w:val="bottom"/>
            <w:gridSpan w:val="2"/>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Item 6.</w:t>
              </w:r>
            </w:hyperlink>
          </w:p>
        </w:tc>
        <w:tc>
          <w:tcPr>
            <w:tcW w:w="9940" w:type="dxa"/>
            <w:vAlign w:val="bottom"/>
            <w:gridSpan w:val="15"/>
          </w:tcPr>
          <w:p>
            <w:pPr>
              <w:ind w:left="20"/>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1216"/>
        </w:trPr>
        <w:tc>
          <w:tcPr>
            <w:tcW w:w="260" w:type="dxa"/>
            <w:vAlign w:val="bottom"/>
            <w:tcBorders>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200" w:type="dxa"/>
            <w:vAlign w:val="bottom"/>
            <w:tcBorders>
              <w:top w:val="single" w:sz="8" w:color="0000EE"/>
              <w:bottom w:val="single" w:sz="8" w:color="9A9A9A"/>
            </w:tcBorders>
          </w:tcPr>
          <w:p>
            <w:pPr>
              <w:spacing w:after="0"/>
              <w:rPr>
                <w:sz w:val="24"/>
                <w:szCs w:val="24"/>
                <w:color w:val="auto"/>
              </w:rPr>
            </w:pPr>
          </w:p>
        </w:tc>
        <w:tc>
          <w:tcPr>
            <w:tcW w:w="620" w:type="dxa"/>
            <w:vAlign w:val="bottom"/>
            <w:tcBorders>
              <w:top w:val="single" w:sz="8" w:color="0000EE"/>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704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3"/>
                <w:szCs w:val="13"/>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Current assets: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1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26,627</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58,440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116,585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28,585</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w:t>
            </w:r>
          </w:p>
        </w:tc>
        <w:tc>
          <w:tcPr>
            <w:tcW w:w="100" w:type="dxa"/>
            <w:vAlign w:val="bottom"/>
            <w:shd w:val="clear" w:color="auto" w:fill="CFF0FC"/>
          </w:tcPr>
          <w:p>
            <w:pPr>
              <w:spacing w:after="0"/>
              <w:rPr>
                <w:sz w:val="19"/>
                <w:szCs w:val="19"/>
                <w:color w:val="auto"/>
              </w:rPr>
            </w:pPr>
          </w:p>
        </w:tc>
      </w:tr>
      <w:tr>
        <w:trPr>
          <w:trHeight w:val="223"/>
        </w:trPr>
        <w:tc>
          <w:tcPr>
            <w:tcW w:w="70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145,321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88,589</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9,783</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Restricted cash</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8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FF0FC"/>
          </w:tcPr>
          <w:p>
            <w:pPr>
              <w:spacing w:after="0"/>
              <w:rPr>
                <w:sz w:val="19"/>
                <w:szCs w:val="19"/>
                <w:color w:val="auto"/>
              </w:rPr>
            </w:pPr>
          </w:p>
        </w:tc>
      </w:tr>
      <w:tr>
        <w:trPr>
          <w:trHeight w:val="263"/>
        </w:trPr>
        <w:tc>
          <w:tcPr>
            <w:tcW w:w="7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8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161,073</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99,699</w:t>
            </w:r>
          </w:p>
        </w:tc>
        <w:tc>
          <w:tcPr>
            <w:tcW w:w="100" w:type="dxa"/>
            <w:vAlign w:val="bottom"/>
            <w:tcBorders>
              <w:bottom w:val="single" w:sz="8" w:color="CFF0FC"/>
            </w:tcBorders>
          </w:tcPr>
          <w:p>
            <w:pPr>
              <w:spacing w:after="0"/>
              <w:rPr>
                <w:sz w:val="22"/>
                <w:szCs w:val="22"/>
                <w:color w:val="auto"/>
              </w:rPr>
            </w:pPr>
          </w:p>
        </w:tc>
      </w:tr>
      <w:tr>
        <w:trPr>
          <w:trHeight w:val="210"/>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Current liabilities: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1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3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2,679</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6,548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Deferred rent</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lease obligations</w:t>
            </w:r>
          </w:p>
        </w:tc>
        <w:tc>
          <w:tcPr>
            <w:tcW w:w="8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FF0FC"/>
          </w:tcPr>
          <w:p>
            <w:pPr>
              <w:spacing w:after="0"/>
              <w:rPr>
                <w:sz w:val="19"/>
                <w:szCs w:val="19"/>
                <w:color w:val="auto"/>
              </w:rPr>
            </w:pPr>
          </w:p>
        </w:tc>
      </w:tr>
      <w:tr>
        <w:trPr>
          <w:trHeight w:val="223"/>
        </w:trPr>
        <w:tc>
          <w:tcPr>
            <w:tcW w:w="7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current liabilities</w:t>
            </w:r>
          </w:p>
        </w:tc>
        <w:tc>
          <w:tcPr>
            <w:tcW w:w="8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9,027</w:t>
            </w:r>
          </w:p>
        </w:tc>
        <w:tc>
          <w:tcPr>
            <w:tcW w:w="10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Deferred revenue, net of current portion</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rent, net of current portion</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Capital lease obligations, net of current portion</w:t>
            </w:r>
          </w:p>
        </w:tc>
        <w:tc>
          <w:tcPr>
            <w:tcW w:w="8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long-term liabilities</w:t>
            </w:r>
          </w:p>
        </w:tc>
        <w:tc>
          <w:tcPr>
            <w:tcW w:w="8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8,250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5,634</w:t>
            </w:r>
          </w:p>
        </w:tc>
        <w:tc>
          <w:tcPr>
            <w:tcW w:w="100" w:type="dxa"/>
            <w:vAlign w:val="bottom"/>
            <w:shd w:val="clear" w:color="auto" w:fill="CFF0FC"/>
          </w:tcPr>
          <w:p>
            <w:pPr>
              <w:spacing w:after="0"/>
              <w:rPr>
                <w:sz w:val="19"/>
                <w:szCs w:val="19"/>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Preferred stock, $0.001 par value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5,000,000 shares authorized, none issued and outstanding as of June 30, 2018</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0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December 31, 2017</w:t>
            </w: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Common stock, $0.001 par value</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0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250,000,000 shares authorized as of June 30, 2018 and December 31, 2017.</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25,432,849 and 16,272,617 shares issued and outstanding as of June 30, 2018</w:t>
            </w: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04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and December 31, 2017, respectively.</w:t>
            </w: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20"/>
                <w:szCs w:val="20"/>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241,756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156,685</w:t>
            </w:r>
          </w:p>
        </w:tc>
        <w:tc>
          <w:tcPr>
            <w:tcW w:w="100" w:type="dxa"/>
            <w:vAlign w:val="bottom"/>
          </w:tcPr>
          <w:p>
            <w:pPr>
              <w:spacing w:after="0"/>
              <w:rPr>
                <w:sz w:val="19"/>
                <w:szCs w:val="19"/>
                <w:color w:val="auto"/>
              </w:rPr>
            </w:pP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8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(97,086)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(71,654)</w:t>
            </w:r>
          </w:p>
        </w:tc>
      </w:tr>
      <w:tr>
        <w:trPr>
          <w:trHeight w:val="223"/>
        </w:trPr>
        <w:tc>
          <w:tcPr>
            <w:tcW w:w="7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8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144,620</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85,038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04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8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161,073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99,699</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share/unit and per share/unit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Pr>
          <w:p>
            <w:pPr>
              <w:spacing w:after="0"/>
              <w:rPr>
                <w:sz w:val="14"/>
                <w:szCs w:val="14"/>
                <w:color w:val="auto"/>
              </w:rPr>
            </w:pPr>
          </w:p>
        </w:tc>
        <w:tc>
          <w:tcPr>
            <w:tcW w:w="27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June 30, 2018</w:t>
            </w:r>
          </w:p>
        </w:tc>
        <w:tc>
          <w:tcPr>
            <w:tcW w:w="16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June 30, 2017</w:t>
            </w:r>
          </w:p>
        </w:tc>
        <w:tc>
          <w:tcPr>
            <w:tcW w:w="16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June 30, 2018</w:t>
            </w:r>
          </w:p>
        </w:tc>
        <w:tc>
          <w:tcPr>
            <w:tcW w:w="16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June 30, 2017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4,734</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11,568</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27,596</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(15,352)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(9,457)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(26,988)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Interest and investment income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480"/>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(14,591)</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(25,756)</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(16,756)</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w w:val="92"/>
              </w:rPr>
              <w:t>Net loss per share attributable to common shareholders - basic and diluted</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(4.70)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0"/>
              </w:rPr>
              <w:t>Weighted-average common shares used in computing net loss per share</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attributable to common shareholders - basic and diluted</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24,803,379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1,997,228</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22,503,802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1,821,736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(14,591)</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(9,388)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(25,756)</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ind w:left="240"/>
              <w:spacing w:after="0"/>
              <w:rPr>
                <w:sz w:val="20"/>
                <w:szCs w:val="20"/>
                <w:color w:val="auto"/>
              </w:rPr>
            </w:pPr>
            <w:r>
              <w:rPr>
                <w:rFonts w:ascii="Arial" w:cs="Arial" w:eastAsia="Arial" w:hAnsi="Arial"/>
                <w:sz w:val="18"/>
                <w:szCs w:val="18"/>
                <w:color w:val="auto"/>
              </w:rPr>
              <w:t>Net unrealized gains (losses) on marketable securities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(9,388)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(25,822)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Consolidated Statements of Cash Flows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420"/>
          </w:cols>
          <w:pgMar w:left="240" w:top="337" w:right="239" w:bottom="1440" w:gutter="0" w:footer="0" w:header="0"/>
        </w:sectPr>
      </w:pPr>
    </w:p>
    <w:p>
      <w:pPr>
        <w:spacing w:after="0" w:line="298" w:lineRule="exact"/>
        <w:rPr>
          <w:sz w:val="20"/>
          <w:szCs w:val="20"/>
          <w:color w:val="auto"/>
        </w:rPr>
      </w:pPr>
    </w:p>
    <w:p>
      <w:pPr>
        <w:jc w:val="center"/>
        <w:ind w:left="7700"/>
        <w:spacing w:after="0"/>
        <w:rPr>
          <w:sz w:val="20"/>
          <w:szCs w:val="20"/>
          <w:color w:val="auto"/>
        </w:rPr>
      </w:pPr>
      <w:r>
        <w:rPr>
          <w:rFonts w:ascii="Arial" w:cs="Arial" w:eastAsia="Arial" w:hAnsi="Arial"/>
          <w:sz w:val="13"/>
          <w:szCs w:val="13"/>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13970</wp:posOffset>
            </wp:positionV>
            <wp:extent cx="9690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 w:lineRule="exact"/>
        <w:rPr>
          <w:sz w:val="20"/>
          <w:szCs w:val="20"/>
          <w:color w:val="auto"/>
        </w:rPr>
      </w:pPr>
    </w:p>
    <w:p>
      <w:pPr>
        <w:jc w:val="center"/>
        <w:ind w:left="7700"/>
        <w:spacing w:after="0"/>
        <w:rPr>
          <w:sz w:val="20"/>
          <w:szCs w:val="20"/>
          <w:color w:val="auto"/>
        </w:rPr>
      </w:pPr>
      <w:r>
        <w:rPr>
          <w:rFonts w:ascii="Arial" w:cs="Arial" w:eastAsia="Arial" w:hAnsi="Arial"/>
          <w:sz w:val="14"/>
          <w:szCs w:val="14"/>
          <w:b w:val="1"/>
          <w:bCs w:val="1"/>
          <w:color w:val="auto"/>
        </w:rPr>
        <w:t>June 30, 2018</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jc w:val="center"/>
        <w:ind w:right="480"/>
        <w:spacing w:after="0"/>
        <w:rPr>
          <w:sz w:val="20"/>
          <w:szCs w:val="20"/>
          <w:color w:val="auto"/>
        </w:rPr>
      </w:pPr>
      <w:r>
        <w:rPr>
          <w:rFonts w:ascii="Arial" w:cs="Arial" w:eastAsia="Arial" w:hAnsi="Arial"/>
          <w:sz w:val="13"/>
          <w:szCs w:val="13"/>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13970</wp:posOffset>
            </wp:positionV>
            <wp:extent cx="11664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6"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June 30, 2017</w:t>
      </w:r>
    </w:p>
    <w:p>
      <w:pPr>
        <w:spacing w:after="0" w:line="1" w:lineRule="exact"/>
        <w:rPr>
          <w:sz w:val="20"/>
          <w:szCs w:val="20"/>
          <w:color w:val="auto"/>
        </w:rPr>
      </w:pPr>
    </w:p>
    <w:p>
      <w:pPr>
        <w:sectPr>
          <w:pgSz w:w="11900" w:h="16838" w:orient="portrait"/>
          <w:cols w:equalWidth="0" w:num="2">
            <w:col w:w="9080" w:space="720"/>
            <w:col w:w="1620"/>
          </w:cols>
          <w:pgMar w:left="240" w:top="337"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(25,756)</w:t>
            </w: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(16,756)</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Equity-based compensation expense</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Common shares issued for license acquisition</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500"/>
              <w:spacing w:after="0"/>
              <w:rPr>
                <w:sz w:val="20"/>
                <w:szCs w:val="20"/>
                <w:color w:val="auto"/>
              </w:rPr>
            </w:pPr>
            <w:r>
              <w:rPr>
                <w:rFonts w:ascii="Arial" w:cs="Arial" w:eastAsia="Arial" w:hAnsi="Arial"/>
                <w:sz w:val="18"/>
                <w:szCs w:val="18"/>
                <w:color w:val="auto"/>
              </w:rPr>
              <w:t>Accretion/amortization of investment securities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7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(608)</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7400" w:type="dxa"/>
            <w:vAlign w:val="bottom"/>
          </w:tcPr>
          <w:p>
            <w:pPr>
              <w:ind w:left="740"/>
              <w:spacing w:after="0"/>
              <w:rPr>
                <w:sz w:val="20"/>
                <w:szCs w:val="20"/>
                <w:color w:val="auto"/>
              </w:rPr>
            </w:pPr>
            <w:r>
              <w:rPr>
                <w:rFonts w:ascii="Arial" w:cs="Arial" w:eastAsia="Arial" w:hAnsi="Arial"/>
                <w:sz w:val="18"/>
                <w:szCs w:val="18"/>
                <w:color w:val="auto"/>
              </w:rPr>
              <w:t>Deferred rent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(23,835)</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Purchases of marketable securities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(114,980)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maturity of marketable securities</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(2,892)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(90,427)</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capital lease obligations</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Deferred transaction costs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convertible preferred stock, net of issuance costs</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Proceeds from sale of common stock, net of issuance costs</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82,666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preferred units, net of issuance costs</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FF0FC"/>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82,449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59,537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27,724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vMerge w:val="restart"/>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Landlord funded allowance for tenant improvements</w:t>
            </w:r>
          </w:p>
        </w:tc>
        <w:tc>
          <w:tcPr>
            <w:tcW w:w="72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400" w:type="dxa"/>
            <w:vAlign w:val="bottom"/>
          </w:tcPr>
          <w:p>
            <w:pPr>
              <w:ind w:left="260"/>
              <w:spacing w:after="0"/>
              <w:rPr>
                <w:sz w:val="20"/>
                <w:szCs w:val="20"/>
                <w:color w:val="auto"/>
              </w:rPr>
            </w:pPr>
            <w:r>
              <w:rPr>
                <w:rFonts w:ascii="Arial" w:cs="Arial" w:eastAsia="Arial" w:hAnsi="Arial"/>
                <w:sz w:val="18"/>
                <w:szCs w:val="18"/>
                <w:color w:val="auto"/>
              </w:rPr>
              <w:t>Property and equipment purchases included in accounts</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380"/>
              <w:spacing w:after="0"/>
              <w:rPr>
                <w:sz w:val="20"/>
                <w:szCs w:val="20"/>
                <w:color w:val="auto"/>
              </w:rPr>
            </w:pPr>
            <w:r>
              <w:rPr>
                <w:rFonts w:ascii="Arial" w:cs="Arial" w:eastAsia="Arial" w:hAnsi="Arial"/>
                <w:sz w:val="18"/>
                <w:szCs w:val="18"/>
                <w:color w:val="auto"/>
              </w:rPr>
              <w:t>payable and accrued expenses</w:t>
            </w:r>
          </w:p>
        </w:tc>
        <w:tc>
          <w:tcPr>
            <w:tcW w:w="7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1,447</w:t>
            </w:r>
          </w:p>
        </w:tc>
        <w:tc>
          <w:tcPr>
            <w:tcW w:w="180" w:type="dxa"/>
            <w:vAlign w:val="bottom"/>
          </w:tcPr>
          <w:p>
            <w:pPr>
              <w:spacing w:after="0"/>
              <w:rPr>
                <w:sz w:val="20"/>
                <w:szCs w:val="20"/>
                <w:color w:val="auto"/>
              </w:rPr>
            </w:pP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2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Cash paid for interest</w:t>
            </w:r>
          </w:p>
        </w:tc>
        <w:tc>
          <w:tcPr>
            <w:tcW w:w="7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under capital lease</w:t>
            </w:r>
          </w:p>
        </w:tc>
        <w:tc>
          <w:tcPr>
            <w:tcW w:w="72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00" w:type="dxa"/>
            <w:vAlign w:val="bottom"/>
          </w:tcPr>
          <w:p>
            <w:pPr>
              <w:ind w:left="260"/>
              <w:spacing w:after="0"/>
              <w:rPr>
                <w:sz w:val="20"/>
                <w:szCs w:val="20"/>
                <w:color w:val="auto"/>
              </w:rPr>
            </w:pPr>
            <w:r>
              <w:rPr>
                <w:rFonts w:ascii="Arial" w:cs="Arial" w:eastAsia="Arial" w:hAnsi="Arial"/>
                <w:sz w:val="18"/>
                <w:szCs w:val="18"/>
                <w:color w:val="auto"/>
              </w:rPr>
              <w:t>Issuance costs from sale of preferred shares in accounts payable and accrued expenses</w:t>
            </w:r>
          </w:p>
        </w:tc>
        <w:tc>
          <w:tcPr>
            <w:tcW w:w="7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Adjustment to transaction costs for amounts included in accounts payable and accrued expenses</w:t>
            </w:r>
          </w:p>
        </w:tc>
        <w:tc>
          <w:tcPr>
            <w:tcW w:w="720" w:type="dxa"/>
            <w:vAlign w:val="bottom"/>
            <w:gridSpan w:val="2"/>
            <w:shd w:val="clear" w:color="auto" w:fill="CFF0FC"/>
          </w:tcPr>
          <w:p>
            <w:pPr>
              <w:jc w:val="right"/>
              <w:ind w:right="325"/>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Synlogic, Inc., together with its wholly owned and consolidated subsidiaries (“Synlogic” or the “Company”), is a clinical-stage biopharmaceutical company focused on advancing its drug discovery and development platform for Synthetic Biotic™ medicines, which are designed using synthetic biology to genetically reprogram beneficial microbes to treat metabolic and inflammatory diseases and cancer. Synthetic Biotic medicines are generated from Synlogic’s proprietary drug discovery and development platform applying the principles and tools of synthetic biology to engineer beneficial probiotic bacteria to perform or deliver critical therapeutic functions. As living medicines, Synthetic Biotic medicines can be designed to sense a local disease context within a patient’s body and to respond by metabolizing a toxic substance, by compensating for missing or damaged metabolic pathways in patients, or by delivering combinations of therapeutic factors. Synlogic’s goal is to lead in the discovery and development of Synthetic Biotic therapies as living medicines capable of robust and precise pathway complementation and delivery of therapeutic benefit.</w:t>
      </w:r>
    </w:p>
    <w:p>
      <w:pPr>
        <w:spacing w:after="0" w:line="179" w:lineRule="exact"/>
        <w:rPr>
          <w:sz w:val="20"/>
          <w:szCs w:val="20"/>
          <w:color w:val="auto"/>
        </w:rPr>
      </w:pPr>
    </w:p>
    <w:p>
      <w:pPr>
        <w:ind w:right="140" w:firstLine="518"/>
        <w:spacing w:after="0" w:line="254" w:lineRule="auto"/>
        <w:rPr>
          <w:sz w:val="20"/>
          <w:szCs w:val="20"/>
          <w:color w:val="auto"/>
        </w:rPr>
      </w:pPr>
      <w:r>
        <w:rPr>
          <w:rFonts w:ascii="Arial" w:cs="Arial" w:eastAsia="Arial" w:hAnsi="Arial"/>
          <w:sz w:val="18"/>
          <w:szCs w:val="18"/>
          <w:color w:val="auto"/>
        </w:rPr>
        <w:t xml:space="preserve">Synlogic, Inc. (“Private Synlogic” when referred to prior to the Merger (as defined below)) was founded and began operations on March 14, 2014, as TMC Therapeutics, Inc., located in Cambridge, Massachusetts. On July 15, 2014, TMC Therapeutics, Inc. changed its name to Synlogic, Inc. On July 2, 2015, the common and preferred stockholders of Private Synlogic executed the Synlogic, LLC Contribution Agreement (the “Contribution Agreement”), pursuant to which such common and preferred stockholders contributed such stockholders’ equity interests in Private Synlogic in exchange for common and preferred units in a newly formed parent company named Synlogic, LLC. In addition, Synlogic IBDCo, Inc. (“IBDCo”) was formed as a subsidiary of Synlogic, LLC (the “2015 Reorganization”). In conjunction with the 2015 Reorganization, Private Synlogic entered into a license, option and merger agreement with AbbVie S.à.r.l. (“AbbVie”), for the development of treatments for inflammatory bowel disease (“IBD”). See Note 12, </w:t>
      </w:r>
      <w:r>
        <w:rPr>
          <w:rFonts w:ascii="Arial" w:cs="Arial" w:eastAsia="Arial" w:hAnsi="Arial"/>
          <w:sz w:val="18"/>
          <w:szCs w:val="18"/>
          <w:i w:val="1"/>
          <w:iCs w:val="1"/>
          <w:color w:val="auto"/>
        </w:rPr>
        <w:t>AbbVie Collaboration</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92"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 May 2017, Private Synlogic completed a reorganization (the “2017 Reorganization”) pursuant to which Synlogic, LLC merged with and into Private Synlogic, with Private Synlogic continuing as the surviving corporation.</w:t>
      </w:r>
    </w:p>
    <w:p>
      <w:pPr>
        <w:spacing w:after="0" w:line="170"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 xml:space="preserve">On August 28, 2017, Synlogic, Inc., formerly known as Mirna Therapeutics, Inc. (NASDAQ: MIRN) (“Mirna”), completed its business combination with Private Synlogic pursuant to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Immediately after completion of the Merger, Mirna changed its name to “Synlogic, Inc.” (NASDAQ: SYBX). See Note 3, </w:t>
      </w:r>
      <w:r>
        <w:rPr>
          <w:rFonts w:ascii="Arial" w:cs="Arial" w:eastAsia="Arial" w:hAnsi="Arial"/>
          <w:sz w:val="18"/>
          <w:szCs w:val="18"/>
          <w:i w:val="1"/>
          <w:iCs w:val="1"/>
          <w:color w:val="auto"/>
        </w:rPr>
        <w:t>Merger with Mirna Therapeutics</w:t>
      </w:r>
      <w:r>
        <w:rPr>
          <w:rFonts w:ascii="Arial" w:cs="Arial" w:eastAsia="Arial" w:hAnsi="Arial"/>
          <w:sz w:val="18"/>
          <w:szCs w:val="18"/>
          <w:color w:val="auto"/>
        </w:rPr>
        <w:t>.</w:t>
      </w:r>
    </w:p>
    <w:p>
      <w:pPr>
        <w:spacing w:after="0" w:line="188" w:lineRule="exact"/>
        <w:rPr>
          <w:sz w:val="20"/>
          <w:szCs w:val="20"/>
          <w:color w:val="auto"/>
        </w:rPr>
      </w:pPr>
    </w:p>
    <w:p>
      <w:pPr>
        <w:jc w:val="both"/>
        <w:ind w:right="140" w:firstLine="518"/>
        <w:spacing w:after="0" w:line="286" w:lineRule="auto"/>
        <w:rPr>
          <w:sz w:val="20"/>
          <w:szCs w:val="20"/>
          <w:color w:val="auto"/>
        </w:rPr>
      </w:pPr>
      <w:r>
        <w:rPr>
          <w:rFonts w:ascii="Arial" w:cs="Arial" w:eastAsia="Arial" w:hAnsi="Arial"/>
          <w:sz w:val="17"/>
          <w:szCs w:val="17"/>
          <w:color w:val="auto"/>
        </w:rPr>
        <w:t>The Company operates in one operating segment: the discovery and development of Synthetic Biotic medicines. The Company’s principal executive officer, as chief operating decision maker, manages and allocates resources to the operations of the Company on a total company basis. Since incorporation, the Company has devoted substantially all of its efforts to the research and development of its product candidates.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At June 30, 2018, the Company had $143.2 million in cash, cash equivalents, and marketable securities, $1.1 million of restricted cash and an accumulated deficit of $97.1 million. Since its inception through June 30, 2018, the Company has primarily financed its operations through the issuance of preferred stock and units, the sale of its common stock, the AbbVie collaboration, and cash received in the Merger. In the absence of positive cash flows from operations, the Company is highly dependent on its ability to find additional sources of funding in the form of debt or equity financing. In April 2018, the Company sold a total of 3,280,000 shares of its common stock in a registered direct offering at a price of $9.15 per share. After fees and other offering expenses, the Company received $28.9 million in net proceeds from this offering. Management believes that the Company has sufficient cash to fund its operations through at least twelve months from the issuance of these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partnerships.</w:t>
      </w:r>
    </w:p>
    <w:p>
      <w:pPr>
        <w:spacing w:after="0" w:line="273"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significant accounting policies described in the Company’s audited financial statements as of and for the year ended December 31, 2017, and the notes thereto, which are included in the Company’s Annual Report on Form 10-K for the year ended December 31, 2017, filed with the Securities and Exchange Commission (“SEC”) on March 20, 2018, have had no material changes during the three and six months ended June 30, 2018, other than our adoption of ASC 606 (as defined below) which is discussed in detail in this note.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The accompanying consolidated financial statements and the related disclosures as of June 30, 2018 and for the three and six months ended June 30, 2018 and 2017 are unaudited and have been prepared in accordance with accounting principles generally accepted in the United States (“GAAP”) and the rules and regulations of the Securities and Exchange Commission (“SEC”) for interim financial statements. Accordingly, they do not include all of the information and notes required by GAAP for complete financial statements. These interim consolidated financial statements should be read in conjunction with the Company’s 2017 and 2016 audited consolidated financial statements and notes included in the Company’s Annual Report on Form 10-K filed with the SEC on March 20, 2018. The December 31, 2017 consolidated balance sheet included herein was derived from the audited financial statements as of that date, but does not include all disclosures including notes required by 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and six months ended June 30, 2018 and 2017. The results of operations for the interim periods are not necessarily indicative of the results to be expected for the year ending December 31, 2018 or any other interim period or future year or period.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 xml:space="preserve">In May 2014, the Financial Accounting Standards Board, or FASB, issued Accounting Standards Update, or ASU, No. 2014-09, which amends the guidance for accounting for revenue from contracts with customers. This ASU supersedes the revenue recognition requirements in Accounting Standards Codification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(“ASC 605”) and creates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In 2015 and 2016, the FASB issued additional ASUs related to ASC 606 that delayed the effective date of the guidance and clarified various aspects of the new revenue guidance, including principal versus agent considerations, identifying performance obligations, and licensing, and they include other improvements and practical expedients.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Effective January 1, 2018, the Company adopted ASC 606 using the modified retrospective transition method. Under this method, results for reporting periods beginning after January 1, 2018 are presented under ASC 606, while prior period amounts are not adjusted and continue to be reported in accordance with ASC 605. This standard applies to all contracts with customers, except for contracts that are within the scope of other standards, such as leases, insurance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five-step analysis: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analysis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69"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 may enter into collaboration agreements for research and development services, under which the Company may license certain rights to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Any variable consideration is constrained, and therefore the cumulative revenue associated with the consideration is not recognized, until it is deemed not be at significant risk of reversal.</w:t>
      </w:r>
    </w:p>
    <w:p>
      <w:pPr>
        <w:spacing w:after="0" w:line="188"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each of its agreements for which the collaboration partner is also a customer,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 (ii) above; b) the transaction price under step (iii) above; and c) the contract term and pattern of satisfaction of the performance obligations under step (v) above. The Company uses significant judgment to determine whether milestones or other variable consideration, except for royalties, should be included in the transaction price as described further below. The transaction price is allocated to the goods and services the Company expects to provide. The Company uses estimates to determine the timing of satisfaction of performance obligations, which may include the use of full time employees (“FTE”) as a measure of satisfaction of performance obligations.</w:t>
      </w:r>
    </w:p>
    <w:p>
      <w:pPr>
        <w:spacing w:after="0" w:line="169"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Amounts received prior to satisfying the revenue recognition criteria are recorded as deferred revenue in the Company’s consolidated balance sheets.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Licenses of Intellectual Property</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assessing whether a promise or performance obligation is distinct from the other promises, the Company considers factors such as the research, manufacturing and commercialization capabilities of the customer and the availability of the associated expertise in the general marketplace. In addition, the Company considers whether the customer can benefit from a promise for its intended purpose without the receipt of the remaining promises,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Services</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If an arrangement is determined to contain a promise or obligation for the company to perform research and development services, the Company must determine whether these services are distinct from the other promises in the arrangement. In assessing whether the services are distinct from the other promises, the Company considers the capabilities of the customer to perform these same services. In addition, the Company considers whether the customer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research and development services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Customer Options</w:t>
      </w:r>
    </w:p>
    <w:p>
      <w:pPr>
        <w:spacing w:after="0" w:line="117"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that is, the option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an alternative approach when the goods or services are both (i) similar to the original goods and services in the contract and (ii) provided in accordance with the terms of the original contract. Under this alternative, the Company allocates the total amount of consideration expected to be received from the customer to the total goods or services expected to be provided to the customer. Amounts allocated to a material right are not recognized as revenue until the option is exercised and the performance obligation is satisfied.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Milestone Payments</w:t>
      </w:r>
    </w:p>
    <w:p>
      <w:pPr>
        <w:spacing w:after="0" w:line="117"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At the inception of each arrangement that includes milestone payments, the Company evaluates whether a significant reversal of cumulative revenue provided in conjunction with achieving the milestones is probable and estimates the amount to be included in the transaction price using the most likely amount method. If it is probable that a significant reversal of cumulative revenue would not occur, the associated milestone value is included in the transaction price. Milestone payments that are not within the control of the Company or the licensee, such as regulatory approvals, are not considered probable of being achieved until those approvals are received. For other milestones,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reversal of cumulative revenue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Royalties</w:t>
      </w:r>
    </w:p>
    <w:p>
      <w:pPr>
        <w:spacing w:after="0" w:line="1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For arrangements that include sales-based royalties, including milestone payments based on a level of sales, and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costs</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The Company recognizes as an asset the incremental costs of obtaining a contract with a customer if the costs are expected to be recovered. As a practical expedient, the Company recognizes the incremental costs of obtaining a contract as an expense when incurred if the amortization period of the asset that we otherwise would have recognized is one year or less. To date, the Company has not incurred any incremental costs of obtaining a contract with a customer.</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For additional discussion of accounting for collaboration revenues, see Note 12, </w:t>
      </w:r>
      <w:r>
        <w:rPr>
          <w:rFonts w:ascii="Arial" w:cs="Arial" w:eastAsia="Arial" w:hAnsi="Arial"/>
          <w:sz w:val="18"/>
          <w:szCs w:val="18"/>
          <w:i w:val="1"/>
          <w:iCs w:val="1"/>
          <w:color w:val="auto"/>
        </w:rPr>
        <w:t>AbbVie Collaboration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Impact of Adoption</w:t>
      </w:r>
    </w:p>
    <w:p>
      <w:pPr>
        <w:spacing w:after="0" w:line="117"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As a result of adopting ASC 606 on January 1, 2018, the Company recorded a cumulative-effect decrease to opening accumulated deficit of $0.3 million as of January 1, 2018 and a corresponding decrease to deferred revenue. Total revenue recorded in the three and six months ended June 30, 2018 under ASC 606 was $0.3 million and $0.6 million, respectively, as compared to $0.1 million and $0.2 million, respectively, that would have been recorded under ASC 605. Deferred revenue as of June 30, 2018 was $0.2 million under ASC 606, as compared to a balance of $0.9 million which would have resulted under ASC 605.</w:t>
      </w:r>
    </w:p>
    <w:p>
      <w:pPr>
        <w:spacing w:after="0" w:line="188"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The most significant changes relate to the Company’s revenue recognition pattern for the AbbVie Collaboration Agreement and the accounting for milestone payments.</w:t>
      </w:r>
    </w:p>
    <w:p>
      <w:pPr>
        <w:spacing w:after="0" w:line="170" w:lineRule="exact"/>
        <w:rPr>
          <w:sz w:val="20"/>
          <w:szCs w:val="20"/>
          <w:color w:val="auto"/>
        </w:rPr>
      </w:pPr>
    </w:p>
    <w:p>
      <w:pPr>
        <w:ind w:right="140" w:firstLine="518"/>
        <w:spacing w:after="0" w:line="221" w:lineRule="exact"/>
        <w:rPr>
          <w:sz w:val="20"/>
          <w:szCs w:val="20"/>
          <w:color w:val="auto"/>
        </w:rPr>
      </w:pPr>
      <w:r>
        <w:rPr>
          <w:rFonts w:ascii="Arial" w:cs="Arial" w:eastAsia="Arial" w:hAnsi="Arial"/>
          <w:sz w:val="17"/>
          <w:szCs w:val="17"/>
          <w:color w:val="auto"/>
        </w:rPr>
        <w:t>Under ASC 605, the Company was recognizing the revenue allocated to each unit of accounting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period the Company is expected to complete its obligations. Under ASC 606, the Company is recognizing the revenue allocated to each performance obligation measuring progress using an input method over the period the Company is expected to complete each performance obligation.</w:t>
      </w:r>
    </w:p>
    <w:p>
      <w:pPr>
        <w:spacing w:after="0" w:line="202" w:lineRule="exact"/>
        <w:rPr>
          <w:sz w:val="20"/>
          <w:szCs w:val="20"/>
          <w:color w:val="auto"/>
        </w:rPr>
      </w:pPr>
    </w:p>
    <w:p>
      <w:pPr>
        <w:jc w:val="both"/>
        <w:ind w:right="180" w:firstLine="518"/>
        <w:spacing w:after="0" w:line="257" w:lineRule="auto"/>
        <w:rPr>
          <w:sz w:val="20"/>
          <w:szCs w:val="20"/>
          <w:color w:val="auto"/>
        </w:rPr>
      </w:pPr>
      <w:r>
        <w:rPr>
          <w:rFonts w:ascii="Arial" w:cs="Arial" w:eastAsia="Arial" w:hAnsi="Arial"/>
          <w:sz w:val="18"/>
          <w:szCs w:val="18"/>
          <w:color w:val="auto"/>
        </w:rPr>
        <w:t xml:space="preserve">Under ASC 605, the Company recognized revenue related to milestone payments as the milestone was achieved, using the milestone method. Under ASC 606, the Company determined that the milestones at the beginning of certain research and development phases represent a 90-day contract with daily customer renewal options for the Company’s continued research and development services. As a result, revenue from these milestones is recognized over a performance obligation consisting of the next phase of research and development services. For further discussion of the adoption of this standard, see Note 12, </w:t>
      </w:r>
      <w:r>
        <w:rPr>
          <w:rFonts w:ascii="Arial" w:cs="Arial" w:eastAsia="Arial" w:hAnsi="Arial"/>
          <w:sz w:val="18"/>
          <w:szCs w:val="18"/>
          <w:i w:val="1"/>
          <w:iCs w:val="1"/>
          <w:color w:val="auto"/>
        </w:rPr>
        <w:t>AbbVie Collaboration Agreement</w:t>
      </w:r>
      <w:r>
        <w:rPr>
          <w:rFonts w:ascii="Arial" w:cs="Arial" w:eastAsia="Arial" w:hAnsi="Arial"/>
          <w:sz w:val="18"/>
          <w:szCs w:val="18"/>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117"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In May 2017, the FASB issued ASU 2017-09, Compensation – Stock Compensation (Topic 718): Scope Modification Accounting. The new standard is intended to reduce the diversity in practice and cost and complexity when applying the guidance in Topic 718 to a change to the terms or conditions of a share-based payment award. The new standard will be effective for annual reporting periods and interim periods within those annual periods, beginning after December 15, 2017. The amendments in this update will be applied prospectively to an award modified on or after the adoption date. The Company adopted this standard as of January 1, 2018 and it did not have a material impact on the Company’s financial position or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480" w:firstLine="518"/>
        <w:spacing w:after="0" w:line="264" w:lineRule="auto"/>
        <w:rPr>
          <w:sz w:val="20"/>
          <w:szCs w:val="20"/>
          <w:color w:val="auto"/>
        </w:rPr>
      </w:pPr>
      <w:r>
        <w:rPr>
          <w:rFonts w:ascii="Arial" w:cs="Arial" w:eastAsia="Arial" w:hAnsi="Arial"/>
          <w:sz w:val="18"/>
          <w:szCs w:val="18"/>
          <w:color w:val="auto"/>
        </w:rPr>
        <w:t>The recently issued accounting pronouncements described in the Company’s consolidated financial statements as of and for the year ended December 31, 2017, and the notes thereto included in the Company’s Annual Report on Form 10-K filed with the SEC on March 20, 2018, have had no material changes during the three and six months ended June 30, 2018, except as described below.</w:t>
      </w:r>
    </w:p>
    <w:p>
      <w:pPr>
        <w:spacing w:after="0" w:line="18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February 2016, the FASB issued ASU 2016-02 – Leases (Topic 842), which replaces the existing accounting guidance for leases. This standard requires entities that lease assets to recognize the assets and liabilities for the rights and obligations created by those leases on the balance sheet. The standard is effective for fiscal years and the interim periods within those fiscal years beginning after December 15, 2018. The guidance is required to be applied by the modified retrospective transition approach and early adoption is permitted. The Company is continuing to evaluate the new lease guidance and is in the process of evaluating its existing population of contracts to ensure all contracts that meet the definition of a lease contract under the new standard are identified. As a result, the Company is currently assessing the impact that adoption of this guidance will have on its financial statements and footnote disclosures and it anticipates it will result in an increase in assets and liabilities.</w:t>
      </w:r>
    </w:p>
    <w:p>
      <w:pPr>
        <w:spacing w:after="0" w:line="178"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In February 2018, the FASB issued ASU 2018-02 – Income Statement – Reporting Comprehensive Income (Topic 220), which provides amended guidance on income tax accounting. The amended guidance permits the reclassification of the income tax effect on amounts recorded within other comprehensive income impacted by the Tax Cuts and Jobs Act into retained earnings. The amended guidance is effective for periods ending after December 15, 2018 and applies only to those amounts remaining in Other Comprehensive Income at the date of enactment of the Act. The amended guidance may be adopted on either a retrospective basis or at the beginning of the period of adoption. The Company is assessing the potential impact of the amended standard but does not expect it to have a material impact on its consolidated financial statements.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In March 2018, the FASB issued Accounting Standards Update No. 2018-05, Income Taxes (Topic 740): Amendments to SEC Paragraphs Pursuant to SEC Staff Accounting Bulletin No. 118 (“ASU 2018-05”). The standard amends Accounting Standards Codification 740, Income Taxes (“ASC 740”), to provide guidance on accounting for the tax effects of the Tax Act pursuant to Staff Accounting Bulletin No. 118. The Company is currently evaluating the new guidance included in ASU 2018-05, but does not expect it to have a material impact on its consolidated financial statements.</w:t>
      </w:r>
    </w:p>
    <w:p>
      <w:pPr>
        <w:spacing w:after="0" w:line="154"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In June 2018, the FASB issued Accounting Standards Update No. 2018-07, Compensation—Stock Compensation (Topic 718): Improvements to Nonemployee Share-Based Payment Accounting (ASU “2018-07”). The standard is effective for fiscal years beginning after December 15, 2018, including interim periods within that fiscal year. Early adoption is permitted, but no earlier than an entity’s adoption date of ASC 606. The standard expands the scope of ASC 718 to include all share-based payment arrangements related to the acquisition of goods and services from both nonemployees and employees. Under the amended guidance, equity-classified share-based payment awards issued to nonemployees will be measured at grant date fair value. Upon transition, the entity is required to remeasure these nonemployee awards at fair value as of the adoption date. The Company is currently evaluating the new guidance but does not expect it to have a material impact on its consolidated financial statements.</w:t>
      </w:r>
    </w:p>
    <w:p>
      <w:pPr>
        <w:spacing w:after="0" w:line="282"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Merger with Mirna Therapeutics</w:t>
      </w:r>
    </w:p>
    <w:p>
      <w:pPr>
        <w:spacing w:after="0" w:line="12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On August 28, 2017, Synlogic, Inc., formerly known as Mirna, completed its business combination with Private Synlogic in accordance with the terms of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On August 25, 2017, in connection with, and prior to the completion of, the Merger, Mirna effected a 1:7 reverse stock split of its common stock (the “Reverse Stock Split”), and on August 28, 2017, immediately after completion of the Merger, Mirna changed its name to “Synlogic, Inc.” (NASDAQ: SYBX). Pursuant to the terms of the Merger Agreement and after giving effect to the Reverse Stock Split, at the effective time of the Merger (the “Effective Time”), each outstanding share of Private Synlogic capital stock was converted into the right to receive approximately 0.5532 shares of Mirna common stock (the “Exchange Ratio”). In addition, at the Effective Time, Mirna assumed all outstanding options to purchase shares of Private Synlogic common stock, which were exchanged for options to purchase shares of Mirna common stock, in each case appropriately adjusted based on the Exchange Ratio. Mirna also assumed the 2017 Plan. Immediately after the Merger, there were 16,282,496 shares of common stock outstanding.</w:t>
      </w:r>
    </w:p>
    <w:p>
      <w:pPr>
        <w:spacing w:after="0" w:line="169" w:lineRule="exact"/>
        <w:rPr>
          <w:sz w:val="20"/>
          <w:szCs w:val="20"/>
          <w:color w:val="auto"/>
        </w:rPr>
      </w:pPr>
    </w:p>
    <w:p>
      <w:pPr>
        <w:ind w:right="160" w:firstLine="518"/>
        <w:spacing w:after="0" w:line="288" w:lineRule="auto"/>
        <w:rPr>
          <w:sz w:val="20"/>
          <w:szCs w:val="20"/>
          <w:color w:val="auto"/>
        </w:rPr>
      </w:pPr>
      <w:r>
        <w:rPr>
          <w:rFonts w:ascii="Arial" w:cs="Arial" w:eastAsia="Arial" w:hAnsi="Arial"/>
          <w:sz w:val="16"/>
          <w:szCs w:val="16"/>
          <w:color w:val="auto"/>
        </w:rPr>
        <w:t>For accounting purposes, Private Synlogic is considered to have acquired Mirna in the Merger. Private Synlogic was determined to be the accounting acquirer based upon the terms of the Merger and other factors including: (i) Private Synlogic stockholders owned approximately 83% of the combined company immediately following the closing of the Merger, (ii) Private Synlogic directors held five of the seven board seats in the combined company, and</w:t>
      </w:r>
    </w:p>
    <w:p>
      <w:pPr>
        <w:ind w:right="40" w:firstLine="8"/>
        <w:spacing w:after="0" w:line="271" w:lineRule="auto"/>
        <w:tabs>
          <w:tab w:leader="none" w:pos="315"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Private Synlogic management held all key positions in the management of the combined company. The Merger was accounted for as an asset acquisition rather than a business combination because the assets acquired and liabilities assumed by the Company did not meet the definition of a business as defined by ASU 2017-01. The net assets acquired in connection with this transaction were recorded at their estimated acquisition date fair values as of August 28, 2017, the date the Merger was completed (the “Merger Closing Date”). For additional disclosure related to the Merger, see Note 3, </w:t>
      </w:r>
      <w:r>
        <w:rPr>
          <w:rFonts w:ascii="Arial" w:cs="Arial" w:eastAsia="Arial" w:hAnsi="Arial"/>
          <w:sz w:val="17"/>
          <w:szCs w:val="17"/>
          <w:i w:val="1"/>
          <w:iCs w:val="1"/>
          <w:color w:val="auto"/>
        </w:rPr>
        <w:t>Merger with Mirna</w:t>
      </w:r>
      <w:r>
        <w:rPr>
          <w:rFonts w:ascii="Arial" w:cs="Arial" w:eastAsia="Arial" w:hAnsi="Arial"/>
          <w:sz w:val="17"/>
          <w:szCs w:val="17"/>
          <w:color w:val="auto"/>
        </w:rPr>
        <w:t>, in the Company’s Annual Report on Form 10-K filed with the SEC on March 20, 2018.</w:t>
      </w:r>
    </w:p>
    <w:p>
      <w:pPr>
        <w:spacing w:after="0" w:line="323"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Arial" w:cs="Arial" w:eastAsia="Arial" w:hAnsi="Arial"/>
          <w:sz w:val="18"/>
          <w:szCs w:val="18"/>
          <w:i w:val="1"/>
          <w:iCs w:val="1"/>
          <w:color w:val="auto"/>
        </w:rPr>
        <w:t>,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audited financial statements included in the Company’s Annual Report on From 10-K for the year ended December 31, 2017,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SEC on March 20, 2018.</w:t>
      </w:r>
    </w:p>
    <w:p>
      <w:pPr>
        <w:spacing w:after="0" w:line="18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At June 30, 2018 and December 31, 2017, the Company has classified assets measured at fair value on a recurring basis as follows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60" w:type="dxa"/>
            <w:vAlign w:val="bottom"/>
            <w:gridSpan w:val="12"/>
          </w:tcPr>
          <w:p>
            <w:pPr>
              <w:ind w:left="78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89"/>
              </w:rPr>
              <w:t>June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20" w:type="dxa"/>
            <w:vAlign w:val="bottom"/>
          </w:tcPr>
          <w:p>
            <w:pPr>
              <w:ind w:left="22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 (included in cash and</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equivalents)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15,658</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Corporate debt securities (included in cash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and cash equivalents)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 (included in short-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investments)</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116,585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116,585</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134,242</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15,658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118,584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60" w:type="dxa"/>
            <w:vAlign w:val="bottom"/>
            <w:gridSpan w:val="12"/>
          </w:tcPr>
          <w:p>
            <w:pPr>
              <w:ind w:left="78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0"/>
              </w:rPr>
              <w:t>Quoted Prices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center"/>
              <w:ind w:right="18"/>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Identical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62"/>
        </w:trPr>
        <w:tc>
          <w:tcPr>
            <w:tcW w:w="5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20" w:type="dxa"/>
            <w:vAlign w:val="bottom"/>
          </w:tcPr>
          <w:p>
            <w:pPr>
              <w:ind w:left="22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8"/>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5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 (included in cash and</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equivalents)</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20" w:type="dxa"/>
            <w:vAlign w:val="bottom"/>
          </w:tcPr>
          <w:p>
            <w:pPr>
              <w:spacing w:after="0"/>
              <w:rPr>
                <w:sz w:val="20"/>
                <w:szCs w:val="20"/>
                <w:color w:val="auto"/>
              </w:rPr>
            </w:pPr>
            <w:r>
              <w:rPr>
                <w:rFonts w:ascii="Arial" w:cs="Arial" w:eastAsia="Arial" w:hAnsi="Arial"/>
                <w:sz w:val="18"/>
                <w:szCs w:val="18"/>
                <w:color w:val="auto"/>
              </w:rPr>
              <w:t>Corporate debt securities (included in cash</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Arial" w:cs="Arial" w:eastAsia="Arial" w:hAnsi="Arial"/>
                <w:sz w:val="18"/>
                <w:szCs w:val="18"/>
                <w:color w:val="auto"/>
              </w:rPr>
              <w:t>and cash equivalents)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11,405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11,405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 (included in short-</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term investments)</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28,585</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28,585</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61,291</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39,990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June 30, 2018 and December 31, 2017 are carried at amounts that approximate fair value due to their short-term maturities. Capital lease obligations at June 30, 2018 and December 31, 2017 approximate fair value as they bear interest at a rate approximating a market interest rate.</w:t>
      </w:r>
    </w:p>
    <w:p>
      <w:pPr>
        <w:spacing w:after="0" w:line="285"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available-for-sale securities held at June 30, 2018 and December 31, 2017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Amortized cost</w:t>
            </w:r>
          </w:p>
        </w:tc>
        <w:tc>
          <w:tcPr>
            <w:tcW w:w="1280" w:type="dxa"/>
            <w:vAlign w:val="bottom"/>
            <w:gridSpan w:val="3"/>
          </w:tcPr>
          <w:p>
            <w:pPr>
              <w:ind w:left="220"/>
              <w:spacing w:after="0"/>
              <w:rPr>
                <w:sz w:val="20"/>
                <w:szCs w:val="20"/>
                <w:color w:val="auto"/>
              </w:rPr>
            </w:pPr>
            <w:r>
              <w:rPr>
                <w:rFonts w:ascii="Arial" w:cs="Arial" w:eastAsia="Arial" w:hAnsi="Arial"/>
                <w:sz w:val="14"/>
                <w:szCs w:val="14"/>
                <w:b w:val="1"/>
                <w:bCs w:val="1"/>
                <w:color w:val="auto"/>
                <w:w w:val="91"/>
              </w:rPr>
              <w:t>Gross unrealized</w:t>
            </w:r>
          </w:p>
        </w:tc>
        <w:tc>
          <w:tcPr>
            <w:tcW w:w="1480" w:type="dxa"/>
            <w:vAlign w:val="bottom"/>
            <w:gridSpan w:val="4"/>
          </w:tcPr>
          <w:p>
            <w:pPr>
              <w:ind w:left="200"/>
              <w:spacing w:after="0"/>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96"/>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116,660</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116,660</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20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24"/>
                <w:szCs w:val="2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Amortized cost</w:t>
            </w:r>
          </w:p>
        </w:tc>
        <w:tc>
          <w:tcPr>
            <w:tcW w:w="1280" w:type="dxa"/>
            <w:vAlign w:val="bottom"/>
            <w:gridSpan w:val="3"/>
          </w:tcPr>
          <w:p>
            <w:pPr>
              <w:ind w:left="220"/>
              <w:spacing w:after="0"/>
              <w:rPr>
                <w:sz w:val="20"/>
                <w:szCs w:val="20"/>
                <w:color w:val="auto"/>
              </w:rPr>
            </w:pPr>
            <w:r>
              <w:rPr>
                <w:rFonts w:ascii="Arial" w:cs="Arial" w:eastAsia="Arial" w:hAnsi="Arial"/>
                <w:sz w:val="14"/>
                <w:szCs w:val="14"/>
                <w:b w:val="1"/>
                <w:bCs w:val="1"/>
                <w:color w:val="auto"/>
                <w:w w:val="91"/>
              </w:rPr>
              <w:t>Gross unrealized</w:t>
            </w:r>
          </w:p>
        </w:tc>
        <w:tc>
          <w:tcPr>
            <w:tcW w:w="1480" w:type="dxa"/>
            <w:vAlign w:val="bottom"/>
            <w:gridSpan w:val="4"/>
          </w:tcPr>
          <w:p>
            <w:pPr>
              <w:ind w:left="200"/>
              <w:spacing w:after="0"/>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96"/>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28,593</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contractual maturity of all securities held at June 30, 2018 was one year or less. There were 27 and seven investments in an unrealized loss position at June 30, 2018 and December 31, 2017, respectively, none of which had been in an unrealized loss position for more than twelve months. The aggregate fair value of the securities in an unrealized loss position at June 30, 2018 and December 31, 2017 was $99.0 million and $19.3 million, respectively. The Company reviews its investments for other-than-temporary impairment whenever the fair value of an investment is less than amortized cost and evidence indicates that an investment’s carrying</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70"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June 30, 2018.</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354"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(in thousands):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4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4"/>
                <w:szCs w:val="14"/>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2,999</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9,389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7,017</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12,898</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(1,783)</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(3,115)</w:t>
            </w:r>
          </w:p>
        </w:tc>
      </w:tr>
      <w:tr>
        <w:trPr>
          <w:trHeight w:val="223"/>
        </w:trPr>
        <w:tc>
          <w:tcPr>
            <w:tcW w:w="5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9,783</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The Company has entered into leases for certain laboratory equipment which were capital leases. The leases had either a present value of expected payments in excess of 90% of the fair value of the equipment or a bargain purchase option at the end of the lease. As such, as of June 30, 2018 and December 31, 2017 the Company had $1.3 million and $1.4 million, respectively, of assets under a capital lease, having accumulated depreciation of $0.3 million and $0.2 million, respectively.</w:t>
      </w:r>
    </w:p>
    <w:p>
      <w:pPr>
        <w:spacing w:after="0" w:line="291"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consists of the following (in thousands):</w:t>
      </w:r>
    </w:p>
    <w:p>
      <w:pPr>
        <w:spacing w:after="0" w:line="325"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35"/>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4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FF0FC"/>
            </w:tcBorders>
          </w:tcPr>
          <w:p>
            <w:pPr>
              <w:spacing w:after="0"/>
              <w:rPr>
                <w:sz w:val="14"/>
                <w:szCs w:val="14"/>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Payroll related</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6,548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4,823</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Other accrued expenses include $1.5 million and $31,000 in partially-completed fixed assets recorded in construction in progress at June 30, 2018 and December 31, 2017, respectively.</w:t>
      </w:r>
    </w:p>
    <w:p>
      <w:pPr>
        <w:spacing w:after="0" w:line="27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Company’s common stock has the following characteristics:</w:t>
      </w:r>
    </w:p>
    <w:p>
      <w:pPr>
        <w:spacing w:after="0" w:line="117" w:lineRule="exact"/>
        <w:rPr>
          <w:rFonts w:ascii="Arial" w:cs="Arial" w:eastAsia="Arial" w:hAnsi="Arial"/>
          <w:sz w:val="18"/>
          <w:szCs w:val="18"/>
          <w:b w:val="1"/>
          <w:bCs w:val="1"/>
          <w:color w:val="auto"/>
        </w:rPr>
      </w:pPr>
    </w:p>
    <w:p>
      <w:pPr>
        <w:ind w:left="1040" w:hanging="519"/>
        <w:spacing w:after="0"/>
        <w:tabs>
          <w:tab w:leader="none" w:pos="104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holders of shares of common stock are entitled to one vote for each share of common stock held at all meetings of stockholders.</w:t>
      </w:r>
    </w:p>
    <w:p>
      <w:pPr>
        <w:spacing w:after="0" w:line="128" w:lineRule="exact"/>
        <w:rPr>
          <w:rFonts w:ascii="Arial" w:cs="Arial" w:eastAsia="Arial" w:hAnsi="Arial"/>
          <w:sz w:val="17"/>
          <w:szCs w:val="17"/>
          <w:color w:val="auto"/>
        </w:rPr>
      </w:pPr>
    </w:p>
    <w:p>
      <w:pPr>
        <w:ind w:left="1040" w:right="340" w:hanging="519"/>
        <w:spacing w:after="0" w:line="277" w:lineRule="auto"/>
        <w:tabs>
          <w:tab w:leader="none" w:pos="10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holders of shares of common stock are entitled to receive dividends, if and when, declared by the Company’s board of directors. Since inception, no cash dividends have been declared.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280" w:firstLine="518"/>
        <w:spacing w:after="0" w:line="308" w:lineRule="auto"/>
        <w:rPr>
          <w:sz w:val="20"/>
          <w:szCs w:val="20"/>
          <w:color w:val="auto"/>
        </w:rPr>
      </w:pPr>
      <w:r>
        <w:rPr>
          <w:rFonts w:ascii="Arial" w:cs="Arial" w:eastAsia="Arial" w:hAnsi="Arial"/>
          <w:sz w:val="17"/>
          <w:szCs w:val="17"/>
          <w:color w:val="auto"/>
        </w:rPr>
        <w:t>On April 10, 2018, the Company sold 3,280,000 shares of its common stock through a registered direct offering at a price to the public of $9.15 per share. As a result of the offering, the Company received aggregate net proceeds of $28.9 million, after fees and other offering expenses.</w:t>
      </w:r>
    </w:p>
    <w:p>
      <w:pPr>
        <w:spacing w:after="0" w:line="14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On January 26, 2018, the Company sold 5,130,000 shares of its common stock through a firm commitment, underwritten public offering at a price to the public of $9.75 per share. On January 31, 2018, the underwriters elected to exercise their option to purchase 769,500 additional shares of common stock at the public offering price, less underwriting discounts and commissions. As a result of the offering, including the exercise of the overallotment option, the Company received aggregate net proceeds of $53.8 million, after underwriting discounts and commissions and other offering expenses.At June 30, 2018, the Company held forfeiture rights relating to 250,871 shares of common stock. The forfeiture right lapses over time and is triggered when a holder ceases providing services to the Company.</w:t>
      </w:r>
    </w:p>
    <w:p>
      <w:pPr>
        <w:spacing w:after="0" w:line="297"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of Synlogic, Inc.</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Company’s preferred stock may be issued from time to time in one or more series, with each such series to consist of such number of shares and to have such terms as adopted by the board of directors. Authority is given to the board of directors to determine and fix such voting powers, full or limited, or no voting powers, and such designations, preferences and relative participating, optional or other special rights, and qualifications, limitation or restrictions thereof, including without limitation, dividend rights, conversion rights, redemption privileges and liquidation preferences. At June 30, 2018 and December 31, 2017, no shares of preferred stock had been issued.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of Private Synlogic</w:t>
      </w:r>
    </w:p>
    <w:p>
      <w:pPr>
        <w:spacing w:after="0" w:line="117" w:lineRule="exact"/>
        <w:rPr>
          <w:sz w:val="20"/>
          <w:szCs w:val="20"/>
          <w:color w:val="auto"/>
        </w:rPr>
      </w:pPr>
    </w:p>
    <w:p>
      <w:pPr>
        <w:ind w:right="340" w:firstLine="518"/>
        <w:spacing w:after="0" w:line="286" w:lineRule="auto"/>
        <w:rPr>
          <w:sz w:val="20"/>
          <w:szCs w:val="20"/>
          <w:color w:val="auto"/>
        </w:rPr>
      </w:pPr>
      <w:r>
        <w:rPr>
          <w:rFonts w:ascii="Arial" w:cs="Arial" w:eastAsia="Arial" w:hAnsi="Arial"/>
          <w:sz w:val="17"/>
          <w:szCs w:val="17"/>
          <w:color w:val="auto"/>
        </w:rPr>
        <w:t>Prior to the Merger, Private Synlogic had contingently redeemable preferred stock and three series of convertible preferred stock. On the Merger Closing Date, Mirna issued shares of its common stock to holders of these shares, at an exchange rate of 0.5532 shares of common stock, after taking into account the Reverse Stock Split, in exchange for each share of preferred stock outstanding immediately prior to the Merger.</w:t>
      </w:r>
    </w:p>
    <w:p>
      <w:pPr>
        <w:spacing w:after="0" w:line="166"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Pursuant to, and at the time of, the 2017 Reorganization, preferred stock was granted to all holders of preferred units. The Private Synlogic preferred stock had substantially similar rights and preferences as the preferred units, except that the preferred stock was convertible into common stock at the option of the holder, on a one-for-one basis, subject to an anti-dilution adjustment. Conversion of the preferred stock would have been automatically triggered upon a firm-commitment underwritten public offering or upon a supermajority preferred interest vote. For a description of the rights and preferences of the preferred stock of Private Synlogic, refer to the Company’s Annual Report on Form 10-K filed with the SEC on March 20, 2018.</w:t>
      </w:r>
    </w:p>
    <w:p>
      <w:pPr>
        <w:spacing w:after="0" w:line="262"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Units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Prior to the 2017 Reorganization, the Company had one class of contingently redeemable preferred units and two classes of convertible preferred units.</w:t>
      </w:r>
    </w:p>
    <w:p>
      <w:pPr>
        <w:spacing w:after="0" w:line="248"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Pursuant to the 2015 Reorganization, each share of the Company’s Series A Preferred Stock and Series A Contingently Redeemable Preferred Stock was exchanged for a like type and number of the Company’s Class A Preferred Units and Contingently Redeemable Class A Preferred Units, respectively. Refer to the Company’s Annual Report on Form 10-K filed with the SEC on March 20, 2018, for detail on the rights and preferences of Private Synlogic’s Preferred Units.</w:t>
      </w:r>
    </w:p>
    <w:p>
      <w:pPr>
        <w:spacing w:after="0" w:line="331" w:lineRule="exact"/>
        <w:rPr>
          <w:sz w:val="20"/>
          <w:szCs w:val="20"/>
          <w:color w:val="auto"/>
        </w:rPr>
      </w:pPr>
    </w:p>
    <w:p>
      <w:pPr>
        <w:ind w:left="520" w:hanging="512"/>
        <w:spacing w:after="0" w:line="207" w:lineRule="exact"/>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 and Equity Incentive Plans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Company is displaying all equity in its post-Merger amounts, as impacted by the Exchange Ratio.</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a number of equity plans, two of which are currently active.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7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20" w:firstLine="518"/>
        <w:spacing w:after="0" w:line="219" w:lineRule="exact"/>
        <w:rPr>
          <w:sz w:val="20"/>
          <w:szCs w:val="20"/>
          <w:color w:val="auto"/>
        </w:rPr>
      </w:pPr>
      <w:r>
        <w:rPr>
          <w:rFonts w:ascii="Arial" w:cs="Arial" w:eastAsia="Arial" w:hAnsi="Arial"/>
          <w:sz w:val="16"/>
          <w:szCs w:val="16"/>
          <w:color w:val="auto"/>
        </w:rPr>
        <w:t>The 2015 Equity Incentive Award Plan (the “2015 Plan”) was adopted by Mirna in 2015 and remains active after the Merger, now functioning as the primary equity plan for the Company. The 2015 Plan provides for the granting of a variety of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awards, including stock options, stock appreciation rights, restricted stock awards, restricted stock unit awards, deferred stock awards, dividend equivalent awards, stock payment awards, performance awards and other stock</w:t>
      </w:r>
      <w:r>
        <w:rPr>
          <w:rFonts w:ascii="MS PGothic" w:cs="MS PGothic" w:eastAsia="MS PGothic" w:hAnsi="MS PGothic"/>
          <w:sz w:val="16"/>
          <w:szCs w:val="16"/>
          <w:color w:val="auto"/>
        </w:rPr>
        <w:t>‑</w:t>
      </w:r>
      <w:r>
        <w:rPr>
          <w:rFonts w:ascii="Arial" w:cs="Arial" w:eastAsia="Arial" w:hAnsi="Arial"/>
          <w:sz w:val="16"/>
          <w:szCs w:val="16"/>
          <w:color w:val="auto"/>
        </w:rPr>
        <w:t>based awards. Pursuant to the evergreen provision of the 2015 Plan, which allows for an annual increase in the number of shares of common stock available for issuance, the Company added 813,630 shares to the 2015 Plan on January 1, 2018.</w:t>
      </w:r>
    </w:p>
    <w:p>
      <w:pPr>
        <w:spacing w:after="0" w:line="204"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2017 Stock Incentive Plan (the “2017 Plan”) was adopted by Private Synlogic in 2017 at the time of the 2017 Reorganization and assumed by the Company during the Merger. The 2017 Plan provides for the grant of incentive stock options, non-qualified stock options, restricted and unrestricted stock awards and other stock-based awards.</w:t>
      </w:r>
    </w:p>
    <w:p>
      <w:pPr>
        <w:spacing w:after="0" w:line="181"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As of June 30, 2018, there were 526,314 shares available for future grant under the Company’s two active equity incentive plans, the 2017 Plan and the 2015 Plan.</w:t>
      </w:r>
    </w:p>
    <w:p>
      <w:pPr>
        <w:spacing w:after="0" w:line="17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 xml:space="preserve">For a full description of the Company’s equity plans, refer to Note 12, </w:t>
      </w:r>
      <w:r>
        <w:rPr>
          <w:rFonts w:ascii="Arial" w:cs="Arial" w:eastAsia="Arial" w:hAnsi="Arial"/>
          <w:sz w:val="18"/>
          <w:szCs w:val="18"/>
          <w:i w:val="1"/>
          <w:iCs w:val="1"/>
          <w:color w:val="auto"/>
        </w:rPr>
        <w:t>Equity-based Compensation and Equity Plans</w:t>
      </w:r>
      <w:r>
        <w:rPr>
          <w:rFonts w:ascii="Arial" w:cs="Arial" w:eastAsia="Arial" w:hAnsi="Arial"/>
          <w:sz w:val="18"/>
          <w:szCs w:val="18"/>
          <w:color w:val="auto"/>
        </w:rPr>
        <w:t xml:space="preserve"> in the Company’s Annual Report on Form 10-K filed with the SEC on March 20,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following table summarizes stock option activity during the six months ended June 30, 2018, as adjusted for the Exchange Ratio under the 2015 Plan and the 2017 Plan.</w:t>
      </w:r>
    </w:p>
    <w:p>
      <w:pPr>
        <w:spacing w:after="0" w:line="270"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Stock options outstanding</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left="208"/>
              <w:spacing w:after="0" w:line="147"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left="325"/>
              <w:spacing w:after="0"/>
              <w:rPr>
                <w:sz w:val="20"/>
                <w:szCs w:val="20"/>
                <w:color w:val="auto"/>
              </w:rPr>
            </w:pPr>
            <w:r>
              <w:rPr>
                <w:rFonts w:ascii="Arial" w:cs="Arial" w:eastAsia="Arial" w:hAnsi="Arial"/>
                <w:sz w:val="14"/>
                <w:szCs w:val="14"/>
                <w:b w:val="1"/>
                <w:bCs w:val="1"/>
                <w:color w:val="auto"/>
                <w:w w:val="91"/>
              </w:rPr>
              <w:t>Weighted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left="208"/>
              <w:spacing w:after="0"/>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left="345"/>
              <w:spacing w:after="0"/>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remaining</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9"/>
                <w:szCs w:val="19"/>
                <w:color w:val="auto"/>
              </w:rPr>
            </w:pPr>
          </w:p>
        </w:tc>
        <w:tc>
          <w:tcPr>
            <w:tcW w:w="980" w:type="dxa"/>
            <w:vAlign w:val="bottom"/>
          </w:tcPr>
          <w:p>
            <w:pPr>
              <w:jc w:val="center"/>
              <w:ind w:left="345"/>
              <w:spacing w:after="0"/>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left="208"/>
              <w:spacing w:after="0"/>
              <w:rPr>
                <w:sz w:val="20"/>
                <w:szCs w:val="20"/>
                <w:color w:val="auto"/>
              </w:rPr>
            </w:pPr>
            <w:r>
              <w:rPr>
                <w:rFonts w:ascii="Arial" w:cs="Arial" w:eastAsia="Arial" w:hAnsi="Arial"/>
                <w:sz w:val="14"/>
                <w:szCs w:val="14"/>
                <w:b w:val="1"/>
                <w:bCs w:val="1"/>
                <w:color w:val="auto"/>
                <w:w w:val="92"/>
              </w:rPr>
              <w:t>contractual</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2"/>
                <w:szCs w:val="12"/>
                <w:b w:val="1"/>
                <w:bCs w:val="1"/>
                <w:color w:val="auto"/>
                <w:w w:val="91"/>
              </w:rPr>
              <w:t>(a)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980" w:type="dxa"/>
            <w:vAlign w:val="bottom"/>
          </w:tcPr>
          <w:p>
            <w:pPr>
              <w:jc w:val="center"/>
              <w:ind w:left="345"/>
              <w:spacing w:after="0"/>
              <w:rPr>
                <w:sz w:val="20"/>
                <w:szCs w:val="20"/>
                <w:color w:val="auto"/>
              </w:rPr>
            </w:pPr>
            <w:r>
              <w:rPr>
                <w:rFonts w:ascii="Arial" w:cs="Arial" w:eastAsia="Arial" w:hAnsi="Arial"/>
                <w:sz w:val="14"/>
                <w:szCs w:val="14"/>
                <w:b w:val="1"/>
                <w:bCs w:val="1"/>
                <w:color w:val="auto"/>
                <w:w w:val="95"/>
              </w:rPr>
              <w:t>price</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left="208"/>
              <w:spacing w:after="0"/>
              <w:rPr>
                <w:sz w:val="20"/>
                <w:szCs w:val="20"/>
                <w:color w:val="auto"/>
              </w:rPr>
            </w:pPr>
            <w:r>
              <w:rPr>
                <w:rFonts w:ascii="Arial" w:cs="Arial" w:eastAsia="Arial" w:hAnsi="Arial"/>
                <w:sz w:val="14"/>
                <w:szCs w:val="14"/>
                <w:b w:val="1"/>
                <w:bCs w:val="1"/>
                <w:color w:val="auto"/>
                <w:w w:val="98"/>
              </w:rPr>
              <w:t>term</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1,267,221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05"/>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13.62</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717,496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10.12</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760" w:type="dxa"/>
            <w:vAlign w:val="bottom"/>
            <w:gridSpan w:val="3"/>
            <w:shd w:val="clear" w:color="auto" w:fill="CFF0FC"/>
          </w:tcPr>
          <w:p>
            <w:pPr>
              <w:jc w:val="right"/>
              <w:ind w:right="126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(325,103)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11.97</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2018</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1,659,614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12.43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Vested or expected to vest at June 30, 2018</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1,659,614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12.43</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Exercisable at June 30, 2018</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294,862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13.48</w:t>
            </w:r>
          </w:p>
        </w:tc>
        <w:tc>
          <w:tcPr>
            <w:tcW w:w="2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960" w:right="20" w:hanging="385"/>
        <w:spacing w:after="0" w:line="26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options and the fair market value of the underlying common stock for the options that were in the money at June 30, 2018 and December 31, 2017. No options were in the money at December 31, 2017.</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As of June 30, 2018, there was $9.5 million of unrecognized share-based compensation related to employees for unvested stock option grants which is expected to be recognized over a weighted average period of 2.9 years. The total unrecognized share-based compensation cost will be adjusted for actual forfeitures as they occur. In addition, there was $0.1 million of unrecognized share-based compensation, related to unvested stock option grants to non-employees which is expected to be recognized over a weighted average period of 2.9 years. The amount of equity-based compensation expense related to non-employees that will ultimately be recorded will depend on the remeasurement of the outstanding awards through their vesting date.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restricted stock activity during the six months ended June 30, 2018:</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080" w:type="dxa"/>
            <w:vAlign w:val="bottom"/>
            <w:gridSpan w:val="5"/>
          </w:tcPr>
          <w:p>
            <w:pPr>
              <w:ind w:left="760"/>
              <w:spacing w:after="0"/>
              <w:rPr>
                <w:sz w:val="20"/>
                <w:szCs w:val="20"/>
                <w:color w:val="auto"/>
              </w:rPr>
            </w:pPr>
            <w:r>
              <w:rPr>
                <w:rFonts w:ascii="Arial" w:cs="Arial" w:eastAsia="Arial" w:hAnsi="Arial"/>
                <w:sz w:val="14"/>
                <w:szCs w:val="14"/>
                <w:b w:val="1"/>
                <w:bCs w:val="1"/>
                <w:color w:val="auto"/>
              </w:rPr>
              <w:t>Restricted stock awards</w:t>
            </w:r>
          </w:p>
        </w:tc>
      </w:tr>
      <w:tr>
        <w:trPr>
          <w:trHeight w:val="146"/>
        </w:trPr>
        <w:tc>
          <w:tcPr>
            <w:tcW w:w="49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57"/>
              <w:spacing w:after="0" w:line="147" w:lineRule="exact"/>
              <w:rPr>
                <w:sz w:val="20"/>
                <w:szCs w:val="20"/>
                <w:color w:val="auto"/>
              </w:rPr>
            </w:pPr>
            <w:r>
              <w:rPr>
                <w:rFonts w:ascii="Arial" w:cs="Arial" w:eastAsia="Arial" w:hAnsi="Arial"/>
                <w:sz w:val="14"/>
                <w:szCs w:val="14"/>
                <w:b w:val="1"/>
                <w:bCs w:val="1"/>
                <w:color w:val="auto"/>
                <w:w w:val="94"/>
              </w:rPr>
              <w:t>Grant date</w:t>
            </w:r>
          </w:p>
        </w:tc>
        <w:tc>
          <w:tcPr>
            <w:tcW w:w="80" w:type="dxa"/>
            <w:vAlign w:val="bottom"/>
          </w:tcPr>
          <w:p>
            <w:pPr>
              <w:spacing w:after="0"/>
              <w:rPr>
                <w:sz w:val="12"/>
                <w:szCs w:val="12"/>
                <w:color w:val="auto"/>
              </w:rPr>
            </w:pPr>
          </w:p>
        </w:tc>
      </w:tr>
      <w:tr>
        <w:trPr>
          <w:trHeight w:val="162"/>
        </w:trPr>
        <w:tc>
          <w:tcPr>
            <w:tcW w:w="4900" w:type="dxa"/>
            <w:vAlign w:val="bottom"/>
          </w:tcPr>
          <w:p>
            <w:pPr>
              <w:spacing w:after="0"/>
              <w:rPr>
                <w:sz w:val="14"/>
                <w:szCs w:val="14"/>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Number of</w:t>
            </w:r>
          </w:p>
        </w:tc>
        <w:tc>
          <w:tcPr>
            <w:tcW w:w="2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fair value</w:t>
            </w:r>
          </w:p>
        </w:tc>
      </w:tr>
      <w:tr>
        <w:trPr>
          <w:trHeight w:val="171"/>
        </w:trPr>
        <w:tc>
          <w:tcPr>
            <w:tcW w:w="4900" w:type="dxa"/>
            <w:vAlign w:val="bottom"/>
          </w:tcPr>
          <w:p>
            <w:pPr>
              <w:spacing w:after="0"/>
              <w:rPr>
                <w:sz w:val="14"/>
                <w:szCs w:val="14"/>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share)</w:t>
            </w:r>
          </w:p>
        </w:tc>
      </w:tr>
      <w:tr>
        <w:trPr>
          <w:trHeight w:val="223"/>
        </w:trPr>
        <w:tc>
          <w:tcPr>
            <w:tcW w:w="4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2017</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375,479</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(105,340)</w:t>
            </w: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Forfeited</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(19,268)</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13.66</w:t>
            </w:r>
          </w:p>
        </w:tc>
        <w:tc>
          <w:tcPr>
            <w:tcW w:w="80" w:type="dxa"/>
            <w:vAlign w:val="bottom"/>
          </w:tcPr>
          <w:p>
            <w:pPr>
              <w:spacing w:after="0"/>
              <w:rPr>
                <w:sz w:val="19"/>
                <w:szCs w:val="19"/>
                <w:color w:val="auto"/>
              </w:rPr>
            </w:pPr>
          </w:p>
        </w:tc>
      </w:tr>
      <w:tr>
        <w:trPr>
          <w:trHeight w:val="223"/>
        </w:trPr>
        <w:tc>
          <w:tcPr>
            <w:tcW w:w="4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2018</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250,871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As of June 30, 2018, there was $0.3 million of unrecognized share-based compensation related to restricted stock awards granted to employees, which is expected to be recognized over a weighted average period of 2.0 years. The total unrecognized share-based compensation cost will be adjusted for actual forfeitures as they occur. In addition, there was $10,000 of unrecognized share-based compensation, related to unvested restricted stock awards granted to non-employees which is expected to be recognized over a weighted average period of 0.5 years.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Units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Prior to the 2017 Reorganization described above, incentive units were issued by Synlogic, LLC under the 2015 LLC Plan.</w:t>
      </w:r>
    </w:p>
    <w:p>
      <w:pPr>
        <w:spacing w:after="0" w:line="225"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No incentive units were issued during the three and six months ended June 30, 2017. In May 2017, all incentive units were cancelled pursuant to the 2017 Reorganization and reissued as restricted common stock. As a result, there was no unrecognized compensation expense related to incentive units as of June 30,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Units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Prior to the 2017 Reorganization described above, restricted common unit awards were issued by Synlogic, LLC under the 2015 LLC Plan. No restricted common unit awards were issued during the three and six months ended June 30, 2017. In May 2017, the restricted common unit award was cancelled pursuant to the 2017 Reorganization and reissued as restricted common stock. As a result, there was no unrecognized compensation expense related to unvested restricted common units as of June 30, 2018.</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The Company recorded total equity-based compensation expense of $1.5 million and $2.4 million during the three and six months ended June 30, 2018, respectively and $0.7 million and $0.8 million during the three and six months ended June 30, 2017, respectively. Equity-based compensation during the three and six months ended June 30, 2018 includes $0.6 million related to modifications in equity awards in connection with the separation of the Company’s former Chief Executive Officer. Equity-based compensation for the three and six months ended June 30, 2017 includes $26,000 related to shares of restricted common stock exchanged for restricted common units that were cancelled as part of the 2017 Reorganization. Equity compensation during the three and six months ended June 30, 2018 is derived from stock options and restricted stock awards, while equity compensation during the three and six months ended June 30, 2017 was derived from incentive units, restricted common units, stock options and restricted stock awards.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100" w:firstLine="518"/>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within the Company’s consolidated statements of operations and comprehensive loss for the three and six months ended June 30, 2018 and 2017 (in thousands):</w:t>
      </w:r>
    </w:p>
    <w:p>
      <w:pPr>
        <w:spacing w:after="0" w:line="30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560" w:type="dxa"/>
            <w:vAlign w:val="bottom"/>
            <w:gridSpan w:val="2"/>
          </w:tcPr>
          <w:p>
            <w:pPr>
              <w:jc w:val="right"/>
              <w:ind w:right="26"/>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060" w:type="dxa"/>
            <w:vAlign w:val="bottom"/>
            <w:gridSpan w:val="2"/>
          </w:tcPr>
          <w:p>
            <w:pPr>
              <w:jc w:val="right"/>
              <w:ind w:right="25"/>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2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2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6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c>
          <w:tcPr>
            <w:tcW w:w="2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1,684</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5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1,494</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20" w:firstLine="518"/>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type of award for the three and six months ended June 30, 2018 and 2017 (in thousands):</w:t>
      </w:r>
    </w:p>
    <w:p>
      <w:pPr>
        <w:spacing w:after="0" w:line="27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5"/>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980" w:type="dxa"/>
            <w:vAlign w:val="bottom"/>
            <w:gridSpan w:val="2"/>
          </w:tcPr>
          <w:p>
            <w:pPr>
              <w:jc w:val="right"/>
              <w:ind w:right="25"/>
              <w:spacing w:after="0"/>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1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484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484</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658</w:t>
            </w: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8"/>
                <w:szCs w:val="18"/>
                <w:color w:val="auto"/>
              </w:rPr>
              <w:t>Incentive units</w:t>
            </w:r>
          </w:p>
        </w:tc>
        <w:tc>
          <w:tcPr>
            <w:tcW w:w="11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common units</w:t>
            </w:r>
          </w:p>
        </w:tc>
        <w:tc>
          <w:tcPr>
            <w:tcW w:w="11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9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1,494</w:t>
            </w:r>
          </w:p>
        </w:tc>
        <w:tc>
          <w:tcPr>
            <w:tcW w:w="18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667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2,413</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AbbVie Collaboration Agreement</w:t>
      </w:r>
    </w:p>
    <w:p>
      <w:pPr>
        <w:spacing w:after="0" w:line="135"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In July 2015, the Company entered into the AbbVie Agreement under which the Company granted AbbVie an exclusive option to purchase IBDCo and, in exchange, agreed to collaborate in researching and developing an Investigational New Drug (“IND”) candidate for the treatment of IBD. The AbbVie Agreement sets forth the Company’s and AbbVie’s respective obligations for development and delivery of an IND candidate package using reasonable commercial efforts.</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exchange for the exclusive option to acquire IBDCo, initial research and development services for drug discovery and pre-clinical development, and participation on the joint research committee (“JRC”), AbbVie agreed to pay IBDCo an upfront, nonrefundable cash payment of $2.0 million, which IBDCo received in December 2015. AbbVie also agreed to pay IBDCo up to $16.5 million in milestone payments associated with specified research and pre-clinical events, which were determined to represent customer options for accounting purposes, as well as an option exercise fee upon the execution of their option to buy IBDCo and other royalty and milestone payments. The upfront cash payment and any payments for option fees and royalties are non-refundable, non-creditable and not subject to set-off.</w:t>
      </w:r>
    </w:p>
    <w:p>
      <w:pPr>
        <w:spacing w:after="0" w:line="193"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research and development will be performed by the Company over an estimated period of 54 months according to four phases of research defined in the research plan. The Company is eligible to receive payments from AbbVie upon the election to continue the research and development at the achievement of certain milestone events. The JRC will make a determination as to the continuation of the collaboration at the achievement of research and pre-clinical milestones, except for the final milestone, which AbbVie has the discretion to determine achievement without the approval of the JRC. If the parties make the determination to continue on with the AbbVie Agreement upon achievement of each milestone event, then AbbVie will pay the consideration associated with that milestone and the collaboration will continue through the remaining term of the option to purchase IBDCo, which is 54 months. However, AbbVie has the right to terminate the contract at any time with 90-days’ notice.</w:t>
      </w:r>
    </w:p>
    <w:p>
      <w:pPr>
        <w:spacing w:after="0" w:line="178"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The Company assessed this arrangement in accordance with ASC 606 and concluded that the contract counterparty, AbbVie, is a customer. The Company identified the following material promises at the outset of the arrangement: (1) a non-exclusive royalty-free research and development license; (2) research and development services for pre-clinical activities under the research plan through to the first research and development phase (or an estimated 17 months); (3) three option rights for AbbVie to continue the collaboration as related to three phases of research and development; (4) participation on the JRC; and (5) the transfer of ownership of IBDCo upon exercise of the option to buy IBDCo. The Company determined that the license and research and development activities were not distinct from one another. Participation on the JRC to oversee the research and development activities was determined to be quantitatively and qualitatively immaterial and therefore is excluded from performance obligations. As such, the Company determined that the license and research and development services should be combined into a single performance obligation.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220" w:firstLine="518"/>
        <w:spacing w:after="0" w:line="302" w:lineRule="auto"/>
        <w:rPr>
          <w:sz w:val="20"/>
          <w:szCs w:val="20"/>
          <w:color w:val="auto"/>
        </w:rPr>
      </w:pPr>
      <w:r>
        <w:rPr>
          <w:rFonts w:ascii="Arial" w:cs="Arial" w:eastAsia="Arial" w:hAnsi="Arial"/>
          <w:sz w:val="16"/>
          <w:szCs w:val="16"/>
          <w:color w:val="auto"/>
        </w:rPr>
        <w:t>The Company evaluated the milestone payments, which represent customer options as described above, and the option to purchase IBDCo, to determine whether they provide AbbVie with any material rights. The Company concluded that the options were not issued at a significant and incremental discount, and therefore do not provide material rights. As such, they were excluded as performance obligations at the outset of the arrangement. If AbbVie elects to exercise the options, the additional consideration will be added to the transaction price and allocated to the resulting performance obligations.</w:t>
      </w:r>
    </w:p>
    <w:p>
      <w:pPr>
        <w:spacing w:after="0" w:line="154" w:lineRule="exact"/>
        <w:rPr>
          <w:sz w:val="20"/>
          <w:szCs w:val="20"/>
          <w:color w:val="auto"/>
        </w:rPr>
      </w:pPr>
    </w:p>
    <w:p>
      <w:pPr>
        <w:ind w:right="320" w:firstLine="518"/>
        <w:spacing w:after="0" w:line="308" w:lineRule="auto"/>
        <w:rPr>
          <w:sz w:val="20"/>
          <w:szCs w:val="20"/>
          <w:color w:val="auto"/>
        </w:rPr>
      </w:pPr>
      <w:r>
        <w:rPr>
          <w:rFonts w:ascii="Arial" w:cs="Arial" w:eastAsia="Arial" w:hAnsi="Arial"/>
          <w:sz w:val="17"/>
          <w:szCs w:val="17"/>
          <w:color w:val="auto"/>
        </w:rPr>
        <w:t>Based on these assessments, the Company identified one performance obligation at the outset of the AbbVie Agreement, which consists of: (1) the non-exclusive license and (2) the research and development activities through the first research and development phase.</w:t>
      </w:r>
    </w:p>
    <w:p>
      <w:pPr>
        <w:spacing w:after="0" w:line="14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At the outset of the arrangement, the transaction price included only the $2.0 million up-front consideration received which was allocated to the single performance obligation. The option exercise fees ($16.5 million for the milestones and the IBDCo purchase option exercise fee) that may be received are excluded from the transaction price until each customer option is exercised. The Company will reevaluate the transaction price at the end of each reporting period and as uncertain events are resolved or other changes in circumstances occur, and, if necessary, adjust its estimate of the transaction price.</w:t>
      </w:r>
    </w:p>
    <w:p>
      <w:pPr>
        <w:spacing w:after="0" w:line="154"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In May 2017, the Company completed the research and development services for the first phase of the research plan and was paid $2.0 million to commence the second phase of the research plan. At this time, the $2.0 million was added to the transaction price and allocated to a new performance obligation consisting of the underlying license and research and development services to be performed over the second phase of the research plan. Upon the Company’s completion of these activities, AbbVie has the ability to continue the collaboration and make additional payments based on the achievement of specific events outlined in the AbbVie agreement.</w:t>
      </w:r>
    </w:p>
    <w:p>
      <w:pPr>
        <w:spacing w:after="0" w:line="229" w:lineRule="exact"/>
        <w:rPr>
          <w:sz w:val="20"/>
          <w:szCs w:val="20"/>
          <w:color w:val="auto"/>
        </w:rPr>
      </w:pPr>
    </w:p>
    <w:p>
      <w:pPr>
        <w:ind w:right="200" w:firstLine="518"/>
        <w:spacing w:after="0" w:line="302" w:lineRule="auto"/>
        <w:rPr>
          <w:sz w:val="20"/>
          <w:szCs w:val="20"/>
          <w:color w:val="auto"/>
        </w:rPr>
      </w:pPr>
      <w:r>
        <w:rPr>
          <w:rFonts w:ascii="Arial" w:cs="Arial" w:eastAsia="Arial" w:hAnsi="Arial"/>
          <w:sz w:val="16"/>
          <w:szCs w:val="16"/>
          <w:color w:val="auto"/>
        </w:rPr>
        <w:t>Revenue associated with these performance obligations is recognized as the research and development services are provided using an input method, according to the FTEs incurred. The research and development activities are expected to be performed over a period of 54 months. The transfer of control occurs over time and, in management’s judgment, is the best measure of progress towards satisfying the performance obligation. The amounts received that have not yet been recognized as revenue are recorded in deferred revenue on the Company’s condensed consolidated balance sheet.</w:t>
      </w:r>
    </w:p>
    <w:p>
      <w:pPr>
        <w:spacing w:after="0" w:line="154"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Through June 30, 2018, the Company had recognized revenue of $3.8 million as collaboration revenue in the Company’s consolidated statements of operations and comprehensive loss under the AbbVie Agreement. Deferred revenue related to the AbbVie Agreement amounted to $0.2 million as of June 30, 2018, all of which is included in current liabilities.</w:t>
      </w:r>
    </w:p>
    <w:p>
      <w:pPr>
        <w:spacing w:after="0" w:line="28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w:t>
      </w:r>
    </w:p>
    <w:p>
      <w:pPr>
        <w:spacing w:after="0" w:line="166"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Company computed basic and diluted net loss per share using the two-class method, which gives effect to the impact of outstanding participating securities. As the three and six months ended June 30, 2018 and 2017 resulted in net losses attributable to common stockholders, there is no income allocation required under the two-class method or dilution attributed to weighted-average shares outstanding in the calculation of diluted net loss per share because the preferred stockholders do not participate in losses of the Company. Accordingly, for periods in which the Company reports a net loss attributable to common stockholders, diluted net loss per share attributable to common stockholders is the same as basic net loss per share attributable to common stockholders, since dilutive common stock are not assumed to have been issued if their effect is anti-dilutive.</w:t>
      </w:r>
    </w:p>
    <w:p>
      <w:pPr>
        <w:spacing w:after="0" w:line="20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Company’s potentially dilutive shares, which include outstanding stock options and unvested restricted common stock/units, are considered to be common share equivalents and are only included in the calculation of diluted net loss per share when their effect is dilutive.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45"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640" w:type="dxa"/>
            <w:vAlign w:val="bottom"/>
            <w:gridSpan w:val="3"/>
          </w:tcPr>
          <w:p>
            <w:pPr>
              <w:ind w:left="760"/>
              <w:spacing w:after="0"/>
              <w:rPr>
                <w:sz w:val="20"/>
                <w:szCs w:val="20"/>
                <w:color w:val="auto"/>
              </w:rPr>
            </w:pPr>
            <w:r>
              <w:rPr>
                <w:rFonts w:ascii="Arial" w:cs="Arial" w:eastAsia="Arial" w:hAnsi="Arial"/>
                <w:sz w:val="14"/>
                <w:szCs w:val="14"/>
                <w:b w:val="1"/>
                <w:bCs w:val="1"/>
                <w:color w:val="auto"/>
                <w:w w:val="90"/>
              </w:rPr>
              <w:t>As of June 30,</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vMerge w:val="restart"/>
          </w:tcPr>
          <w:p>
            <w:pPr>
              <w:spacing w:after="0"/>
              <w:rPr>
                <w:sz w:val="20"/>
                <w:szCs w:val="20"/>
                <w:color w:val="auto"/>
              </w:rPr>
            </w:pPr>
            <w:r>
              <w:rPr>
                <w:rFonts w:ascii="Arial" w:cs="Arial" w:eastAsia="Arial" w:hAnsi="Arial"/>
                <w:sz w:val="18"/>
                <w:szCs w:val="18"/>
                <w:color w:val="auto"/>
              </w:rPr>
              <w:t>Unvested restricted common stock awards</w:t>
            </w: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20" w:type="dxa"/>
            <w:vAlign w:val="bottom"/>
            <w:vMerge w:val="continue"/>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250,871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541,469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1,659,614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648,913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Contingently redeemable preferred shares</w:t>
            </w:r>
          </w:p>
        </w:tc>
        <w:tc>
          <w:tcPr>
            <w:tcW w:w="164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781,693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shares</w:t>
            </w:r>
          </w:p>
        </w:tc>
        <w:tc>
          <w:tcPr>
            <w:tcW w:w="1640" w:type="dxa"/>
            <w:vAlign w:val="bottom"/>
            <w:gridSpan w:val="3"/>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9,806,273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4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Company’s commitments described in the Company’s consolidated financial statements as of and for the year ended December 31, 2017 and the notes thereto included in the Company’s Annual Report on Form 10-K filed with the SEC on March 20, 2018, have had no material changes during the three and six months ended June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2017 and 2016 included in our Annual Report on Form 10-K filed on March 20, 2018.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18 for a discussion of certain risk factors applicable to our business, financial condition, and results of operations. Operating results are not necessarily indicative of results that may occur for the full fiscal year or any other future period.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Offerings of Synlogic Common Stock</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April 2018, we sold 3,280,000 shares of our common stock at a price of $9.15 per share in a registered direct offering. After fees and other offering expenses, we received approximately $28.9 million in net proceeds from the offering.</w:t>
      </w:r>
    </w:p>
    <w:p>
      <w:pPr>
        <w:spacing w:after="0" w:line="170"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In January 2018, we sold 5,899,500 shares of our common stock through a firm commitment, underwritten public offering at a price to the public of $9.75 per share. As a result of the offering, including the exercise of the overallotment option, we received aggregate net proceeds, after underwriting discounts and commissions and other estimated offering expenses, of approximately $53.8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Mirna</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 xml:space="preserve">In August 2017, Synlogic, Inc., formerly known as Mirna Therapeutics, Inc. (NASDAQ: MIRN) (Mirna), completed its business combination with Synlogic, Inc. (Private Synlogic when referred to prior to the Merger) in accordance with the terms of the Agreement and Plan of Merger and Reorganization, dated as of May 15, 2017, by and among Mirna, Meerkat Merger Sub, Inc. (Merger Sub), and Private Synlogic (the Merger Agreement), pursuant to which Merger Sub merged with and into Private Synlogic, with Private Synlogic surviving as a wholly owned subsidiary of Mirna (the Merger). As part of the Merger, Mirna was renamed Synlogic, Inc. (Public Synlogic) and Private Synlogic was renamed Synlogic Operating Company, Inc. Following completion of the Merger, Private Synlogic, now known as Synlogic Operating Company, Inc., is the surviving corporation of the Merger and a wholly-owned subsidiary of Public Synlogic. The Merger was accounted for as a “reverse merger” under the acquisition method of accounting for business combinations with Private Synlogic treated as the accounting acquirer of Mirna. As a result of the Merger, historical common stock, preferred stock, stock options and additional paid-in capital, including share and per share amounts, were retroactively adjusted to reflect the equity structure of Public Synlogic, including the effect of the Merger exchange ratio and the Public Synlogic common stock par value of $0.001 per share. Pursuant to the terms of the Merger Agreement and after giving effect to a reverse stock split, at the effective time of the Merger (the Effective Time), each outstanding share of Private Synlogic capital stock was converted into the right to receive approximately 0.5532 shares of Mirna common stock (the Exchange Ratio). In addition, at the Effective Time, Mirna assumed all outstanding options to purchase shares of Private Synlogic common stock, which were exchanged for options to purchase shares of Mirna common stock, in each case appropriately adjusted based on the Exchange Ratio. Mirna also assumed the Synlogic 2017 Stock Incentive Plan (the 2017 Plan). See Note 3, </w:t>
      </w:r>
      <w:r>
        <w:rPr>
          <w:rFonts w:ascii="Arial" w:cs="Arial" w:eastAsia="Arial" w:hAnsi="Arial"/>
          <w:sz w:val="16"/>
          <w:szCs w:val="16"/>
          <w:i w:val="1"/>
          <w:iCs w:val="1"/>
          <w:color w:val="auto"/>
        </w:rPr>
        <w:t>Merger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Mirna Therapeutics, </w:t>
      </w:r>
      <w:r>
        <w:rPr>
          <w:rFonts w:ascii="Arial" w:cs="Arial" w:eastAsia="Arial" w:hAnsi="Arial"/>
          <w:sz w:val="16"/>
          <w:szCs w:val="16"/>
          <w:color w:val="auto"/>
        </w:rPr>
        <w:t>for additional discussion of the Merger and the Exchange Ratio.</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21" w:lineRule="exact"/>
        <w:rPr>
          <w:sz w:val="20"/>
          <w:szCs w:val="20"/>
          <w:color w:val="auto"/>
        </w:rPr>
      </w:pPr>
    </w:p>
    <w:p>
      <w:pPr>
        <w:ind w:right="80" w:firstLine="518"/>
        <w:spacing w:after="0" w:line="272" w:lineRule="auto"/>
        <w:rPr>
          <w:sz w:val="20"/>
          <w:szCs w:val="20"/>
          <w:color w:val="auto"/>
        </w:rPr>
      </w:pPr>
      <w:r>
        <w:rPr>
          <w:rFonts w:ascii="Arial" w:cs="Arial" w:eastAsia="Arial" w:hAnsi="Arial"/>
          <w:sz w:val="17"/>
          <w:szCs w:val="17"/>
          <w:color w:val="auto"/>
        </w:rPr>
        <w:t>We are a clinical-stage biopharmaceutical company focused on advancing our drug discovery and development platform for Synthetic Biotic™ medicines, which are designed using synthetic biology to genetically reprogram beneficial microbes to treat metabolic and inflammatory diseases and cancer. Synthetic Biotic medicines are generated from our proprietary drug discovery and development platform, applying the principles and tools of synthetic biology to engineer probiotic bacteria to perform or deliver critical therapeutic functions. As living medicines, Synthetic Biotic medicines can be designed to sense a local disease context within a patient’s body and to respond by metabolizing a toxic substance, compensating for missing or damaged metabolic pathways in patients, or by delivering combinations of therapeutic factors. Our goal is to lead in the discovery and development of Synthetic Biotic therapies as living medicines capable of robust and precise pathway complementation and delivery of therapeutic benefit.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1" w:name="page22"/>
    <w:bookmarkEnd w:id="21"/>
    <w:p>
      <w:pPr>
        <w:ind w:right="140" w:firstLine="518"/>
        <w:spacing w:after="0" w:line="255" w:lineRule="auto"/>
        <w:rPr>
          <w:sz w:val="20"/>
          <w:szCs w:val="20"/>
          <w:color w:val="auto"/>
        </w:rPr>
      </w:pPr>
      <w:r>
        <w:rPr>
          <w:rFonts w:ascii="Arial" w:cs="Arial" w:eastAsia="Arial" w:hAnsi="Arial"/>
          <w:sz w:val="18"/>
          <w:szCs w:val="18"/>
          <w:color w:val="auto"/>
        </w:rPr>
        <w:t>Our initial focus is on metabolic diseases with the potential to be corrected following oral delivery of a living medicine to the gut. This includes a group of rare genetic diseases called inborn errors of metabolism (IEMs), as well as acquired metabolic diseases caused by organ dysfunction. When delivered orally, Synthetic Biotic medicines are designed to act from the gut to compensate for the dysfunctional metabolic pathway with the intended consequence of reducing the systemic levels of the toxic metabolites. We believe that success in IEMs will enable us to demonstrate the potential of our oral Synthetic Biotic medicines to address metabolic dysfunction while bringing meaningful change to the lives of patients suffering from these debilitating conditions.</w:t>
      </w:r>
    </w:p>
    <w:p>
      <w:pPr>
        <w:spacing w:after="0" w:line="193"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Our two lead therapeutic programs are being developed for the treatment of hyperammonemia and phenylketonuria (PKU). SYNB1020, our first therapeutic program, is an oral therapy intended for the treatment of patients with liver disease and hepatic encephalopathy (HE) and in patients with urea cycle disorders (UCD). In these conditions ammonia accumulates in the body and becomes toxic leading to neurocognitive crisis and risk of long-term cognitive or behavioral impairment, coma or death. SYNB1020 has received both Fast Track Designation and Orphan Drug Designation for UCD from the U.S. Food and Drug Administration (the FDA). We initiated a Phase 1 clinical trial in June 2017 to evaluate the safety and tolerability of SYNB1020 in healthy volunteers. In November 2017, we announced top-line data from this study that demonstrated that SYNB1020 was safe and well-tolerated and achieved proof of mechanism. In April 2018, we announced that we dosed the first patient in our Phase 1b / 2a clinical trial in patients with cirrhosis and elevated blood ammonia. This trial is designed to evaluate the safety and tolerability of SYNB1020 as well as the ability of SYNB1020 to lower systemic levels of ammonia. We also intend to conduct a clinical trial of SYNB1020 in UCD patients. Timing of initiation of this study will be informed by a number of factors including data from our Phase 1b / 2a study in patients with cirrhosis.</w:t>
      </w:r>
    </w:p>
    <w:p>
      <w:pPr>
        <w:spacing w:after="0" w:line="178"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Our second program, SYNB1618, is an oral therapy intended for the treatment of PKU, an IEM in which the amino acid phenylalanine (Phe) accumulates in the body as a result of genetic defects. Elevated levels of Phe are toxic to the brain and can lead to neurological dysfunction. SYNB1618 is designed to function in the gut of patients to reduce excess circulating Phe, resulting in normalization of levels in the blood and tissues. SYNB1618 has received both Fast Track Designation and Orphan Drug Designation from the FDA. We dosed our first subject in a Phase 1 / 2a clinical trial of SYNB1618 in April 2018.</w:t>
      </w:r>
    </w:p>
    <w:p>
      <w:pPr>
        <w:spacing w:after="0" w:line="188"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Our early-stage metabolic pipeline includes discovery-stage projects for additional IEMs, including maple syrup urine disease (MSUD), isovaleric acidemia (IVA) and organic acidemias. These are rare metabolic deficiencies in which the toxic accumulation of metabolites such as branched chain amino acids in the case of MSUD can lead to neurological decline and death. There are no currently approved pharmaceutical therapies for these disorders, ultimately resulting in patients relying on liver transplants when possible.</w:t>
      </w:r>
    </w:p>
    <w:p>
      <w:pPr>
        <w:spacing w:after="0" w:line="18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We are also leveraging our proprietary technology platform to develop Synthetic Biotic medicines to treat a broader range of human diseases, including acquired metabolic diseases, inflammation and cancer. Synthetic Biotic medicines are designed to deliver combinations of complementary therapeutics locally to treat these complex disease states. Our portfolio of immuno-oncology (IO) programs is designed to deliver a combination of activities to modify the tumor microenvironment, activate the immune system and facilitate tumor reduction. In 2018, we intend to select a Synthetic Biotic clinical candidate in our IO program and thereafter advance it into preclinical studies to enable filing of an IND application with the FDA.</w:t>
      </w:r>
    </w:p>
    <w:p>
      <w:pPr>
        <w:spacing w:after="0" w:line="17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have established a collaboration with AbbVie S.à.r.l. (AbbVie) to develop Synthetic Biotic medicines for the treatment of inflammatory bowel disease (IBD) such as Crohn’s disease and ulcerative colitis. We also have a collaboration with Ginkgo Bioworks, a privately held synthetic biology company, to discover new living medicines to treat neurological and liver disorders. We may consider entering into additional strategic partnerships in the future to maximize the value of our programs and our Synthetic Biotic platform.</w:t>
      </w:r>
    </w:p>
    <w:p>
      <w:pPr>
        <w:spacing w:after="0" w:line="18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currently operate in one reportable business segment—the discovery and development of Synthetic Biotic medicines. To date, we have dedicated substantially all of our activities to the research and development of our product candidates. We have received approximately $238.2 million in proceeds to date as we financed our operations through approximately $110.7 million in aggregate net proceeds from the sale of Private Synlogic preferred stock and Synlogic, LLC preferred units, approximately $0.4 million in a convertible promissory note with one of our investors, which was converted into Private Synlogic preferred stock, approximately $4.0 million in payments received under the AbbVie Agreement, approximately $40.4 million from our merger with Mirna, net of transaction costs, and approximately $82.7 million in total net proceeds from the sale of our common stock in our common stock offerings in January 2018 and April 2018.</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2" w:name="page23"/>
    <w:bookmarkEnd w:id="22"/>
    <w:p>
      <w:pPr>
        <w:ind w:firstLine="518"/>
        <w:spacing w:after="0" w:line="257" w:lineRule="auto"/>
        <w:rPr>
          <w:sz w:val="20"/>
          <w:szCs w:val="20"/>
          <w:color w:val="auto"/>
        </w:rPr>
      </w:pPr>
      <w:r>
        <w:rPr>
          <w:rFonts w:ascii="Arial" w:cs="Arial" w:eastAsia="Arial" w:hAnsi="Arial"/>
          <w:sz w:val="18"/>
          <w:szCs w:val="18"/>
          <w:color w:val="auto"/>
        </w:rPr>
        <w:t>We have not generated any revenue to date from product sales and have incurred significant operating losses since our inception. We have incurred net losses of $14.6 million and $25.8 million for the three and six months ended June 30, 2018, respectively, and $9.4 million and $16.8 million for the three and six months ended June 30, 2017, respectively. As of June 30, 2018, we had an accumulated deficit of approximately $97.1 million, and we expect to incur losses for the foreseeable future as we develop our product candidates. We expect our expenses and capital requirements will increase substantially in connection with our ongoing activities, as we:</w:t>
      </w:r>
    </w:p>
    <w:p>
      <w:pPr>
        <w:spacing w:after="0" w:line="80" w:lineRule="exact"/>
        <w:rPr>
          <w:sz w:val="20"/>
          <w:szCs w:val="20"/>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 to manufacture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and management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expand our existing infrastructure and secure space in a facility to support continued growth in our research and development efforts;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capital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 xml:space="preserve">Revenue to date is generated from our collaboration agreement with AbbVie. The collaboration agreement contains multiple deliverables, which include an exclusive option for AbbVie to acquire IBDCo and research and development milestones. See Note 12, </w:t>
      </w:r>
      <w:r>
        <w:rPr>
          <w:rFonts w:ascii="Arial" w:cs="Arial" w:eastAsia="Arial" w:hAnsi="Arial"/>
          <w:sz w:val="18"/>
          <w:szCs w:val="18"/>
          <w:i w:val="1"/>
          <w:iCs w:val="1"/>
          <w:color w:val="auto"/>
        </w:rPr>
        <w:t>AbbVie Collaboration</w:t>
      </w:r>
      <w:r>
        <w:rPr>
          <w:rFonts w:ascii="Arial" w:cs="Arial" w:eastAsia="Arial" w:hAnsi="Arial"/>
          <w:sz w:val="18"/>
          <w:szCs w:val="18"/>
          <w:color w:val="auto"/>
        </w:rPr>
        <w:t xml:space="preserve"> for a full discussion of the AbbVie Agreement. We expect our revenue to fluctuate for the foreseeable future as it is principally based on the achievement of research and development milestones under our collaboration agreement with AbbVie.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73"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preclinical and clinical studies and regulatory operations.</w:t>
      </w:r>
    </w:p>
    <w:p>
      <w:pPr>
        <w:spacing w:after="0" w:line="225" w:lineRule="exact"/>
        <w:rPr>
          <w:sz w:val="20"/>
          <w:szCs w:val="20"/>
          <w:color w:val="auto"/>
        </w:rPr>
      </w:pPr>
    </w:p>
    <w:p>
      <w:pPr>
        <w:jc w:val="both"/>
        <w:ind w:right="140" w:firstLine="518"/>
        <w:spacing w:after="0" w:line="279" w:lineRule="auto"/>
        <w:rPr>
          <w:sz w:val="20"/>
          <w:szCs w:val="20"/>
          <w:color w:val="auto"/>
        </w:rPr>
      </w:pPr>
      <w:r>
        <w:rPr>
          <w:rFonts w:ascii="Arial" w:cs="Arial" w:eastAsia="Arial" w:hAnsi="Arial"/>
          <w:sz w:val="17"/>
          <w:szCs w:val="17"/>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3" w:name="page24"/>
    <w:bookmarkEnd w:id="23"/>
    <w:p>
      <w:pPr>
        <w:ind w:right="80" w:firstLine="518"/>
        <w:spacing w:after="0" w:line="308" w:lineRule="auto"/>
        <w:rPr>
          <w:sz w:val="20"/>
          <w:szCs w:val="20"/>
          <w:color w:val="auto"/>
        </w:rPr>
      </w:pPr>
      <w:r>
        <w:rPr>
          <w:rFonts w:ascii="Arial" w:cs="Arial" w:eastAsia="Arial" w:hAnsi="Arial"/>
          <w:sz w:val="17"/>
          <w:szCs w:val="17"/>
          <w:color w:val="auto"/>
        </w:rPr>
        <w:t xml:space="preserve">The successful development of our product candidates is highly uncertain and subject to a number of risks. Refer to the risk factors under the heading </w:t>
      </w:r>
      <w:r>
        <w:rPr>
          <w:rFonts w:ascii="Arial" w:cs="Arial" w:eastAsia="Arial" w:hAnsi="Arial"/>
          <w:sz w:val="17"/>
          <w:szCs w:val="17"/>
          <w:i w:val="1"/>
          <w:iCs w:val="1"/>
          <w:color w:val="auto"/>
        </w:rPr>
        <w:t xml:space="preserve">Risks Related to the Development of Our Product Candidates </w:t>
      </w:r>
      <w:r>
        <w:rPr>
          <w:rFonts w:ascii="Arial" w:cs="Arial" w:eastAsia="Arial" w:hAnsi="Arial"/>
          <w:sz w:val="17"/>
          <w:szCs w:val="17"/>
          <w:color w:val="auto"/>
        </w:rPr>
        <w:t>in Part II, Item 1A, found elsewhere in this Quarterly Report on Form 10-Q.</w:t>
      </w:r>
    </w:p>
    <w:p>
      <w:pPr>
        <w:spacing w:after="0" w:line="14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SYNB1020 and SYNB1618 programs to increase as the programs progress through and into clinical trials.</w:t>
      </w:r>
    </w:p>
    <w:p>
      <w:pPr>
        <w:spacing w:after="0" w:line="158"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4"/>
          </w:tcPr>
          <w:p>
            <w:pPr>
              <w:jc w:val="center"/>
              <w:ind w:right="73"/>
              <w:spacing w:after="0"/>
              <w:rPr>
                <w:sz w:val="20"/>
                <w:szCs w:val="20"/>
                <w:color w:val="auto"/>
              </w:rPr>
            </w:pPr>
            <w:r>
              <w:rPr>
                <w:rFonts w:ascii="Arial" w:cs="Arial" w:eastAsia="Arial" w:hAnsi="Arial"/>
                <w:sz w:val="14"/>
                <w:szCs w:val="14"/>
                <w:b w:val="1"/>
                <w:bCs w:val="1"/>
                <w:color w:val="auto"/>
                <w:w w:val="91"/>
              </w:rPr>
              <w:t>For the three months ended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left="517"/>
              <w:spacing w:after="0"/>
              <w:rPr>
                <w:sz w:val="20"/>
                <w:szCs w:val="20"/>
                <w:color w:val="auto"/>
              </w:rPr>
            </w:pPr>
            <w:r>
              <w:rPr>
                <w:rFonts w:ascii="Arial" w:cs="Arial" w:eastAsia="Arial" w:hAnsi="Arial"/>
                <w:sz w:val="14"/>
                <w:szCs w:val="14"/>
                <w:b w:val="1"/>
                <w:bCs w:val="1"/>
                <w:color w:val="auto"/>
                <w:w w:val="92"/>
              </w:rPr>
              <w:t>June 30,</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3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SYNB1020</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SYNB1618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3,196</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w w:val="90"/>
              </w:rPr>
              <w:t>External pre-development candidate expenses and unallocated expenses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5,593</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Internal research and development expenses</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3,102</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9,876</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5,438</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8,532</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19,233</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13,650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costs include the legal costs of pursuing patent protection of our intellectual property, general and administrative related facility and information technology infrastructure costs and professional fees for accounting and legal services. We anticipate increases in expenses related to operating as a public company. These increases include legal fees, accounting fees, costs for director and officer liability insurance, fees for investor relations services and costs associated with implementing and complying with corporate governance, internal controls and similar requirements applicable to public companies. We charge all general and administrative expenses to operations as incurred.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Interest and investment income consists primarily of interest income earned on investments. Interest expense consists of expense related to our capital leases. Other expense consists primarily of gains and losses on foreign currency invoices.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is based upon our consolidated financial statements prepared in accordance with generally accepted accounting principles in the U.S.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7"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 xml:space="preserve">Our critical accounting policies are described in our 2017 Annual Report on Form 10-K filed with the SEC on March 20, 2018. During the three and six months ended June 30, 2018, there were no material changes to our critical accounting policies, other than revenue recognition due to our adoption of ASC 606 (as defined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consolidated financial statements appearing elsewhere in this Quarterly Report on Form 10-Q). We believe that these identified policies are critical to fully understanding and evaluating our financial condition and results of operations.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24" w:name="page25"/>
    <w:bookmarkEnd w:id="24"/>
    <w:p>
      <w:pPr>
        <w:ind w:right="60" w:firstLine="518"/>
        <w:spacing w:after="0" w:line="291" w:lineRule="auto"/>
        <w:rPr>
          <w:sz w:val="20"/>
          <w:szCs w:val="20"/>
          <w:color w:val="auto"/>
        </w:rPr>
      </w:pPr>
      <w:r>
        <w:rPr>
          <w:rFonts w:ascii="Arial" w:cs="Arial" w:eastAsia="Arial" w:hAnsi="Arial"/>
          <w:sz w:val="16"/>
          <w:szCs w:val="16"/>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 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discussion summarizes the key factors our management believes are necessary for an understanding of our consolidated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results.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2018 Compared to Three Months Ended June 30, 2017</w:t>
      </w:r>
    </w:p>
    <w:p>
      <w:pPr>
        <w:spacing w:after="0" w:line="302"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20" w:type="dxa"/>
            <w:vAlign w:val="bottom"/>
            <w:gridSpan w:val="7"/>
          </w:tcPr>
          <w:p>
            <w:pPr>
              <w:ind w:left="440"/>
              <w:spacing w:after="0"/>
              <w:rPr>
                <w:sz w:val="20"/>
                <w:szCs w:val="20"/>
                <w:color w:val="auto"/>
              </w:rPr>
            </w:pPr>
            <w:r>
              <w:rPr>
                <w:rFonts w:ascii="Arial" w:cs="Arial" w:eastAsia="Arial" w:hAnsi="Arial"/>
                <w:sz w:val="14"/>
                <w:szCs w:val="14"/>
                <w:b w:val="1"/>
                <w:bCs w:val="1"/>
                <w:color w:val="auto"/>
              </w:rPr>
              <w:t>For the three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r>
      <w:tr>
        <w:trPr>
          <w:trHeight w:val="156"/>
        </w:trPr>
        <w:tc>
          <w:tcPr>
            <w:tcW w:w="4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4"/>
              </w:rPr>
              <w:t>June 30, 2018</w:t>
            </w:r>
          </w:p>
        </w:tc>
        <w:tc>
          <w:tcPr>
            <w:tcW w:w="1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June 30, 2017</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r>
      <w:tr>
        <w:trPr>
          <w:trHeight w:val="156"/>
        </w:trPr>
        <w:tc>
          <w:tcPr>
            <w:tcW w:w="430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7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(1,857)</w:t>
            </w:r>
          </w:p>
        </w:tc>
        <w:tc>
          <w:tcPr>
            <w:tcW w:w="120" w:type="dxa"/>
            <w:vAlign w:val="bottom"/>
            <w:shd w:val="clear" w:color="auto" w:fill="CFF0FC"/>
          </w:tcPr>
          <w:p>
            <w:pPr>
              <w:spacing w:after="0"/>
              <w:rPr>
                <w:sz w:val="19"/>
                <w:szCs w:val="19"/>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Operating expenses:</w:t>
            </w: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8,532</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w:t>
            </w:r>
          </w:p>
        </w:tc>
        <w:tc>
          <w:tcPr>
            <w:tcW w:w="120" w:type="dxa"/>
            <w:vAlign w:val="bottom"/>
            <w:shd w:val="clear" w:color="auto" w:fill="CFF0FC"/>
          </w:tcPr>
          <w:p>
            <w:pPr>
              <w:spacing w:after="0"/>
              <w:rPr>
                <w:sz w:val="19"/>
                <w:szCs w:val="19"/>
                <w:color w:val="auto"/>
              </w:rPr>
            </w:pPr>
          </w:p>
        </w:tc>
      </w:tr>
      <w:tr>
        <w:trPr>
          <w:trHeight w:val="230"/>
        </w:trPr>
        <w:tc>
          <w:tcPr>
            <w:tcW w:w="43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7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120" w:type="dxa"/>
            <w:vAlign w:val="bottom"/>
            <w:tcBorders>
              <w:bottom w:val="single" w:sz="8" w:color="CFF0FC"/>
            </w:tcBorders>
          </w:tcPr>
          <w:p>
            <w:pPr>
              <w:spacing w:after="0"/>
              <w:rPr>
                <w:sz w:val="19"/>
                <w:szCs w:val="19"/>
                <w:color w:val="auto"/>
              </w:rPr>
            </w:pPr>
          </w:p>
        </w:tc>
      </w:tr>
      <w:tr>
        <w:trPr>
          <w:trHeight w:val="223"/>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7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4,038</w:t>
            </w:r>
          </w:p>
        </w:tc>
        <w:tc>
          <w:tcPr>
            <w:tcW w:w="120" w:type="dxa"/>
            <w:vAlign w:val="bottom"/>
            <w:shd w:val="clear" w:color="auto" w:fill="CFF0FC"/>
          </w:tcPr>
          <w:p>
            <w:pPr>
              <w:spacing w:after="0"/>
              <w:rPr>
                <w:sz w:val="19"/>
                <w:szCs w:val="19"/>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Loss from operations</w:t>
            </w: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(5,895)</w:t>
            </w:r>
          </w:p>
        </w:tc>
        <w:tc>
          <w:tcPr>
            <w:tcW w:w="120" w:type="dxa"/>
            <w:vAlign w:val="bottom"/>
          </w:tcPr>
          <w:p>
            <w:pPr>
              <w:spacing w:after="0"/>
              <w:rPr>
                <w:sz w:val="19"/>
                <w:szCs w:val="19"/>
                <w:color w:val="auto"/>
              </w:rPr>
            </w:pPr>
          </w:p>
        </w:tc>
      </w:tr>
      <w:tr>
        <w:trPr>
          <w:trHeight w:val="230"/>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19"/>
                <w:szCs w:val="19"/>
                <w:color w:val="auto"/>
              </w:rPr>
            </w:pPr>
          </w:p>
        </w:tc>
      </w:tr>
      <w:tr>
        <w:trPr>
          <w:trHeight w:val="230"/>
        </w:trPr>
        <w:tc>
          <w:tcPr>
            <w:tcW w:w="4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30"/>
        </w:trPr>
        <w:tc>
          <w:tcPr>
            <w:tcW w:w="430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r>
      <w:tr>
        <w:trPr>
          <w:trHeight w:val="223"/>
        </w:trPr>
        <w:tc>
          <w:tcPr>
            <w:tcW w:w="4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7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(5,203)</w:t>
            </w:r>
          </w:p>
        </w:tc>
        <w:tc>
          <w:tcPr>
            <w:tcW w:w="120" w:type="dxa"/>
            <w:vAlign w:val="bottom"/>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5"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Revenue was $0.3 million for the three months ended June 30, 2018 as compared to $2.1 million for the three months ended June 30, 2017. The revenue for both periods is associated with the AbbVie collaboration. The decrease in revenue of $1.8 million was primarily the result of a milestone achieved and recognized during the three months ended June 30,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Research and development expense was $10.9 million for the three months ended June 30, 2018 compared to $8.5 million in the corresponding period in 2017. The increase in research and development expense of $2.4 million was primarily due to an increase of $1.8 million in expenses associated with our SYNB1618 program including the Phase 1 / 2a clinical trial, an increase of $1.1 million in compensation, benefits and other employee-related expenses associated with increased headcount and $0.9 million of research and development support costs. Support costs include increased rent and depreciation from our 301 Binney Street facility, which we occupied in February 2018. Other increases include $0.6 million in expenses associated with external preclinical studies, as well as $0.3 million in internal lab costs. These increases were partially offset by decreases of $1.8 million in one-time equity-based charges and $0.3 million in one-time patent related charges associated with the MIT-BU license signed in April 2017, as well as a decrease of $0.2 million in spending associated with our SYNB1020 program.</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General and administrative expense was $4.7 million for the three months ended June 30, 2018 compared to $3.0 million for the corresponding period in 2017. The increase of $1.7 million was primarily due to an increase of $1.2 million in severance and equity-based compensation charges associated with the separation of our former chief executive officer, $0.8 million in compensation, benefits and other employee-related expenses associated with increased headcount and equity-based compensation, as well as $0.2 million associated with fees related to public company activities, such as filing fees and insurance. These increases were partially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5" w:name="page26"/>
    <w:bookmarkEnd w:id="25"/>
    <w:p>
      <w:pPr>
        <w:ind w:right="460"/>
        <w:spacing w:after="0" w:line="277" w:lineRule="auto"/>
        <w:rPr>
          <w:sz w:val="20"/>
          <w:szCs w:val="20"/>
          <w:color w:val="auto"/>
        </w:rPr>
      </w:pPr>
      <w:r>
        <w:rPr>
          <w:rFonts w:ascii="Arial" w:cs="Arial" w:eastAsia="Arial" w:hAnsi="Arial"/>
          <w:sz w:val="18"/>
          <w:szCs w:val="18"/>
          <w:color w:val="auto"/>
        </w:rPr>
        <w:t>offset by a decrease of $0.4 million in audit fees related to preparations for public filings during 2017, as well as a decrease of $0.3 million in legal fees associated with both corporate and patent legal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Other income (expense) for the three months ended June 30, 2018 was $0.8 million compared to $0.1 million for the corresponding period in 2017. The increase in other income (expense) of $0.7 million was related to an increase in interest and investment income resulting from higher cash balances and higher interest rates generated by our investment account. We did not have the investment account prior to our Merger with Mirna. These increases were partially offset by an increase in interest expense associated with capital leases established during 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2018 Compared to Six Months Ended June 30, 2017</w:t>
      </w:r>
    </w:p>
    <w:p>
      <w:pPr>
        <w:spacing w:after="0" w:line="200" w:lineRule="exact"/>
        <w:rPr>
          <w:sz w:val="20"/>
          <w:szCs w:val="20"/>
          <w:color w:val="auto"/>
        </w:rPr>
      </w:pP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For the six months ended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9"/>
              </w:rPr>
              <w:t>Change</w:t>
            </w:r>
          </w:p>
        </w:tc>
      </w:tr>
      <w:tr>
        <w:trPr>
          <w:trHeight w:val="156"/>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w w:val="94"/>
              </w:rPr>
              <w:t>June 30, 2018</w:t>
            </w: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w w:val="92"/>
              </w:rPr>
              <w:t>June 30, 2017</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4020" w:type="dxa"/>
            <w:vAlign w:val="bottom"/>
            <w:tcBorders>
              <w:bottom w:val="single" w:sz="8" w:color="CFF0FC"/>
            </w:tcBorders>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tcPr>
          <w:p>
            <w:pPr>
              <w:jc w:val="right"/>
              <w:ind w:right="580"/>
              <w:spacing w:after="0" w:line="155"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w:t>
            </w:r>
          </w:p>
        </w:tc>
        <w:tc>
          <w:tcPr>
            <w:tcW w:w="2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5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8,363</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5,403</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5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27,596</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8,543</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(16,831)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(10,157)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0" w:type="dxa"/>
            <w:vAlign w:val="bottom"/>
          </w:tcPr>
          <w:p>
            <w:pPr>
              <w:spacing w:after="0"/>
              <w:rPr>
                <w:sz w:val="19"/>
                <w:szCs w:val="19"/>
                <w:color w:val="auto"/>
              </w:rPr>
            </w:pPr>
          </w:p>
        </w:tc>
        <w:tc>
          <w:tcPr>
            <w:tcW w:w="402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5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1,232</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(25,756)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(16,756)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(9,000</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5"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Revenue was $0.6 million for the six months ended June 30, 2018 as compared to $2.2 million for the six months ended June 30, 2017. The revenue for both periods is associated with the AbbVie collaboration. The decrease in revenue of $1.6 million was the result of a milestone achieved and recognized during the six months ended June 30,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60" w:firstLine="518"/>
        <w:spacing w:after="0" w:line="290" w:lineRule="auto"/>
        <w:rPr>
          <w:sz w:val="20"/>
          <w:szCs w:val="20"/>
          <w:color w:val="auto"/>
        </w:rPr>
      </w:pPr>
      <w:r>
        <w:rPr>
          <w:rFonts w:ascii="Arial" w:cs="Arial" w:eastAsia="Arial" w:hAnsi="Arial"/>
          <w:sz w:val="16"/>
          <w:szCs w:val="16"/>
          <w:color w:val="auto"/>
        </w:rPr>
        <w:t>Research and development expense was $19.2 million for the six months ended June 30, 2018 compared to $13.7 million in the corresponding period in 2017. The increase in research and development expense of $5.5 million was primarily due to an increase of $2.7 million in external development costs associated with our SYNB1618 program, primarily due to our Phase 1 / 2a clinical trial, $2.4 million in compensation, benefits and other employee-related expenses associated with increased headcount and equity-based compensation, as well as $1.7 million of research and development support costs. Support costs include increased rent and depreciation from our 301 Binney Street facility, which we occupied in February 2018. Other increases include $1.0 million in expenses associated with external preclinical studies, and $0.4 million in internal lab costs. These increases were partially offset by decreases of $1.8 million in one-time equity-based charges and $0.3 in one-time patent related charges associated with the MIT-BU license signed in April 2017, as well as a decrease of $0.8 million in spending associated with our SYNB1020 program, primarily associated with manufacturing and formulation work in 2017.</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General and administrative expense was $8.4 million for the six months ended June 30, 2018 compared to $5.4 million for the corresponding period in 2017. The increase of $3.0 million was primarily due to an increase of $1.6 million in compensation, benefits and other employee-related expenses associated with increased headcount and equity-based compensation, $1.2 million in severance and equity-based compensation charges associated with the separation of our former chief executive officer, as well as $0.5 million associated with professional fees related to public company activities, which include filing fees, insurance and taxes, $0.3 million in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26" w:name="page27"/>
    <w:bookmarkEnd w:id="26"/>
    <w:p>
      <w:pPr>
        <w:ind w:right="40"/>
        <w:spacing w:after="0" w:line="264" w:lineRule="auto"/>
        <w:rPr>
          <w:sz w:val="20"/>
          <w:szCs w:val="20"/>
          <w:color w:val="auto"/>
        </w:rPr>
      </w:pPr>
      <w:r>
        <w:rPr>
          <w:rFonts w:ascii="Arial" w:cs="Arial" w:eastAsia="Arial" w:hAnsi="Arial"/>
          <w:sz w:val="18"/>
          <w:szCs w:val="18"/>
          <w:color w:val="auto"/>
        </w:rPr>
        <w:t>support costs, and $0.2 million in consulting and professional fees. Support costs include rent and depreciation from our 301 Binney Street facility, which we occupied in February 2018. The increases were partially offset by a decrease of $0.7 million in legal fees associated with both corporate and patent legal expenses and a decrease in audit fees of $0.3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Other income (expense) for the six months ended June 30, 2018 was $1.2 million compared to $0.1 million for the corresponding period in 2017. The increase in other income (expense) of $1.1 million was related to an increase in interest and investment income resulting from higher cash balances and higher interest rates generated by our investment account. We did not have the investment account prior to our Merger with Mirna. These increases were partially offset by an increase in interest expense associated with capital leases established during 2017.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20" w:firstLine="518"/>
        <w:spacing w:after="0" w:line="271" w:lineRule="auto"/>
        <w:rPr>
          <w:sz w:val="20"/>
          <w:szCs w:val="20"/>
          <w:color w:val="auto"/>
        </w:rPr>
      </w:pPr>
      <w:r>
        <w:rPr>
          <w:rFonts w:ascii="Arial" w:cs="Arial" w:eastAsia="Arial" w:hAnsi="Arial"/>
          <w:sz w:val="17"/>
          <w:szCs w:val="17"/>
          <w:color w:val="auto"/>
        </w:rPr>
        <w:t>We have incurred losses since our inception on March 14, 2014 and, as of June 30, 2018, we had an accumulated deficit of approximately $97.1 million. We have financed our operations to date primarily through the sale of preferred stock, common stock, preferred units, payments received under our AbbVie collaboration agreement, interest earned on investments, and cash received in the Merger. At June 30, 2018, we had $143.2 million in cash, cash equivalents, and marketable securities. Our cash and cash equivalents include amounts held in money market funds and corporate debt securities, stated at cost plus accrued interest, which approximates fair market value. Our available-for-sale securities include amounts held in corporate debt securities.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79"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During the six months ended June 30, 2018, our cash, cash equivalents and marketable securities balance increased approximately $56.2 million. The increase was primarily due to the net proceeds of $53.8 million, from the sale of our common stock in January 2018 and $28.9 million in net proceeds from the registered direct sale of our common shares in April 2018. These increases were partially offset by the cash used to operate our business, including payments related to, among other things, research and development and general and administrative expenses as we continue to invest in our primary drug candidates and support the development of our proprietary platform. We also made capital purchases and made payments on our capital leases.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major sources and uses of cash, cash equivalents and restricted cash for each of the periods below (in thousands):</w:t>
      </w:r>
    </w:p>
    <w:p>
      <w:pPr>
        <w:spacing w:after="0" w:line="321"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56"/>
        </w:trPr>
        <w:tc>
          <w:tcPr>
            <w:tcW w:w="54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cash, cash equivalents and restricted cash (used in)</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provided by:</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544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(23,835)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(14,540)</w:t>
            </w:r>
          </w:p>
        </w:tc>
      </w:tr>
      <w:tr>
        <w:trPr>
          <w:trHeight w:val="230"/>
        </w:trPr>
        <w:tc>
          <w:tcPr>
            <w:tcW w:w="5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(90,427)</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(419)</w:t>
            </w:r>
          </w:p>
        </w:tc>
      </w:tr>
      <w:tr>
        <w:trPr>
          <w:trHeight w:val="230"/>
        </w:trPr>
        <w:tc>
          <w:tcPr>
            <w:tcW w:w="54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Financing activities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82,449</w:t>
            </w:r>
          </w:p>
        </w:tc>
        <w:tc>
          <w:tcPr>
            <w:tcW w:w="20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67,199</w:t>
            </w:r>
          </w:p>
        </w:tc>
        <w:tc>
          <w:tcPr>
            <w:tcW w:w="80" w:type="dxa"/>
            <w:vAlign w:val="bottom"/>
            <w:tcBorders>
              <w:bottom w:val="single" w:sz="8" w:color="CFF0FC"/>
            </w:tcBorders>
          </w:tcPr>
          <w:p>
            <w:pPr>
              <w:spacing w:after="0"/>
              <w:rPr>
                <w:sz w:val="19"/>
                <w:szCs w:val="19"/>
                <w:color w:val="auto"/>
              </w:rPr>
            </w:pPr>
          </w:p>
        </w:tc>
      </w:tr>
      <w:tr>
        <w:trPr>
          <w:trHeight w:val="20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(31,813)</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52,240</w:t>
            </w:r>
          </w:p>
        </w:tc>
        <w:tc>
          <w:tcPr>
            <w:tcW w:w="80" w:type="dxa"/>
            <w:vAlign w:val="bottom"/>
            <w:shd w:val="clear" w:color="auto" w:fill="CFF0FC"/>
          </w:tcPr>
          <w:p>
            <w:pPr>
              <w:spacing w:after="0"/>
              <w:rPr>
                <w:sz w:val="20"/>
                <w:szCs w:val="20"/>
                <w:color w:val="auto"/>
              </w:rPr>
            </w:pPr>
          </w:p>
        </w:tc>
      </w:tr>
      <w:tr>
        <w:trPr>
          <w:trHeight w:val="20"/>
        </w:trPr>
        <w:tc>
          <w:tcPr>
            <w:tcW w:w="54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Net cash used in operating activities was $23.8 million for the six months ended June 30, 2018. The primary use of cash was our net loss of $25.8 million and a decrease in working capital of $1.1 million, primarily related to decreases in accounts payable, accrued expenses and deferred revenue, offset by increases in deferred rent from our 301 Binney Street facility. Net loss was partially offset by $3.1 million of non-cash items including depreciation and equity-based compensation.</w:t>
      </w:r>
    </w:p>
    <w:p>
      <w:pPr>
        <w:spacing w:after="0" w:line="18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Net cash used in operating activities was $14.5 million for the six months ended June 30, 2017. The primary use of cash was our net loss of $16.8 million and a decrease in working capital of $0.7 million primarily associated with an increase in accounts receivable partially offset by increases in accounts payable and accrued expenses. Net loss was partially offset by non-cash items of $3.0 million related to equity compensation, depreciation, and expense associated with common shares issued in a license acquisition.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Net cash used in investing activities for the six months ended June 30, 2018 was $90.4 million and resulted primarily from the purchases of securities of $115.0 million and the purchases of property and equipment of $2.9 million. These uses were partially offset by proceeds from the maturity of marketable securities of $27.5 million.</w:t>
      </w:r>
    </w:p>
    <w:p>
      <w:pPr>
        <w:spacing w:after="0" w:line="181"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Net cash used in investing activities for the six months ended June 30, 2017 was $0.4 million and resulted primarily from the purchases of property and equipment.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Net cash provided by financing activities for the six months ended June 30, 2018 totaled $82.5 million as a result of $53.8 million in net proceeds from the sale of our common stock in January 2018 and $28.9 million in net proceeds from the sale of our common stock in April 2018, partially offset by $0.2 million in payments on our capital leases.</w:t>
      </w:r>
    </w:p>
    <w:p>
      <w:pPr>
        <w:spacing w:after="0" w:line="181"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Net cash provided by financing activities for the six months ended June 30, 2017 totaled $67.2 million as a result of $26.6 million in net proceeds from the sale of Class B preferred units in March 2017 and $40.7 million in net proceeds from the sale of Series C Convertible Preferred Stock in May 2017 (of which $0.3 million of expenses is in accounts payable and accrued expenses), partially offset by $0.1 million in payments on our capital leases.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8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We have generated revenue from our AbbVie collaboration, but have not generated any product revenue since our inception and do not expect to generate any product revenue unless we receive regulatory approval for our product candidates. We believe that our cash on hand as of June 30, 2018, as well as additional milestone payments from our current and future collaborators, our January 2018 and April 2018 common stock offerings,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92" w:lineRule="exact"/>
        <w:rPr>
          <w:sz w:val="20"/>
          <w:szCs w:val="20"/>
          <w:color w:val="auto"/>
        </w:rPr>
      </w:pPr>
    </w:p>
    <w:p>
      <w:pPr>
        <w:ind w:right="560" w:firstLine="518"/>
        <w:spacing w:after="0" w:line="286" w:lineRule="auto"/>
        <w:rPr>
          <w:sz w:val="20"/>
          <w:szCs w:val="20"/>
          <w:color w:val="auto"/>
        </w:rPr>
      </w:pPr>
      <w:r>
        <w:rPr>
          <w:rFonts w:ascii="Arial" w:cs="Arial" w:eastAsia="Arial" w:hAnsi="Arial"/>
          <w:sz w:val="17"/>
          <w:szCs w:val="17"/>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57"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agreements with third-party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28" w:name="page29"/>
    <w:bookmarkEnd w:id="28"/>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 and</w:t>
      </w:r>
    </w:p>
    <w:p>
      <w:pPr>
        <w:spacing w:after="0" w:line="117"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170"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121" w:lineRule="exact"/>
        <w:rPr>
          <w:sz w:val="20"/>
          <w:szCs w:val="20"/>
          <w:color w:val="auto"/>
        </w:rPr>
      </w:pPr>
    </w:p>
    <w:p>
      <w:pPr>
        <w:jc w:val="both"/>
        <w:ind w:right="380" w:firstLine="518"/>
        <w:spacing w:after="0" w:line="264" w:lineRule="auto"/>
        <w:rPr>
          <w:sz w:val="20"/>
          <w:szCs w:val="20"/>
          <w:color w:val="auto"/>
        </w:rPr>
      </w:pPr>
      <w:r>
        <w:rPr>
          <w:rFonts w:ascii="Arial" w:cs="Arial" w:eastAsia="Arial" w:hAnsi="Arial"/>
          <w:sz w:val="18"/>
          <w:szCs w:val="18"/>
          <w:color w:val="auto"/>
        </w:rPr>
        <w:t>There have been no material changes to our contractual obligations and commitments set forth under the heading “Management’s Discussion and Analysis of Financial Condition and Results of Operations- Contractual Obligations and Commitments” in our Annual Report on Form 10-K for the year ended December 31, 2017, filed with the SEC on March 20,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For additional transactions with related parties which may fall outside of the reporting period of this section, please see the section entitled “</w:t>
      </w:r>
      <w:r>
        <w:rPr>
          <w:rFonts w:ascii="Arial" w:cs="Arial" w:eastAsia="Arial" w:hAnsi="Arial"/>
          <w:sz w:val="18"/>
          <w:szCs w:val="18"/>
          <w:i w:val="1"/>
          <w:iCs w:val="1"/>
          <w:color w:val="auto"/>
        </w:rPr>
        <w:t>Related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Party Transactions of Directors and Executive Officers of the Combined Organization – Synlogic Transactions” </w:t>
      </w:r>
      <w:r>
        <w:rPr>
          <w:rFonts w:ascii="Arial" w:cs="Arial" w:eastAsia="Arial" w:hAnsi="Arial"/>
          <w:sz w:val="18"/>
          <w:szCs w:val="18"/>
          <w:color w:val="auto"/>
        </w:rPr>
        <w:t>in our proxy statement filed with the SEC on</w:t>
      </w:r>
      <w:r>
        <w:rPr>
          <w:rFonts w:ascii="Arial" w:cs="Arial" w:eastAsia="Arial" w:hAnsi="Arial"/>
          <w:sz w:val="18"/>
          <w:szCs w:val="18"/>
          <w:i w:val="1"/>
          <w:iCs w:val="1"/>
          <w:color w:val="auto"/>
        </w:rPr>
        <w:t xml:space="preserve"> </w:t>
      </w:r>
      <w:r>
        <w:rPr>
          <w:rFonts w:ascii="Arial" w:cs="Arial" w:eastAsia="Arial" w:hAnsi="Arial"/>
          <w:sz w:val="18"/>
          <w:szCs w:val="18"/>
          <w:color w:val="auto"/>
        </w:rPr>
        <w:t>April 27, 2018.</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We do not have any relationships with unconsolidated entities or financial partnerships, such as entities often referred to as structured finance or</w:t>
      </w:r>
    </w:p>
    <w:p>
      <w:pPr>
        <w:spacing w:after="0" w:line="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special purpose entities, that would have been established for the purpose of facilitating off-balance sheet arrangements (as that term is defined in Item 303(a) (4)(ii)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Section 107 of the JOBS Act provides that an emerging growth company can take advantage of the extended transition period provided in Section 7(a)</w:t>
      </w:r>
    </w:p>
    <w:p>
      <w:pPr>
        <w:spacing w:after="0" w:line="4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companies.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 xml:space="preserve">For detailed information regarding recently issued accounting pronouncements and the expected impact on our consolidated financial statements,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consolidated financial statements appearing elsewhere in this Quarterly Report on Form 10-Q.</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primary objective of our investment activities is to preserve capital for the purpose of funding operations, while at the same time maximizing the income we receive from investments without materially increasing risk. To achieve these objectives, our investment policy allows us to maintain a portfolio of cash, cash equivalents and short-term investments in a variety of securities, including commercial paper and money market funds. Our cash is deposited in and invested through highly rated financial institutions in North America.</w:t>
      </w:r>
    </w:p>
    <w:p>
      <w:pPr>
        <w:spacing w:after="0" w:line="187"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Cash and cash equivalents at June 30, 2018 consisted of cash, money market funds and corporate debt securities. Our short-term investments consisted of corporate securities. Our primary exposure to market risk is interest income sensitivity, which is affected by changes in the general level of interest rates, particularly because our investments are in short-term marketable securities. Due to the short-term duration of our investment portfolio and the low risk profile of our instruments we do not believe that an increase or decrease in market rates would have a material impact on us. We do not currently hedge interest rate exposure.</w:t>
      </w:r>
    </w:p>
    <w:p>
      <w:pPr>
        <w:spacing w:after="0" w:line="188"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We do not believe that our cash, cash equivalents, available-for-sale investments and restricted cash have significant risk of default or illiquidity at this time, as they are invested in securities issued by the U.S. government. While we believe our cash, cash equivalents, available-for-sale investments and restricted cash do not contain excessive risk, we cannot provide absolute assurance that in the future our investments will not be subject to adverse changes in market value. We maintain significant amounts of cash and restricted cash at one or more financial institutions that are in excess of federally insured limits.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We do not believe that inflation had a material effect on our business, financial condition or results of operations for the three and six months ended June 30, 2018 and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93"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Our principal executive officer and our principal financial officer, after evaluating the effectiveness of our disclosure controls and procedures, believe that as of the end of the period covered by this report, our disclosure controls and procedures were effective in providing the requisite reasonable assurance that material information required to be disclosed in the reports that we file or submit under the Exchange Act is recorded, processed, summarized and reported within the time periods specified in the SEC’s rules and forms, and is accumulated and communicated to our management, including our principal executive officer and principal financial officer, as appropriate to allow timely decisions regarding the required disclosure.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93"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In the following discussion of risk factors, References to “we”, “us”, “our” and similar terms refer to the combined business of Synlogic, Inc. after the Merger on August 28, 2017.</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We are a clinical-stage biopharmaceutical company focused on the development of Synthetic Biotic medicines and we have incurred significant operating losses since our inception. Our net loss was $14.6 million and $25.8 million for the three and six months ended June 30, 2018, respectively, and $9.4 million and $16.8 million for the three and six months ended June 30, 2017, respectively. As of June 30, 2018, we had an accumulated deficit of approximately $97.1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ready for commercialization.</w:t>
      </w:r>
    </w:p>
    <w:p>
      <w:pPr>
        <w:spacing w:after="0" w:line="165"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used substantial funds to discover and develop our programs and proprietary drug development platform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1" w:name="page32"/>
    <w:bookmarkEnd w:id="31"/>
    <w:p>
      <w:pPr>
        <w:ind w:right="20" w:firstLine="518"/>
        <w:spacing w:after="0" w:line="270" w:lineRule="auto"/>
        <w:rPr>
          <w:sz w:val="20"/>
          <w:szCs w:val="20"/>
          <w:color w:val="auto"/>
        </w:rPr>
      </w:pPr>
      <w:r>
        <w:rPr>
          <w:rFonts w:ascii="Arial" w:cs="Arial" w:eastAsia="Arial" w:hAnsi="Arial"/>
          <w:sz w:val="17"/>
          <w:szCs w:val="17"/>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To date, we have primarily financed our operations through sales of our securities, our third-party collaborations and our Merger with Mirna.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78"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prospectus supplement and others:</w:t>
      </w:r>
    </w:p>
    <w:p>
      <w:pPr>
        <w:spacing w:after="0" w:line="73" w:lineRule="exact"/>
        <w:rPr>
          <w:sz w:val="20"/>
          <w:szCs w:val="20"/>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5"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9" w:lineRule="exact"/>
        <w:rPr>
          <w:sz w:val="20"/>
          <w:szCs w:val="20"/>
          <w:color w:val="auto"/>
        </w:rPr>
      </w:pPr>
    </w:p>
    <w:p>
      <w:pPr>
        <w:ind w:right="100" w:firstLine="518"/>
        <w:spacing w:after="0" w:line="312" w:lineRule="auto"/>
        <w:rPr>
          <w:sz w:val="20"/>
          <w:szCs w:val="20"/>
          <w:color w:val="auto"/>
        </w:rPr>
      </w:pPr>
      <w:r>
        <w:rPr>
          <w:rFonts w:ascii="Arial" w:cs="Arial" w:eastAsia="Arial" w:hAnsi="Arial"/>
          <w:sz w:val="16"/>
          <w:szCs w:val="16"/>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Quarterly Report on Form 10-Q and others such as:</w:t>
      </w:r>
    </w:p>
    <w:p>
      <w:pPr>
        <w:spacing w:after="0" w:line="39" w:lineRule="exact"/>
        <w:rPr>
          <w:sz w:val="20"/>
          <w:szCs w:val="20"/>
          <w:color w:val="auto"/>
        </w:rPr>
      </w:pPr>
    </w:p>
    <w:p>
      <w:pPr>
        <w:ind w:left="1040" w:right="72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relating to collaborations that we may enter into with respect to the development or commercialization of our product candidates;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84" w:right="279" w:bottom="1440" w:gutter="0" w:footer="0" w:header="0"/>
        </w:sectPr>
      </w:pPr>
    </w:p>
    <w:bookmarkStart w:id="32" w:name="page33"/>
    <w:bookmarkEnd w:id="32"/>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disruptions caused by earthquakes or other natural disasters;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stockholders to evaluate the success of our business to date and to assess our future viability.</w:t>
      </w:r>
    </w:p>
    <w:p>
      <w:pPr>
        <w:spacing w:after="0" w:line="140"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June 2017, we initiated a Phase 1 clinical trial with SYNB1020, in April 2018, we announced that we dosed the first patient in our Phase 1b / 2a clinical trial of SYNB1020 for treatment of hyperammonemia in patients with cirrhosis, and in April 2018 we dosed our first subject in a Phase 1 / 2a clinical trial of SYNB1618, however all of our other therapeutic programs are still in the preclinical development stage. We will need to transition from a company with a research focus to a company capable of supporting clinical development and commercial activities. We have not yet demonstrated our ability to successfully complete large-scale, pivotal clinical trials, obtain marketing approvals, manufacture a commercial-scale product, or arrange for a third 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comprehensive tax reform bill could adversely affect our business and financial condition.</w:t>
      </w:r>
    </w:p>
    <w:p>
      <w:pPr>
        <w:spacing w:after="0" w:line="11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On December 22, 2017, President Trump signed into law the “Tax Cuts and Jobs Act,” or TCJA, which significantly reforms the Internal Revenue Code of 1986, as amended, or the Code. The TCJA, among other things, includes changes to U.S. federal tax rates, imposes significant additional limitations on the deductibility of interest and net operating loss carryforwards, allows for the expensing of capital expenditures, and puts into effect the migration from a “worldwide” system of taxation to a territorial system. Our net deferred tax assets and liabilities will be revalued at the newly enacted U.S. corporate rate, and the impact, if any, will be recognized in our tax expense in the year of enactment. We continue to examine the impact this tax reform legislation may have on our business. The impact of this tax reform is uncertain and could be adverse. This Quarterly Report on Form 10-Q does not discuss any such tax legislation or the manner in which it might affect purchasers of our common stock. We urge our investors to consult with their legal and tax advisors with respect to such legislation and the potential tax consequences of investing in our common stock.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62" w:lineRule="exact"/>
        <w:rPr>
          <w:sz w:val="20"/>
          <w:szCs w:val="20"/>
          <w:color w:val="auto"/>
        </w:rPr>
      </w:pPr>
    </w:p>
    <w:p>
      <w:pPr>
        <w:ind w:right="160" w:firstLine="518"/>
        <w:spacing w:after="0" w:line="312"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39" w:lineRule="exact"/>
        <w:rPr>
          <w:sz w:val="20"/>
          <w:szCs w:val="20"/>
          <w:color w:val="auto"/>
        </w:rPr>
      </w:pPr>
    </w:p>
    <w:p>
      <w:pPr>
        <w:ind w:left="1040" w:right="20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generate satisfactory preclinical or other nonclinical data, including, toxicology, or other in vivo or in vitro data or diagnostics to support the initiation or continuation of clinical trials;</w:t>
      </w:r>
    </w:p>
    <w:p>
      <w:pPr>
        <w:spacing w:after="0" w:line="62"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17" w:lineRule="exact"/>
        <w:rPr>
          <w:rFonts w:ascii="Arial" w:cs="Arial" w:eastAsia="Arial" w:hAnsi="Arial"/>
          <w:sz w:val="18"/>
          <w:szCs w:val="18"/>
          <w:color w:val="auto"/>
        </w:rPr>
      </w:pPr>
    </w:p>
    <w:p>
      <w:pPr>
        <w:jc w:val="both"/>
        <w:ind w:left="1040" w:right="160" w:hanging="519"/>
        <w:spacing w:after="0" w:line="259"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resulting from review of a clinical trial protocol by the National Institutes of Health’s (NIH) Recombinant DNA Advisory Committee (RAC). While our product candidates do not involve gene transfers to humans, and the FDA advised us that the clinical development of our first clinical candidate, SYNB1020, did not require submission to the RAC, certain clinical trial sites may deem application for RAC review appropriate before proceeding with a clinical trial;</w:t>
      </w:r>
    </w:p>
    <w:p>
      <w:pPr>
        <w:spacing w:after="0" w:line="78"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17"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17" w:lineRule="exact"/>
        <w:rPr>
          <w:rFonts w:ascii="Arial" w:cs="Arial" w:eastAsia="Arial" w:hAnsi="Arial"/>
          <w:sz w:val="18"/>
          <w:szCs w:val="18"/>
          <w:color w:val="auto"/>
        </w:rPr>
      </w:pPr>
    </w:p>
    <w:p>
      <w:pPr>
        <w:ind w:left="1040" w:right="8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73" w:lineRule="exact"/>
        <w:rPr>
          <w:rFonts w:ascii="Arial" w:cs="Arial" w:eastAsia="Arial" w:hAnsi="Arial"/>
          <w:sz w:val="18"/>
          <w:szCs w:val="18"/>
          <w:color w:val="auto"/>
        </w:rPr>
      </w:pPr>
    </w:p>
    <w:p>
      <w:pPr>
        <w:ind w:left="1040" w:right="22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8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30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62"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 medicines represent a novel therapeutic modality and their successful development by us may require additional studies and efforts to optimize their therapeutic potential. Any product candidates that we develop may not demonstrate in patients the therapeutic</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13" w:right="339" w:bottom="1440" w:gutter="0" w:footer="0" w:header="0"/>
        </w:sectPr>
      </w:pPr>
    </w:p>
    <w:bookmarkStart w:id="34" w:name="page35"/>
    <w:bookmarkEnd w:id="34"/>
    <w:p>
      <w:pPr>
        <w:ind w:right="20"/>
        <w:spacing w:after="0" w:line="264" w:lineRule="auto"/>
        <w:rPr>
          <w:sz w:val="20"/>
          <w:szCs w:val="20"/>
          <w:color w:val="auto"/>
        </w:rPr>
      </w:pPr>
      <w:r>
        <w:rPr>
          <w:rFonts w:ascii="Arial" w:cs="Arial" w:eastAsia="Arial" w:hAnsi="Arial"/>
          <w:sz w:val="18"/>
          <w:szCs w:val="18"/>
          <w:color w:val="auto"/>
        </w:rPr>
        <w:t>properties ascribed to them in laboratory and other preclinical studies, and they may interact with human biological systems in unforeseen, ineffective or even harmful ways. If we are not able to successfully develop and commercialize product candidates based upon this technological approach, we may never become profitable and the value of our capital stock may decline.</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2"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have concentrated our research and development efforts to date on a limited number of product candidates based on our Synthetic Biotic therapeutic platform and identifying our initial targeted disease indications.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8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therapeutics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 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117"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 medicines that can be deployed against a broad range of human disease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90"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 w:lineRule="exact"/>
        <w:rPr>
          <w:sz w:val="20"/>
          <w:szCs w:val="20"/>
          <w:color w:val="auto"/>
        </w:rPr>
      </w:pPr>
    </w:p>
    <w:p>
      <w:pPr>
        <w:jc w:val="both"/>
        <w:ind w:right="120" w:firstLine="518"/>
        <w:spacing w:after="0" w:line="286" w:lineRule="auto"/>
        <w:rPr>
          <w:sz w:val="20"/>
          <w:szCs w:val="20"/>
          <w:color w:val="auto"/>
        </w:rPr>
      </w:pPr>
      <w:r>
        <w:rPr>
          <w:rFonts w:ascii="Arial" w:cs="Arial" w:eastAsia="Arial" w:hAnsi="Arial"/>
          <w:sz w:val="17"/>
          <w:szCs w:val="17"/>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6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62"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or revoke licenses for such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w:t>
      </w:r>
    </w:p>
    <w:p>
      <w:pPr>
        <w:spacing w:after="0" w:line="117" w:lineRule="exact"/>
        <w:rPr>
          <w:rFonts w:ascii="Arial" w:cs="Arial" w:eastAsia="Arial" w:hAnsi="Arial"/>
          <w:sz w:val="18"/>
          <w:szCs w:val="18"/>
          <w:color w:val="auto"/>
        </w:rPr>
      </w:pPr>
    </w:p>
    <w:p>
      <w:pPr>
        <w:ind w:left="1040" w:right="20" w:hanging="519"/>
        <w:spacing w:after="0" w:line="342"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may be required to create a risk evaluation and mitigation strategy (REMS) plan, which could include a medication guide outlining the risks of such side effects for distribution to patients, a communication plan for healthcare providers, and/or other elements to assure safe use;</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5" w:name="page36"/>
    <w:bookmarkEnd w:id="35"/>
    <w:p>
      <w:pPr>
        <w:ind w:right="880" w:firstLine="51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9"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Clinical trials by their nature utilize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301" w:lineRule="exact"/>
        <w:rPr>
          <w:sz w:val="20"/>
          <w:szCs w:val="20"/>
          <w:color w:val="auto"/>
        </w:rPr>
      </w:pPr>
    </w:p>
    <w:p>
      <w:pPr>
        <w:ind w:right="40"/>
        <w:spacing w:after="0" w:line="340" w:lineRule="auto"/>
        <w:rPr>
          <w:sz w:val="20"/>
          <w:szCs w:val="20"/>
          <w:color w:val="auto"/>
        </w:rPr>
      </w:pPr>
      <w:r>
        <w:rPr>
          <w:rFonts w:ascii="Arial" w:cs="Arial" w:eastAsia="Arial" w:hAnsi="Arial"/>
          <w:sz w:val="15"/>
          <w:szCs w:val="15"/>
          <w:b w:val="1"/>
          <w:bCs w:val="1"/>
          <w:i w:val="1"/>
          <w:iCs w:val="1"/>
          <w:color w:val="auto"/>
        </w:rPr>
        <w:t>We are heavily dependent on the success of our product candidates. Some of our product candidates have produced results in preclinical settings to date, but none of our product candidates have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23" w:lineRule="exact"/>
        <w:rPr>
          <w:sz w:val="20"/>
          <w:szCs w:val="20"/>
          <w:color w:val="auto"/>
        </w:rPr>
      </w:pPr>
    </w:p>
    <w:p>
      <w:pPr>
        <w:ind w:right="40" w:firstLine="518"/>
        <w:spacing w:after="0" w:line="286" w:lineRule="auto"/>
        <w:rPr>
          <w:sz w:val="20"/>
          <w:szCs w:val="20"/>
          <w:color w:val="auto"/>
        </w:rPr>
      </w:pPr>
      <w:r>
        <w:rPr>
          <w:rFonts w:ascii="Arial" w:cs="Arial" w:eastAsia="Arial" w:hAnsi="Arial"/>
          <w:sz w:val="17"/>
          <w:szCs w:val="17"/>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66" w:lineRule="exact"/>
        <w:rPr>
          <w:sz w:val="20"/>
          <w:szCs w:val="20"/>
          <w:color w:val="auto"/>
        </w:rPr>
      </w:pPr>
    </w:p>
    <w:p>
      <w:pPr>
        <w:ind w:right="260" w:firstLine="518"/>
        <w:spacing w:after="0" w:line="255" w:lineRule="auto"/>
        <w:rPr>
          <w:sz w:val="20"/>
          <w:szCs w:val="20"/>
          <w:color w:val="auto"/>
        </w:rPr>
      </w:pPr>
      <w:r>
        <w:rPr>
          <w:rFonts w:ascii="Arial" w:cs="Arial" w:eastAsia="Arial" w:hAnsi="Arial"/>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3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62"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As part of our business strategy, we have developed and may in the future develop product candidates that may be eligible for FDA and European Commission orphan drug designation. In August 2016, the FDA granted orphan drug designation to SYNB1020 for the treatment of UCD and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67"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54"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Even though we have obtained orphan drug designation for certain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jc w:val="both"/>
        <w:ind w:right="60"/>
        <w:spacing w:after="0" w:line="264" w:lineRule="auto"/>
        <w:rPr>
          <w:sz w:val="20"/>
          <w:szCs w:val="20"/>
          <w:color w:val="auto"/>
        </w:rPr>
      </w:pPr>
      <w:r>
        <w:rPr>
          <w:rFonts w:ascii="Arial" w:cs="Arial" w:eastAsia="Arial" w:hAnsi="Arial"/>
          <w:sz w:val="18"/>
          <w:szCs w:val="18"/>
          <w:color w:val="auto"/>
        </w:rPr>
        <w:t>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2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sz w:val="20"/>
          <w:szCs w:val="20"/>
          <w:color w:val="auto"/>
        </w:rPr>
      </w:pPr>
    </w:p>
    <w:p>
      <w:pPr>
        <w:ind w:right="80" w:firstLine="518"/>
        <w:spacing w:after="0" w:line="271"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Product candidates that seemingly perform satisfactorily in preclinical studies and clinical trials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2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right="100" w:firstLine="518"/>
        <w:spacing w:after="0" w:line="254" w:lineRule="auto"/>
        <w:rPr>
          <w:sz w:val="20"/>
          <w:szCs w:val="20"/>
          <w:color w:val="auto"/>
        </w:rPr>
      </w:pPr>
      <w:r>
        <w:rPr>
          <w:rFonts w:ascii="Arial" w:cs="Arial" w:eastAsia="Arial" w:hAnsi="Arial"/>
          <w:sz w:val="18"/>
          <w:szCs w:val="18"/>
          <w:color w:val="auto"/>
        </w:rPr>
        <w:t>Clinical trials of a new product candidate require the enrollment of a sufficient number of patients suffering from the disease or condition the product candidate is intended to treat and who meet other eligibility criteria.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92"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2,000 patients diagnosed with UCD in the United States, and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64"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ind w:right="20" w:firstLine="518"/>
        <w:spacing w:after="0" w:line="287" w:lineRule="auto"/>
        <w:rPr>
          <w:sz w:val="20"/>
          <w:szCs w:val="20"/>
          <w:color w:val="auto"/>
        </w:rPr>
      </w:pPr>
      <w:r>
        <w:rPr>
          <w:rFonts w:ascii="Arial" w:cs="Arial" w:eastAsia="Arial" w:hAnsi="Arial"/>
          <w:sz w:val="16"/>
          <w:szCs w:val="16"/>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65" w:lineRule="exact"/>
        <w:rPr>
          <w:sz w:val="20"/>
          <w:szCs w:val="20"/>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commercialized, product recalls, withdrawals of labeling, marketing or promotional restrictions or the need for product modification;</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increase in our product liability insurance rates or the inability to maintain insurance coverage in the future on acceptable terms, if at all;</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5"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73"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6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30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seek Fast-Track designation for one or more of our product candidates, but we might not receive such designation, and even if we do, such designation may not actually lead to a faster development or regulatory review or approval process.</w:t>
      </w:r>
    </w:p>
    <w:p>
      <w:pPr>
        <w:spacing w:after="0" w:line="62" w:lineRule="exact"/>
        <w:rPr>
          <w:sz w:val="20"/>
          <w:szCs w:val="20"/>
          <w:color w:val="auto"/>
        </w:rPr>
      </w:pPr>
    </w:p>
    <w:p>
      <w:pPr>
        <w:jc w:val="both"/>
        <w:ind w:right="260" w:firstLine="518"/>
        <w:spacing w:after="0" w:line="264"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the condition, a product sponsor may apply for FDA Fast-Track designation. We were awarded Fast-Track designation for SYNB1020 in June 2017 and for SYNB1618 in April 2018. Fast-Track designation does not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ind w:right="480"/>
        <w:spacing w:after="0" w:line="279" w:lineRule="auto"/>
        <w:rPr>
          <w:sz w:val="20"/>
          <w:szCs w:val="20"/>
          <w:color w:val="auto"/>
        </w:rPr>
      </w:pPr>
      <w:r>
        <w:rPr>
          <w:rFonts w:ascii="Arial" w:cs="Arial" w:eastAsia="Arial" w:hAnsi="Arial"/>
          <w:sz w:val="17"/>
          <w:szCs w:val="17"/>
          <w:color w:val="auto"/>
        </w:rPr>
        <w:t>ensure that we will receive marketing approval for the product candidate or that approval will be granted within any particular timeframe. We may not experience a faster development or regulatory review or approval process with Fast-Track designation compared to conventional FDA procedures. In addition, the FDA may withdraw Fast-Track designation if it believes that the designation is no longer supported by data from our clinical development program. Fast-Track designation alone does not guarantee qualification for the FDA’s priority review procedures.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11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7"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(cGMP) regulations and corresponding foreign regulatory manufacturing requirements. As such, we and our contract manufacturers will be subject to continual review and inspections to assess compliance with cGMP and adherence to commitments made in any Biologic License Application (BLA) or marketing authorization application.</w:t>
      </w:r>
    </w:p>
    <w:p>
      <w:pPr>
        <w:spacing w:after="0" w:line="154"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 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6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79" w:lineRule="exact"/>
        <w:rPr>
          <w:sz w:val="20"/>
          <w:szCs w:val="20"/>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financial condition or results of operations.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(collectively, the ACA), was passed, which was intended to substantially change the way health care is financed by both governmental health programs and private insurers, and significantly impact the U.S. pharmaceutical industry. The ACA, among other things, introduced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specified branded prescription drugs, and promotes a new Medicare Part D coverage gap discount program.</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9" w:name="page40"/>
    <w:bookmarkEnd w:id="39"/>
    <w:p>
      <w:pPr>
        <w:ind w:right="80" w:firstLine="518"/>
        <w:spacing w:after="0" w:line="259" w:lineRule="auto"/>
        <w:rPr>
          <w:sz w:val="20"/>
          <w:szCs w:val="20"/>
          <w:color w:val="auto"/>
        </w:rPr>
      </w:pPr>
      <w:r>
        <w:rPr>
          <w:rFonts w:ascii="Arial" w:cs="Arial" w:eastAsia="Arial" w:hAnsi="Arial"/>
          <w:sz w:val="18"/>
          <w:szCs w:val="18"/>
          <w:color w:val="auto"/>
        </w:rPr>
        <w:t>The ACA has been under scrutiny by the U.S. Congress almost since its passage, and certain sections of the ACA have not been fully implemented or effectively repealed. As a result, its longevity continues to be uncertain. In addition, ongoing initiatives in the U.S. have increased and will continue to increase pressure on drug pricing. The announcement or adoption of any such initiative could have an adverse effect on potential revenues from any product candidate that we may successfully develop.</w:t>
      </w:r>
    </w:p>
    <w:p>
      <w:pPr>
        <w:spacing w:after="0" w:line="18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It is anticipated that the ACA, as well as other healthcare reform measures that may be adopted in the future, may result in more rigorous coverage criteria and an additional downward pressure on the reimbursement our customers may receive for our products. Further, there have been judicial and Congressional challenges to certain aspects of the ACA, and it is expected there will be additional challenges and amendments to the ACA in the future, especially with the recent change in administration.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30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0" w:lineRule="exact"/>
        <w:rPr>
          <w:sz w:val="20"/>
          <w:szCs w:val="20"/>
          <w:color w:val="auto"/>
        </w:rPr>
      </w:pPr>
    </w:p>
    <w:p>
      <w:pPr>
        <w:ind w:left="1040" w:hanging="519"/>
        <w:spacing w:after="0" w:line="264"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3" w:lineRule="exact"/>
        <w:rPr>
          <w:rFonts w:ascii="Arial" w:cs="Arial" w:eastAsia="Arial" w:hAnsi="Arial"/>
          <w:sz w:val="18"/>
          <w:szCs w:val="18"/>
          <w:color w:val="auto"/>
        </w:rPr>
      </w:pPr>
    </w:p>
    <w:p>
      <w:pPr>
        <w:ind w:left="1040" w:right="360" w:hanging="519"/>
        <w:spacing w:after="0" w:line="308"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40" w:right="20" w:hanging="519"/>
        <w:spacing w:after="0" w:line="27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ind w:left="1040" w:right="160" w:hanging="519"/>
        <w:spacing w:after="0" w:line="279"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63" w:lineRule="exact"/>
        <w:rPr>
          <w:rFonts w:ascii="Arial" w:cs="Arial" w:eastAsia="Arial" w:hAnsi="Arial"/>
          <w:sz w:val="17"/>
          <w:szCs w:val="17"/>
          <w:color w:val="auto"/>
        </w:rPr>
      </w:pPr>
    </w:p>
    <w:p>
      <w:pPr>
        <w:ind w:left="1040" w:right="120" w:hanging="519"/>
        <w:spacing w:after="0" w:line="272"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specified circumstances, many of which differ from each other in significant ways and may not have the same effect, thus complicating compliance efforts.</w:t>
      </w:r>
    </w:p>
    <w:p>
      <w:pPr>
        <w:spacing w:after="0" w:line="178"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0" w:name="page41"/>
    <w:bookmarkEnd w:id="40"/>
    <w:p>
      <w:pPr>
        <w:ind w:right="200" w:firstLine="518"/>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 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89" w:lineRule="exact"/>
        <w:rPr>
          <w:sz w:val="20"/>
          <w:szCs w:val="20"/>
          <w:color w:val="auto"/>
        </w:rPr>
      </w:pPr>
    </w:p>
    <w:p>
      <w:pPr>
        <w:ind w:right="240" w:firstLine="518"/>
        <w:spacing w:after="0" w:line="302"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54" w:lineRule="exact"/>
        <w:rPr>
          <w:sz w:val="20"/>
          <w:szCs w:val="20"/>
          <w:color w:val="auto"/>
        </w:rPr>
      </w:pPr>
    </w:p>
    <w:p>
      <w:pPr>
        <w:ind w:right="300" w:firstLine="518"/>
        <w:spacing w:after="0" w:line="25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7" w:lineRule="exact"/>
        <w:rPr>
          <w:sz w:val="20"/>
          <w:szCs w:val="20"/>
          <w:color w:val="auto"/>
        </w:rPr>
      </w:pPr>
    </w:p>
    <w:p>
      <w:pPr>
        <w:jc w:val="both"/>
        <w:ind w:right="320" w:firstLine="518"/>
        <w:spacing w:after="0" w:line="264"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jc w:val="both"/>
        <w:ind w:right="160"/>
        <w:spacing w:after="0" w:line="286" w:lineRule="auto"/>
        <w:rPr>
          <w:sz w:val="20"/>
          <w:szCs w:val="20"/>
          <w:color w:val="auto"/>
        </w:rPr>
      </w:pPr>
      <w:r>
        <w:rPr>
          <w:rFonts w:ascii="Arial" w:cs="Arial" w:eastAsia="Arial" w:hAnsi="Arial"/>
          <w:sz w:val="17"/>
          <w:szCs w:val="17"/>
          <w:color w:val="auto"/>
        </w:rPr>
        <w:t>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2"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 medicines, product candidates and processes for our development pipeline through acquisitions and in-licenses.</w:t>
      </w:r>
    </w:p>
    <w:p>
      <w:pPr>
        <w:spacing w:after="0" w:line="62"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7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58"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74"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73"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2" w:name="page43"/>
    <w:bookmarkEnd w:id="42"/>
    <w:p>
      <w:pPr>
        <w:ind w:right="180" w:firstLine="518"/>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66"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58"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30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3" w:lineRule="exact"/>
        <w:rPr>
          <w:sz w:val="20"/>
          <w:szCs w:val="20"/>
          <w:color w:val="auto"/>
        </w:rPr>
      </w:pPr>
    </w:p>
    <w:p>
      <w:pPr>
        <w:jc w:val="both"/>
        <w:ind w:right="40" w:firstLine="518"/>
        <w:spacing w:after="0" w:line="259" w:lineRule="auto"/>
        <w:rPr>
          <w:sz w:val="20"/>
          <w:szCs w:val="20"/>
          <w:color w:val="auto"/>
        </w:rPr>
      </w:pPr>
      <w:r>
        <w:rPr>
          <w:rFonts w:ascii="Arial" w:cs="Arial" w:eastAsia="Arial" w:hAnsi="Arial"/>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ind w:right="40"/>
        <w:spacing w:after="0" w:line="259" w:lineRule="auto"/>
        <w:rPr>
          <w:sz w:val="20"/>
          <w:szCs w:val="20"/>
          <w:color w:val="auto"/>
        </w:rPr>
      </w:pPr>
      <w:r>
        <w:rPr>
          <w:rFonts w:ascii="Arial" w:cs="Arial" w:eastAsia="Arial" w:hAnsi="Arial"/>
          <w:sz w:val="18"/>
          <w:szCs w:val="18"/>
          <w:color w:val="auto"/>
        </w:rPr>
        <w:t>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29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62" w:lineRule="exact"/>
        <w:rPr>
          <w:sz w:val="20"/>
          <w:szCs w:val="20"/>
          <w:color w:val="auto"/>
        </w:rPr>
      </w:pPr>
    </w:p>
    <w:p>
      <w:pPr>
        <w:ind w:right="40" w:firstLine="518"/>
        <w:spacing w:after="0" w:line="286"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 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75"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 medicines.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79"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4" w:name="page45"/>
    <w:bookmarkEnd w:id="44"/>
    <w:p>
      <w:pPr>
        <w:ind w:right="40" w:firstLine="518"/>
        <w:spacing w:after="0" w:line="297" w:lineRule="auto"/>
        <w:rPr>
          <w:sz w:val="20"/>
          <w:szCs w:val="20"/>
          <w:color w:val="auto"/>
        </w:rPr>
      </w:pPr>
      <w:r>
        <w:rPr>
          <w:rFonts w:ascii="Arial" w:cs="Arial" w:eastAsia="Arial" w:hAnsi="Arial"/>
          <w:sz w:val="16"/>
          <w:szCs w:val="16"/>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58"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2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152"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273" w:lineRule="exact"/>
        <w:rPr>
          <w:sz w:val="20"/>
          <w:szCs w:val="20"/>
          <w:color w:val="auto"/>
        </w:rPr>
      </w:pPr>
    </w:p>
    <w:p>
      <w:pPr>
        <w:ind w:right="500"/>
        <w:spacing w:after="0" w:line="375" w:lineRule="auto"/>
        <w:rPr>
          <w:sz w:val="20"/>
          <w:szCs w:val="20"/>
          <w:color w:val="auto"/>
        </w:rPr>
      </w:pPr>
      <w:r>
        <w:rPr>
          <w:rFonts w:ascii="Arial" w:cs="Arial" w:eastAsia="Arial" w:hAnsi="Arial"/>
          <w:sz w:val="15"/>
          <w:szCs w:val="15"/>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We are a party to certain intellectual property license agreements that are important to our business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30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240" w:firstLine="518"/>
        <w:spacing w:after="0" w:line="291" w:lineRule="auto"/>
        <w:rPr>
          <w:sz w:val="20"/>
          <w:szCs w:val="20"/>
          <w:color w:val="auto"/>
        </w:rPr>
      </w:pPr>
      <w:r>
        <w:rPr>
          <w:rFonts w:ascii="Arial" w:cs="Arial" w:eastAsia="Arial" w:hAnsi="Arial"/>
          <w:sz w:val="16"/>
          <w:szCs w:val="16"/>
          <w:color w:val="auto"/>
        </w:rPr>
        <w:t>Competitors may infringe our patents or the patents of our licensors. To cease such infringement or unauthorized use, we or one of our licensing partners may be required to file patent infringement claims against a third 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6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If we or one of our licensing partners were to initiate legal proceedings against a third 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5" w:name="page46"/>
    <w:bookmarkEnd w:id="45"/>
    <w:p>
      <w:pPr>
        <w:spacing w:after="0" w:line="255" w:lineRule="auto"/>
        <w:rPr>
          <w:sz w:val="20"/>
          <w:szCs w:val="20"/>
          <w:color w:val="auto"/>
        </w:rPr>
      </w:pPr>
      <w:r>
        <w:rPr>
          <w:rFonts w:ascii="Arial" w:cs="Arial" w:eastAsia="Arial" w:hAnsi="Arial"/>
          <w:sz w:val="18"/>
          <w:szCs w:val="18"/>
          <w:color w:val="auto"/>
        </w:rPr>
        <w:t>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89"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67"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73"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products and our patents or other intellectual property rights may not be effective or sufficient to prevent them from competing.</w:t>
      </w:r>
    </w:p>
    <w:p>
      <w:pPr>
        <w:spacing w:after="0" w:line="18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 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2"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375" w:lineRule="auto"/>
        <w:rPr>
          <w:sz w:val="20"/>
          <w:szCs w:val="20"/>
          <w:color w:val="auto"/>
        </w:rPr>
      </w:pPr>
      <w:r>
        <w:rPr>
          <w:rFonts w:ascii="Arial" w:cs="Arial" w:eastAsia="Arial" w:hAnsi="Arial"/>
          <w:sz w:val="15"/>
          <w:szCs w:val="15"/>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do not independently conduct all aspects of our drug discovery activities, compound formulation research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reduces our control over these activities but does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47" w:name="page48"/>
    <w:bookmarkEnd w:id="47"/>
    <w:p>
      <w:pPr>
        <w:ind w:right="70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research and development, preclinical activities, and clinical activities, and may do the same for any commercial supplies of our product candidates.</w:t>
      </w:r>
    </w:p>
    <w:p>
      <w:pPr>
        <w:spacing w:after="0" w:line="62"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We rely on third-party supply and manufacturing partners to supply the materials and components for, and manufacture, a portion of our research and development and preclinical study drug supplies and may do the same for any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71"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do not own manufacturing facilities or supply sources for such components and materials, but may develop these capabilities in the future.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8"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Synthetic biotic medicines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8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 regulations. In the event that any of our suppliers or manufacturers fails to comply with such requirements or to perform our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69"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could adversely affect our business in a number of ways, including:</w:t>
      </w:r>
    </w:p>
    <w:p>
      <w:pPr>
        <w:spacing w:after="0" w:line="85"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ind w:right="320"/>
        <w:spacing w:after="0" w:line="375"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 party. With respect to consulting agreements, we indemnify consultants from claims arising from the good faith performance of their services.</w:t>
      </w:r>
    </w:p>
    <w:p>
      <w:pPr>
        <w:spacing w:after="0" w:line="178"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2"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are currently party to an agreement with AbbVie. 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40" w:right="1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collaborators may devote to the relevant product candidates, which may impact our potential economic benefits;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40" w:right="66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6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73"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1"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39"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substantial competition and our competitors may discover, develop or commercialize products faster or more successfully than us.</w:t>
      </w:r>
    </w:p>
    <w:p>
      <w:pPr>
        <w:spacing w:after="0" w:line="129"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Acer Therapeutics Inc., Aeglea BioTherapeutics, Inc., Arcturus Therapeutics Inc., Dimension Therapeutics, Inc. (acquired by Ultragenyx Pharmaceutical Inc.), Horizon Pharma plc, Kaleido Biosciences, Selecta Biosciences, Inc., Translate Bio (formerly Rana Therapeutics) and Versantis AG have developed or are developing product candidates for the treatment of UCD; Bausch Health Companies Inc. (formerly Valeant Pharmaceuticals International, Inc.), Kaleido Biosciences, Kannalife Sciences, Inc., Ocera Therapeutics, Inc. ( acquired by Mallinckrodt Pharmaceuticals), Rebiotix, Inc., Umecrine Cognition AB, Versantis AG as well as other preclinical and discovery stage companies have developed or are each developing product candidates for the treatment of HE; and American Gene Technologies International Inc., BioMarin, Inc., Codexis, Inc., Dimension Therapeutics, Inc., Homology Medicines, Inc., MipSalus ApS, Moderna Therapeutics, and Rubius Therapeutics have developed or are developing product candidates for the treatment of PKU.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w:t>
      </w:r>
    </w:p>
    <w:p>
      <w:pPr>
        <w:spacing w:after="0" w:line="18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addition to the competition we face from alternative therapies for the diseases we intend to target with our product candidates, we are also aware of several companies that are also working specifically to develop engineered bacteria as cellular drug therapies, such as Intrexon Corp. Further there are several companies working to develop other similar products. Many of our competitors have substantially greater financial, technical and other resources, such as larger research and development staff and experienced marketing and manufacturing organizations. Third-party payors, including governmental and private insurers, may also encourage the use of generic products.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88" w:right="279" w:bottom="1440" w:gutter="0" w:footer="0" w:header="0"/>
        </w:sectPr>
      </w:pPr>
    </w:p>
    <w:bookmarkStart w:id="50" w:name="page51"/>
    <w:bookmarkEnd w:id="50"/>
    <w:p>
      <w:pPr>
        <w:ind w:right="360" w:firstLine="518"/>
        <w:spacing w:after="0" w:line="27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0"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Many of our competitors have materially greater name recognition and financial, manufacturing, marketing, research and drug development resources than we do. Additional mergers and acquisitions in the biotechnology and 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27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62"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9"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50" w:lineRule="exact"/>
        <w:rPr>
          <w:sz w:val="20"/>
          <w:szCs w:val="20"/>
          <w:color w:val="auto"/>
        </w:rPr>
      </w:pPr>
    </w:p>
    <w:p>
      <w:pPr>
        <w:ind w:left="1040" w:right="72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17"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17" w:lineRule="exact"/>
        <w:rPr>
          <w:rFonts w:ascii="Arial" w:cs="Arial" w:eastAsia="Arial" w:hAnsi="Arial"/>
          <w:sz w:val="18"/>
          <w:szCs w:val="18"/>
          <w:color w:val="auto"/>
        </w:rPr>
      </w:pPr>
    </w:p>
    <w:p>
      <w:pPr>
        <w:ind w:left="1040" w:right="140" w:hanging="519"/>
        <w:spacing w:after="0" w:line="27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8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2"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65"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w:t>
      </w:r>
    </w:p>
    <w:p>
      <w:pPr>
        <w:spacing w:after="0" w:line="193"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93"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2"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believe that our future success is highly dependent upon the contributions of our senior management,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52" w:name="page53"/>
    <w:bookmarkEnd w:id="52"/>
    <w:p>
      <w:pPr>
        <w:ind w:right="240"/>
        <w:spacing w:after="0" w:line="264" w:lineRule="auto"/>
        <w:rPr>
          <w:sz w:val="20"/>
          <w:szCs w:val="20"/>
          <w:color w:val="auto"/>
        </w:rPr>
      </w:pPr>
      <w:r>
        <w:rPr>
          <w:rFonts w:ascii="Arial" w:cs="Arial" w:eastAsia="Arial" w:hAnsi="Arial"/>
          <w:sz w:val="18"/>
          <w:szCs w:val="18"/>
          <w:color w:val="auto"/>
        </w:rPr>
        <w:t>particularly our president and chief executive officer, chief financial officer, chief medical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8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8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 (1) 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common stock may be delisted from the Nasdaq Capital Market if we are unable to maintain compliance with Nasdaq’s continued listing standards.</w:t>
      </w:r>
    </w:p>
    <w:p>
      <w:pPr>
        <w:spacing w:after="0" w:line="15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Nasdaq imposes, among other requirements, continued listing standards including minimum bid and public float requirements. The price of our common stock must trade at or above $1.00 to comply with Nasdaq’s minimum bid requirement for continued listing on the Nasdaq Capital Market. If our stock trades at bid prices of less than $1.00 for a period in excess of 30 consecutive business days, Nasdaq could send a deficiency notice to the company for not remaining in compliance with the minimum bid listing standards. During the year ended December 31, 2017 and the six months ended June 30, 2018, our common stock never traded below $1.00. However, if the closing bid price of our common stock fails to meet Nasdaq’s minimum closing bid price requirement, or if we otherwise fail to meet any other applicable requirements of Nasdaq and we are unable to regain compliance, Nasdaq may make a determination to delist our common stock.</w:t>
      </w:r>
    </w:p>
    <w:p>
      <w:pPr>
        <w:spacing w:after="0" w:line="18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Any delisting of our common stock could adversely affect the market liquidity of our common stock and the market price of our common stock could decrease. Furthermore, if our common stock were delisted it could adversely affect our ability to obtain financing for the continuation of our operations and/or result in the loss of confidence by investors, customers, suppliers and employees.</w:t>
      </w:r>
    </w:p>
    <w:p>
      <w:pPr>
        <w:spacing w:after="0" w:line="28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20" w:firstLine="518"/>
        <w:spacing w:after="0" w:line="293" w:lineRule="auto"/>
        <w:rPr>
          <w:sz w:val="20"/>
          <w:szCs w:val="20"/>
          <w:color w:val="auto"/>
        </w:rPr>
      </w:pPr>
      <w:r>
        <w:rPr>
          <w:rFonts w:ascii="Arial" w:cs="Arial" w:eastAsia="Arial" w:hAnsi="Arial"/>
          <w:sz w:val="16"/>
          <w:szCs w:val="16"/>
          <w:color w:val="auto"/>
        </w:rPr>
        <w:t>Based on the beneficial ownership of our common stock as of August 2, 2018, our executive officers and directors, together with holders of 5% or more of our common stock outstanding and their respective affiliates, beneficially own approximately 58%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3" w:name="page54"/>
    <w:bookmarkEnd w:id="53"/>
    <w:p>
      <w:pPr>
        <w:spacing w:after="0" w:line="277" w:lineRule="auto"/>
        <w:rPr>
          <w:sz w:val="20"/>
          <w:szCs w:val="20"/>
          <w:color w:val="auto"/>
        </w:rPr>
      </w:pPr>
      <w:r>
        <w:rPr>
          <w:rFonts w:ascii="Arial" w:cs="Arial" w:eastAsia="Arial" w:hAnsi="Arial"/>
          <w:sz w:val="18"/>
          <w:szCs w:val="18"/>
          <w:color w:val="auto"/>
        </w:rPr>
        <w:t>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are an “emerging growth company,” as defined in the JOBS Act, and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89"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In addition, Section 102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August 2, 2018, there were a total of 25,430,948 shares of our common stock outstanding.</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40" w:hanging="519"/>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receipt, modification or termination of government contracts or grants, and the timing of payments we receive under these arrangements;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execution of any collaborative, licensing or similar arrangements, and the timing of payments we may make under these arrangements;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3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76" w:right="279" w:bottom="1440" w:gutter="0" w:footer="0" w:header="0"/>
        </w:sectPr>
      </w:pPr>
    </w:p>
    <w:bookmarkStart w:id="54" w:name="page55"/>
    <w:bookmarkEnd w:id="54"/>
    <w:p>
      <w:pPr>
        <w:ind w:right="54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62" w:lineRule="exact"/>
        <w:rPr>
          <w:rFonts w:ascii="Arial" w:cs="Arial" w:eastAsia="Arial" w:hAnsi="Arial"/>
          <w:sz w:val="18"/>
          <w:szCs w:val="18"/>
          <w:color w:val="auto"/>
        </w:rPr>
      </w:pPr>
    </w:p>
    <w:p>
      <w:pPr>
        <w:ind w:left="1040" w:right="20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17" w:lineRule="exact"/>
        <w:rPr>
          <w:rFonts w:ascii="Arial" w:cs="Arial" w:eastAsia="Arial" w:hAnsi="Arial"/>
          <w:sz w:val="18"/>
          <w:szCs w:val="18"/>
          <w:color w:val="auto"/>
        </w:rPr>
      </w:pPr>
    </w:p>
    <w:p>
      <w:pPr>
        <w:ind w:left="1040" w:right="580" w:hanging="519"/>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0"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 Furthermore, our amended and restated certificate of incorporation specifies that the Court of Chancery of the State of Delaware will be the sole and exclusive forum for most legal actions involving actions brought against us by our stockholders. We believe this provision benefits the company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73"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279" w:lineRule="exact"/>
        <w:rPr>
          <w:sz w:val="20"/>
          <w:szCs w:val="20"/>
          <w:color w:val="auto"/>
        </w:rPr>
      </w:pPr>
    </w:p>
    <w:p>
      <w:pPr>
        <w:ind w:right="800"/>
        <w:spacing w:after="0" w:line="308" w:lineRule="auto"/>
        <w:rPr>
          <w:sz w:val="20"/>
          <w:szCs w:val="20"/>
          <w:color w:val="auto"/>
        </w:rPr>
      </w:pPr>
      <w:r>
        <w:rPr>
          <w:rFonts w:ascii="Arial" w:cs="Arial" w:eastAsia="Arial" w:hAnsi="Arial"/>
          <w:sz w:val="17"/>
          <w:szCs w:val="17"/>
          <w:b w:val="1"/>
          <w:bCs w:val="1"/>
          <w:i w:val="1"/>
          <w:iCs w:val="1"/>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3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Our current executive officers are parties to employment agreements providing for aggregate cash payments of up to approximately $1.1 million at June 30, 2018 for severance and other benefits in the event of a termination of employment in connection with a change of control. The payment of these severance benefits could harm our business, financial condition and results of operations. In addition, these potential severance payments may discourage or prevent third parties from seeking a business combination with Synlogic.</w:t>
      </w:r>
    </w:p>
    <w:p>
      <w:pPr>
        <w:spacing w:after="0" w:line="29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5" w:name="page56"/>
    <w:bookmarkEnd w:id="55"/>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9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92"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Filed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Incorporated by</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9"/>
        </w:trPr>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7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Reference herein</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Filing</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4960" w:type="dxa"/>
            <w:vAlign w:val="bottom"/>
            <w:gridSpan w:val="10"/>
            <w:vMerge w:val="restart"/>
          </w:tcPr>
          <w:p>
            <w:pPr>
              <w:ind w:left="150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with this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from Form or</w:t>
            </w:r>
          </w:p>
        </w:tc>
        <w:tc>
          <w:tcPr>
            <w:tcW w:w="102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File/Reg.</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960" w:type="dxa"/>
            <w:vAlign w:val="bottom"/>
            <w:tcBorders>
              <w:bottom w:val="single" w:sz="8" w:color="auto"/>
            </w:tcBorders>
            <w:gridSpan w:val="10"/>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Report</w:t>
            </w:r>
          </w:p>
        </w:tc>
        <w:tc>
          <w:tcPr>
            <w:tcW w:w="10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Schedule</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291"/>
        </w:trPr>
        <w:tc>
          <w:tcPr>
            <w:tcW w:w="820" w:type="dxa"/>
            <w:vAlign w:val="bottom"/>
          </w:tcPr>
          <w:p>
            <w:pPr>
              <w:jc w:val="right"/>
              <w:ind w:right="313"/>
              <w:spacing w:after="0"/>
              <w:rPr>
                <w:sz w:val="20"/>
                <w:szCs w:val="20"/>
                <w:color w:val="auto"/>
              </w:rPr>
            </w:pPr>
            <w:r>
              <w:rPr>
                <w:rFonts w:ascii="Arial" w:cs="Arial" w:eastAsia="Arial" w:hAnsi="Arial"/>
                <w:sz w:val="18"/>
                <w:szCs w:val="18"/>
                <w:color w:val="auto"/>
                <w:w w:val="88"/>
              </w:rPr>
              <w:t>10.1#</w:t>
            </w:r>
          </w:p>
        </w:tc>
        <w:tc>
          <w:tcPr>
            <w:tcW w:w="120" w:type="dxa"/>
            <w:vAlign w:val="bottom"/>
          </w:tcPr>
          <w:p>
            <w:pPr>
              <w:spacing w:after="0"/>
              <w:rPr>
                <w:sz w:val="24"/>
                <w:szCs w:val="24"/>
                <w:color w:val="auto"/>
              </w:rPr>
            </w:pPr>
          </w:p>
        </w:tc>
        <w:tc>
          <w:tcPr>
            <w:tcW w:w="5840" w:type="dxa"/>
            <w:vAlign w:val="bottom"/>
            <w:gridSpan w:val="12"/>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Third Amendment to Offer Letter dated as of June 5, 2018, between Synlogic,</w:t>
              </w:r>
            </w:hyperlink>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4"/>
              </w:rPr>
            </w:pPr>
            <w:hyperlink w:anchor="page59">
              <w:r>
                <w:rPr>
                  <w:rFonts w:ascii="Arial" w:cs="Arial" w:eastAsia="Arial" w:hAnsi="Arial"/>
                  <w:sz w:val="18"/>
                  <w:szCs w:val="18"/>
                  <w:color w:val="0000EE"/>
                  <w:w w:val="94"/>
                </w:rPr>
                <w:t>Inc. and Aoife Brennan, MB, BCh, BAO, MMSc</w:t>
              </w:r>
            </w:hyperlink>
          </w:p>
        </w:tc>
        <w:tc>
          <w:tcPr>
            <w:tcW w:w="2080" w:type="dxa"/>
            <w:vAlign w:val="bottom"/>
            <w:tcBorders>
              <w:top w:val="single" w:sz="8" w:color="0000EE"/>
            </w:tcBorders>
            <w:gridSpan w:val="7"/>
          </w:tcPr>
          <w:p>
            <w:pPr>
              <w:spacing w:after="0"/>
              <w:rPr>
                <w:sz w:val="17"/>
                <w:szCs w:val="17"/>
                <w:color w:val="auto"/>
              </w:rPr>
            </w:pPr>
          </w:p>
        </w:tc>
        <w:tc>
          <w:tcPr>
            <w:tcW w:w="22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jc w:val="right"/>
              <w:ind w:right="313"/>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4"/>
                <w:szCs w:val="24"/>
                <w:color w:val="auto"/>
              </w:rPr>
            </w:pPr>
          </w:p>
        </w:tc>
        <w:tc>
          <w:tcPr>
            <w:tcW w:w="5840" w:type="dxa"/>
            <w:vAlign w:val="bottom"/>
            <w:gridSpan w:val="12"/>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Amendment to Option Agreements dated as of June 5, 2018, between</w:t>
              </w:r>
            </w:hyperlink>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Synlogic, Inc. and Jose-Carlos Gutiérrez-Ramos</w:t>
              </w:r>
            </w:hyperlink>
          </w:p>
        </w:tc>
        <w:tc>
          <w:tcPr>
            <w:tcW w:w="1520" w:type="dxa"/>
            <w:vAlign w:val="bottom"/>
            <w:tcBorders>
              <w:top w:val="single" w:sz="8" w:color="0000EE"/>
            </w:tcBorders>
            <w:gridSpan w:val="2"/>
          </w:tcPr>
          <w:p>
            <w:pPr>
              <w:spacing w:after="0"/>
              <w:rPr>
                <w:sz w:val="17"/>
                <w:szCs w:val="17"/>
                <w:color w:val="auto"/>
              </w:rPr>
            </w:pPr>
          </w:p>
        </w:tc>
        <w:tc>
          <w:tcPr>
            <w:tcW w:w="84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20" w:type="dxa"/>
            <w:vAlign w:val="bottom"/>
          </w:tcPr>
          <w:p>
            <w:pPr>
              <w:jc w:val="right"/>
              <w:ind w:right="313"/>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54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Certification of Chief Executive Officer required by Rule 13a-14(a) or Rule</w:t>
              </w:r>
            </w:hyperlink>
          </w:p>
        </w:tc>
        <w:tc>
          <w:tcPr>
            <w:tcW w:w="380" w:type="dxa"/>
            <w:vAlign w:val="bottom"/>
            <w:gridSpan w:val="4"/>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15d-14(a).</w:t>
              </w:r>
            </w:hyperlink>
          </w:p>
        </w:tc>
        <w:tc>
          <w:tcPr>
            <w:tcW w:w="508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jc w:val="right"/>
              <w:ind w:right="313"/>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5840" w:type="dxa"/>
            <w:vAlign w:val="bottom"/>
            <w:gridSpan w:val="12"/>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Certification of Chief Financial Officer required by Rule 13a-14(a) or Rule</w:t>
              </w:r>
            </w:hyperlink>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15d-14(a).</w:t>
              </w:r>
            </w:hyperlink>
          </w:p>
        </w:tc>
        <w:tc>
          <w:tcPr>
            <w:tcW w:w="4640" w:type="dxa"/>
            <w:vAlign w:val="bottom"/>
            <w:tcBorders>
              <w:top w:val="single" w:sz="8" w:color="0000EE"/>
            </w:tcBorders>
            <w:gridSpan w:val="6"/>
          </w:tcPr>
          <w:p>
            <w:pPr>
              <w:spacing w:after="0"/>
              <w:rPr>
                <w:sz w:val="17"/>
                <w:szCs w:val="17"/>
                <w:color w:val="auto"/>
              </w:rPr>
            </w:pPr>
          </w:p>
        </w:tc>
        <w:tc>
          <w:tcPr>
            <w:tcW w:w="440" w:type="dxa"/>
            <w:vAlign w:val="bottom"/>
            <w:gridSpan w:val="5"/>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jc w:val="right"/>
              <w:ind w:right="233"/>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55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Certification required by Rule 13a-14(b) or Rule 15d-14(b) and Section 1350</w:t>
              </w:r>
            </w:hyperlink>
          </w:p>
        </w:tc>
        <w:tc>
          <w:tcPr>
            <w:tcW w:w="280" w:type="dxa"/>
            <w:vAlign w:val="bottom"/>
            <w:gridSpan w:val="3"/>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of Chapter 63 of Title 18 of the United States Code (18 U.S.C. §1350).</w:t>
              </w:r>
            </w:hyperlink>
          </w:p>
        </w:tc>
        <w:tc>
          <w:tcPr>
            <w:tcW w:w="72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20" w:type="dxa"/>
            <w:vAlign w:val="bottom"/>
          </w:tcPr>
          <w:p>
            <w:pPr>
              <w:jc w:val="right"/>
              <w:ind w:right="233"/>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556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Certification required by Rule 13a-14(b) or Rule 15d-14(b) and Section 1350</w:t>
              </w:r>
            </w:hyperlink>
          </w:p>
        </w:tc>
        <w:tc>
          <w:tcPr>
            <w:tcW w:w="280" w:type="dxa"/>
            <w:vAlign w:val="bottom"/>
            <w:gridSpan w:val="3"/>
          </w:tcPr>
          <w:p>
            <w:pPr>
              <w:spacing w:after="0"/>
              <w:rPr>
                <w:sz w:val="24"/>
                <w:szCs w:val="2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1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of Chapter 63 of Title 18 of the United States Code (18 U.S.C. §1350).</w:t>
              </w:r>
            </w:hyperlink>
          </w:p>
        </w:tc>
        <w:tc>
          <w:tcPr>
            <w:tcW w:w="74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84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84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84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84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84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84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rPr>
              <w:t>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9690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95" w:lineRule="exact"/>
        <w:rPr>
          <w:sz w:val="20"/>
          <w:szCs w:val="20"/>
          <w:color w:val="auto"/>
        </w:rPr>
      </w:pPr>
    </w:p>
    <w:p>
      <w:pPr>
        <w:ind w:left="520" w:right="100" w:hanging="512"/>
        <w:spacing w:after="0" w:line="259"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11" w:lineRule="exact"/>
        <w:rPr>
          <w:sz w:val="20"/>
          <w:szCs w:val="20"/>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Management contract or compensatory plans or agreements.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7" w:name="page58"/>
    <w:bookmarkEnd w:id="57"/>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SYNLOGIC, INC.</w:t>
      </w:r>
    </w:p>
    <w:p>
      <w:pPr>
        <w:spacing w:after="0" w:line="252"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A</w:t>
      </w:r>
      <w:r>
        <w:rPr>
          <w:rFonts w:ascii="Arial" w:cs="Arial" w:eastAsia="Arial" w:hAnsi="Arial"/>
          <w:sz w:val="12"/>
          <w:szCs w:val="12"/>
          <w:color w:val="auto"/>
        </w:rPr>
        <w:t>OIFE</w:t>
      </w:r>
      <w:r>
        <w:rPr>
          <w:rFonts w:ascii="Arial" w:cs="Arial" w:eastAsia="Arial" w:hAnsi="Arial"/>
          <w:sz w:val="18"/>
          <w:szCs w:val="18"/>
          <w:color w:val="auto"/>
        </w:rPr>
        <w:t xml:space="preserve"> B</w:t>
      </w:r>
      <w:r>
        <w:rPr>
          <w:rFonts w:ascii="Arial" w:cs="Arial" w:eastAsia="Arial" w:hAnsi="Arial"/>
          <w:sz w:val="12"/>
          <w:szCs w:val="12"/>
          <w:color w:val="auto"/>
        </w:rPr>
        <w:t>RENNAN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Interim President and 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/s/T</w:t>
      </w:r>
      <w:r>
        <w:rPr>
          <w:rFonts w:ascii="Arial" w:cs="Arial" w:eastAsia="Arial" w:hAnsi="Arial"/>
          <w:sz w:val="12"/>
          <w:szCs w:val="12"/>
          <w:color w:val="auto"/>
        </w:rPr>
        <w:t>ODD</w:t>
      </w:r>
      <w:r>
        <w:rPr>
          <w:rFonts w:ascii="Arial" w:cs="Arial" w:eastAsia="Arial" w:hAnsi="Arial"/>
          <w:sz w:val="18"/>
          <w:szCs w:val="18"/>
          <w:color w:val="auto"/>
        </w:rPr>
        <w:t xml:space="preserve"> S</w:t>
      </w:r>
      <w:r>
        <w:rPr>
          <w:rFonts w:ascii="Arial" w:cs="Arial" w:eastAsia="Arial" w:hAnsi="Arial"/>
          <w:sz w:val="12"/>
          <w:szCs w:val="12"/>
          <w:color w:val="auto"/>
        </w:rPr>
        <w:t>HEGOG</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Todd Shegog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(Principal Financial Officer and Principal Accounting</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364" w:right="479" w:bottom="1440" w:gutter="0" w:footer="0" w:header="0"/>
        </w:sectPr>
      </w:pPr>
    </w:p>
    <w:bookmarkStart w:id="58" w:name="page59"/>
    <w:bookmarkEnd w:id="58"/>
    <w:p>
      <w:pPr>
        <w:ind w:left="5800"/>
        <w:spacing w:after="0"/>
        <w:rPr>
          <w:sz w:val="20"/>
          <w:szCs w:val="20"/>
          <w:color w:val="auto"/>
        </w:rPr>
      </w:pPr>
      <w:r>
        <w:rPr>
          <w:rFonts w:ascii="Arial" w:cs="Arial" w:eastAsia="Arial" w:hAnsi="Arial"/>
          <w:sz w:val="22"/>
          <w:szCs w:val="22"/>
          <w:b w:val="1"/>
          <w:bCs w:val="1"/>
          <w:u w:val="single" w:color="auto"/>
          <w:color w:val="auto"/>
        </w:rPr>
        <w:t>EXHIBIT 10.1</w:t>
      </w:r>
    </w:p>
    <w:p>
      <w:pPr>
        <w:spacing w:after="0" w:line="207" w:lineRule="exact"/>
        <w:rPr>
          <w:sz w:val="20"/>
          <w:szCs w:val="20"/>
          <w:color w:val="auto"/>
        </w:rPr>
      </w:pPr>
    </w:p>
    <w:p>
      <w:pPr>
        <w:ind w:left="5100"/>
        <w:spacing w:after="0"/>
        <w:rPr>
          <w:sz w:val="20"/>
          <w:szCs w:val="20"/>
          <w:color w:val="auto"/>
        </w:rPr>
      </w:pPr>
      <w:r>
        <w:rPr>
          <w:rFonts w:ascii="Arial" w:cs="Arial" w:eastAsia="Arial" w:hAnsi="Arial"/>
          <w:sz w:val="22"/>
          <w:szCs w:val="22"/>
          <w:b w:val="1"/>
          <w:bCs w:val="1"/>
          <w:color w:val="auto"/>
        </w:rPr>
        <w:t>Synlogic,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301 Binney St., Suite 402</w:t>
      </w:r>
    </w:p>
    <w:p>
      <w:pPr>
        <w:jc w:val="center"/>
        <w:spacing w:after="0"/>
        <w:rPr>
          <w:sz w:val="20"/>
          <w:szCs w:val="20"/>
          <w:color w:val="auto"/>
        </w:rPr>
      </w:pPr>
      <w:r>
        <w:rPr>
          <w:rFonts w:ascii="Arial" w:cs="Arial" w:eastAsia="Arial" w:hAnsi="Arial"/>
          <w:sz w:val="22"/>
          <w:szCs w:val="22"/>
          <w:b w:val="1"/>
          <w:bCs w:val="1"/>
          <w:color w:val="auto"/>
        </w:rPr>
        <w:t>Cambridge, MA 02142</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June 5, 2018</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Dr. Aoife Brennan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 Third Amendment to Offer Letter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Aoife:</w:t>
      </w:r>
    </w:p>
    <w:p>
      <w:pPr>
        <w:spacing w:after="0" w:line="233" w:lineRule="exact"/>
        <w:rPr>
          <w:sz w:val="20"/>
          <w:szCs w:val="20"/>
          <w:color w:val="auto"/>
        </w:rPr>
      </w:pPr>
    </w:p>
    <w:p>
      <w:pPr>
        <w:ind w:right="280" w:firstLine="877"/>
        <w:spacing w:after="0" w:line="236" w:lineRule="auto"/>
        <w:rPr>
          <w:sz w:val="20"/>
          <w:szCs w:val="20"/>
          <w:color w:val="auto"/>
        </w:rPr>
      </w:pPr>
      <w:r>
        <w:rPr>
          <w:rFonts w:ascii="Arial" w:cs="Arial" w:eastAsia="Arial" w:hAnsi="Arial"/>
          <w:sz w:val="22"/>
          <w:szCs w:val="22"/>
          <w:color w:val="auto"/>
        </w:rPr>
        <w:t>This letter confirms our earlier discussions and memorializes the decision approved by the Board of Directors of Synlogic, Inc. (the “Company”) to amend certain provisions of your employment offer letter, effective as of June 22, 2016, and amended as of November 7, 2016 and as of May 16, 2017, by and between you and the Company (the “Letter Agreement”) in connection with your service to the Company as Interim President and Chief Executive Officer. The following amendment to the Letter Agreement will be effective as of the date hereof.</w:t>
      </w:r>
    </w:p>
    <w:p>
      <w:pPr>
        <w:spacing w:after="0" w:line="21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Section 1 of the Letter Agreement is hereby amended by adding the following paragraph to the end of Section 1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Letter Agreement:</w:t>
      </w:r>
    </w:p>
    <w:p>
      <w:pPr>
        <w:spacing w:after="0" w:line="215" w:lineRule="exact"/>
        <w:rPr>
          <w:sz w:val="20"/>
          <w:szCs w:val="20"/>
          <w:color w:val="auto"/>
        </w:rPr>
      </w:pPr>
    </w:p>
    <w:p>
      <w:pPr>
        <w:jc w:val="both"/>
        <w:ind w:firstLine="877"/>
        <w:spacing w:after="0" w:line="244" w:lineRule="auto"/>
        <w:rPr>
          <w:sz w:val="20"/>
          <w:szCs w:val="20"/>
          <w:color w:val="auto"/>
        </w:rPr>
      </w:pPr>
      <w:r>
        <w:rPr>
          <w:rFonts w:ascii="Arial" w:cs="Arial" w:eastAsia="Arial" w:hAnsi="Arial"/>
          <w:sz w:val="21"/>
          <w:szCs w:val="21"/>
          <w:color w:val="auto"/>
        </w:rPr>
        <w:t>“You shall also serve as Interim President and Chief Executive Officer effective May 10, 2018 until the time that the Company appoints a permanent President and Chief Executive Officer unless you are earlier terminated in accordance with this Agreement. As Interim President and Chief Executive Officer, you shall have such duties, authorities and responsibilities commensurate with the duties, authorities and responsibilities of persons in similar capacities in similarly sized companies and such other duties and responsibilities as the Board of Directors (the “Board”) shall designate that are consistent with your position as Interim President and Chief Executive Officer, including directing, supervising and having responsibility for all aspects of the operations and general affairs of the Company as directed by the Board. You shall report to, and be subject to, the lawful direction of the Board. During your tenure as Interim President and Chief Executive Officer, you shall use your best efforts to perform faithfully and efficiently the duties and responsibilities assigned to you hereunder and devote all of your business time (excluding periods of vacation and other approved leaves of absence) to the performance of your duties as Interim President and Chief Executive Officer of the Company.”</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Section 4(a) of the Agreement is deleted and replaced with the following:</w:t>
      </w:r>
    </w:p>
    <w:p>
      <w:pPr>
        <w:spacing w:after="0" w:line="233" w:lineRule="exact"/>
        <w:rPr>
          <w:sz w:val="20"/>
          <w:szCs w:val="20"/>
          <w:color w:val="auto"/>
        </w:rPr>
      </w:pPr>
    </w:p>
    <w:p>
      <w:pPr>
        <w:jc w:val="both"/>
        <w:ind w:firstLine="877"/>
        <w:spacing w:after="0" w:line="251" w:lineRule="auto"/>
        <w:rPr>
          <w:sz w:val="20"/>
          <w:szCs w:val="20"/>
          <w:color w:val="auto"/>
        </w:rPr>
      </w:pPr>
      <w:r>
        <w:rPr>
          <w:rFonts w:ascii="Arial" w:cs="Arial" w:eastAsia="Arial" w:hAnsi="Arial"/>
          <w:sz w:val="22"/>
          <w:szCs w:val="22"/>
          <w:color w:val="auto"/>
        </w:rPr>
        <w:t xml:space="preserve">“(a)(1) </w:t>
      </w:r>
      <w:r>
        <w:rPr>
          <w:rFonts w:ascii="Arial" w:cs="Arial" w:eastAsia="Arial" w:hAnsi="Arial"/>
          <w:sz w:val="22"/>
          <w:szCs w:val="22"/>
          <w:u w:val="single" w:color="auto"/>
          <w:color w:val="auto"/>
        </w:rPr>
        <w:t>Base Salary</w:t>
      </w:r>
      <w:r>
        <w:rPr>
          <w:rFonts w:ascii="Arial" w:cs="Arial" w:eastAsia="Arial" w:hAnsi="Arial"/>
          <w:sz w:val="22"/>
          <w:szCs w:val="22"/>
          <w:color w:val="auto"/>
        </w:rPr>
        <w:t>. Your salary will be at the rate of $33,158.42 per month, annualized at $397,901, which shall be prorated for any partial year, month or week (the “Base Salary”).</w:t>
      </w:r>
    </w:p>
    <w:p>
      <w:pPr>
        <w:spacing w:after="0" w:line="200" w:lineRule="exact"/>
        <w:rPr>
          <w:sz w:val="20"/>
          <w:szCs w:val="20"/>
          <w:color w:val="auto"/>
        </w:rPr>
      </w:pPr>
    </w:p>
    <w:p>
      <w:pPr>
        <w:jc w:val="both"/>
        <w:ind w:firstLine="976"/>
        <w:spacing w:after="0" w:line="251" w:lineRule="auto"/>
        <w:rPr>
          <w:sz w:val="20"/>
          <w:szCs w:val="20"/>
          <w:color w:val="auto"/>
        </w:rPr>
      </w:pPr>
      <w:r>
        <w:rPr>
          <w:rFonts w:ascii="Arial" w:cs="Arial" w:eastAsia="Arial" w:hAnsi="Arial"/>
          <w:sz w:val="22"/>
          <w:szCs w:val="22"/>
          <w:color w:val="auto"/>
        </w:rPr>
        <w:t xml:space="preserve">(a)(2) </w:t>
      </w:r>
      <w:r>
        <w:rPr>
          <w:rFonts w:ascii="Arial" w:cs="Arial" w:eastAsia="Arial" w:hAnsi="Arial"/>
          <w:sz w:val="22"/>
          <w:szCs w:val="22"/>
          <w:u w:val="single" w:color="auto"/>
          <w:color w:val="auto"/>
        </w:rPr>
        <w:t>Additional Monthly Compensation</w:t>
      </w:r>
      <w:r>
        <w:rPr>
          <w:rFonts w:ascii="Arial" w:cs="Arial" w:eastAsia="Arial" w:hAnsi="Arial"/>
          <w:sz w:val="22"/>
          <w:szCs w:val="22"/>
          <w:color w:val="auto"/>
        </w:rPr>
        <w:t>. For the period that you serve as Interim President and Chief Executive Officer, you shall receive an additional cash payment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9" w:name="page60"/>
    <w:bookmarkEnd w:id="59"/>
    <w:p>
      <w:pPr>
        <w:jc w:val="both"/>
        <w:ind w:right="20"/>
        <w:spacing w:after="0" w:line="328" w:lineRule="auto"/>
        <w:rPr>
          <w:sz w:val="20"/>
          <w:szCs w:val="20"/>
          <w:color w:val="auto"/>
        </w:rPr>
      </w:pPr>
      <w:r>
        <w:rPr>
          <w:rFonts w:ascii="Arial" w:cs="Arial" w:eastAsia="Arial" w:hAnsi="Arial"/>
          <w:sz w:val="19"/>
          <w:szCs w:val="19"/>
          <w:color w:val="auto"/>
        </w:rPr>
        <w:t>Company of $6,400 per calendar month; pro-rated for any partial months that you serve as Interim President and Chief Executive Officer (the “Additional Monthly Compensation”), payable in accordance with the regular payroll practices of the Company.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Section 4(c) of the Agreement is deleted and replaced with the following:</w:t>
      </w:r>
    </w:p>
    <w:p>
      <w:pPr>
        <w:spacing w:after="0" w:line="233" w:lineRule="exact"/>
        <w:rPr>
          <w:sz w:val="20"/>
          <w:szCs w:val="20"/>
          <w:color w:val="auto"/>
        </w:rPr>
      </w:pPr>
    </w:p>
    <w:p>
      <w:pPr>
        <w:jc w:val="both"/>
        <w:ind w:firstLine="976"/>
        <w:spacing w:after="0" w:line="270" w:lineRule="auto"/>
        <w:rPr>
          <w:sz w:val="20"/>
          <w:szCs w:val="20"/>
          <w:color w:val="auto"/>
        </w:rPr>
      </w:pPr>
      <w:r>
        <w:rPr>
          <w:rFonts w:ascii="Arial" w:cs="Arial" w:eastAsia="Arial" w:hAnsi="Arial"/>
          <w:sz w:val="19"/>
          <w:szCs w:val="19"/>
          <w:color w:val="auto"/>
        </w:rPr>
        <w:t>“(c) You will have the opportunity to earn a bonus of up to thirty percent (30%) of your annual Base Salary per year, based on the achievement of or progress toward individual departmental and/or corporate objectives and goals, as reasonably determined by the Board, provided that to be eligible for any such bonus, you must be employed by the Company in good standing at the time such bonus is awarded; provided, however, that for the period that you serve as Interim President and Chief Executive Officer, you will have the opportunity to earn a bonus of up to forty percent (40%) of your annual Base Salary under Section 4(a)</w:t>
      </w:r>
    </w:p>
    <w:p>
      <w:pPr>
        <w:spacing w:after="0" w:line="4" w:lineRule="exact"/>
        <w:rPr>
          <w:sz w:val="20"/>
          <w:szCs w:val="20"/>
          <w:color w:val="auto"/>
        </w:rPr>
      </w:pPr>
    </w:p>
    <w:p>
      <w:pPr>
        <w:jc w:val="both"/>
        <w:ind w:firstLine="8"/>
        <w:spacing w:after="0" w:line="287" w:lineRule="auto"/>
        <w:tabs>
          <w:tab w:leader="none" w:pos="3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above plus your Additional Monthly Compensation under Section 4(a)(2) above, based on the achievement of or progress toward individual departmental and/or corporate objectives and goals, as reasonably determined by the Board, and provided further that to be eligible for any such bonus, you must be employed by the Company in good standing at the time such bonus is awarded.”</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Section 4(d) of the Agreement is hereby amended by adding the following paragraph to the end of Section 4(d)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15" w:lineRule="exact"/>
        <w:rPr>
          <w:sz w:val="20"/>
          <w:szCs w:val="20"/>
          <w:color w:val="auto"/>
        </w:rPr>
      </w:pPr>
    </w:p>
    <w:p>
      <w:pPr>
        <w:jc w:val="both"/>
        <w:ind w:firstLine="877"/>
        <w:spacing w:after="0" w:line="245" w:lineRule="auto"/>
        <w:rPr>
          <w:sz w:val="20"/>
          <w:szCs w:val="20"/>
          <w:color w:val="auto"/>
        </w:rPr>
      </w:pPr>
      <w:r>
        <w:rPr>
          <w:rFonts w:ascii="Arial" w:cs="Arial" w:eastAsia="Arial" w:hAnsi="Arial"/>
          <w:sz w:val="21"/>
          <w:szCs w:val="21"/>
          <w:color w:val="auto"/>
        </w:rPr>
        <w:t>“Subject to the terms of the Company’s 2015 Equity Incentive Award Plan, as amended (“The Incentive Plan”) and form of option agreement, and subject to approval by the Board, you will be granted an option to purchase an aggregate of fifty four thousand (54,000) shares of common stock, at an exercise price per share equal to the Fair Market Value (as defined in the Incentive Plan) of the Common Stock on the date of the grant, intended to qualify as an “incentive stock option” to the maximum extent allowed under Section 422 of the Internal Revenue Code. The option will vest in equal monthly installments for 48 months beginning one month after the grant date and continuing for so long as you continue to serve as Interim President and Chief Executive Officer. All tax consequences resulting from the grant, vesting, or exercise of the option to or by you, or from the disposition by you of such shares of Common Stock, will be your responsibility. You also will be eligible for annual equity grants at the same time when other executives receive these grants.”</w:t>
      </w:r>
    </w:p>
    <w:p>
      <w:pPr>
        <w:spacing w:after="0" w:line="185" w:lineRule="exact"/>
        <w:rPr>
          <w:sz w:val="20"/>
          <w:szCs w:val="20"/>
          <w:color w:val="auto"/>
        </w:rPr>
      </w:pPr>
    </w:p>
    <w:p>
      <w:pPr>
        <w:ind w:right="160" w:firstLine="877"/>
        <w:spacing w:after="0" w:line="258" w:lineRule="auto"/>
        <w:rPr>
          <w:sz w:val="20"/>
          <w:szCs w:val="20"/>
          <w:color w:val="auto"/>
        </w:rPr>
      </w:pPr>
      <w:r>
        <w:rPr>
          <w:rFonts w:ascii="Arial" w:cs="Arial" w:eastAsia="Arial" w:hAnsi="Arial"/>
          <w:sz w:val="21"/>
          <w:szCs w:val="21"/>
          <w:color w:val="auto"/>
        </w:rPr>
        <w:t>All other terms and conditions of the Employment Agreement remain in full force and effect. The Letter Agreement, as amended by this Amendment, constitutes the entire agreement between you and the Company with respect to the subject matter thereof and supersedes any prior agreement or understanding, whether in writing or oral.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0" w:name="page61"/>
    <w:bookmarkEnd w:id="60"/>
    <w:p>
      <w:pPr>
        <w:spacing w:after="0" w:line="251" w:lineRule="auto"/>
        <w:rPr>
          <w:sz w:val="20"/>
          <w:szCs w:val="20"/>
          <w:color w:val="auto"/>
        </w:rPr>
      </w:pPr>
      <w:r>
        <w:rPr>
          <w:rFonts w:ascii="Arial" w:cs="Arial" w:eastAsia="Arial" w:hAnsi="Arial"/>
          <w:sz w:val="22"/>
          <w:szCs w:val="22"/>
          <w:color w:val="auto"/>
        </w:rPr>
        <w:t>Thank you for your assistance in this matter. Please sign this letter as acceptance of the terms of amendment to your Employment Agreement.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SYNLOGIC, INC.</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22"/>
          <w:szCs w:val="22"/>
          <w:u w:val="single" w:color="auto"/>
          <w:color w:val="auto"/>
        </w:rPr>
        <w:t>/s/ Todd Shegog</w:t>
      </w:r>
      <w:r>
        <w:rPr>
          <w:rFonts w:ascii="Arial" w:cs="Arial" w:eastAsia="Arial" w:hAnsi="Arial"/>
          <w:sz w:val="22"/>
          <w:szCs w:val="22"/>
          <w:color w:val="auto"/>
        </w:rPr>
        <w:t>_________________</w:t>
      </w:r>
    </w:p>
    <w:p>
      <w:pPr>
        <w:spacing w:after="0" w:line="8"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Todd Shegog,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by: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Aoife M. Brennan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Dr. Aoife M. Brennan</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6/7/2018</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1200"/>
          </w:cols>
          <w:pgMar w:left="240" w:top="550" w:right="459" w:bottom="1440" w:gutter="0" w:footer="0" w:header="0"/>
        </w:sectPr>
      </w:pPr>
    </w:p>
    <w:bookmarkStart w:id="61" w:name="page62"/>
    <w:bookmarkEnd w:id="61"/>
    <w:p>
      <w:pPr>
        <w:ind w:left="5800"/>
        <w:spacing w:after="0"/>
        <w:rPr>
          <w:sz w:val="20"/>
          <w:szCs w:val="20"/>
          <w:color w:val="auto"/>
        </w:rPr>
      </w:pPr>
      <w:r>
        <w:rPr>
          <w:rFonts w:ascii="Arial" w:cs="Arial" w:eastAsia="Arial" w:hAnsi="Arial"/>
          <w:sz w:val="22"/>
          <w:szCs w:val="22"/>
          <w:b w:val="1"/>
          <w:bCs w:val="1"/>
          <w:u w:val="single" w:color="auto"/>
          <w:color w:val="auto"/>
        </w:rPr>
        <w:t>EXHIBIT 10.2</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SYNLOGIC, INC.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OPTION AGREEMENTS</w:t>
      </w:r>
    </w:p>
    <w:p>
      <w:pPr>
        <w:spacing w:after="0" w:line="200" w:lineRule="exact"/>
        <w:rPr>
          <w:sz w:val="20"/>
          <w:szCs w:val="20"/>
          <w:color w:val="auto"/>
        </w:rPr>
      </w:pPr>
    </w:p>
    <w:p>
      <w:pPr>
        <w:spacing w:after="0" w:line="228" w:lineRule="exact"/>
        <w:rPr>
          <w:sz w:val="20"/>
          <w:szCs w:val="20"/>
          <w:color w:val="auto"/>
        </w:rPr>
      </w:pPr>
    </w:p>
    <w:p>
      <w:pPr>
        <w:jc w:val="both"/>
        <w:ind w:firstLine="906"/>
        <w:spacing w:after="0" w:line="248" w:lineRule="auto"/>
        <w:rPr>
          <w:sz w:val="20"/>
          <w:szCs w:val="20"/>
          <w:color w:val="auto"/>
        </w:rPr>
      </w:pPr>
      <w:r>
        <w:rPr>
          <w:rFonts w:ascii="Arial" w:cs="Arial" w:eastAsia="Arial" w:hAnsi="Arial"/>
          <w:sz w:val="21"/>
          <w:szCs w:val="21"/>
          <w:color w:val="auto"/>
        </w:rPr>
        <w:t>This Amendment, effective as of June 5, 2018, amends the terms of the options outstanding on the date hereof dated May 15, 2017 (the “2017 Option Agreement”) and March 14, 2018 (the “2018 Option Agreement”) as set forth on Exhibit A hereto, (collectively, the “Options” and the “Option Agreements”) issued by Synlogic, Inc. (the “Company”) to you (the “Participant”) under the Company’s 2017 Stock Incentive Plan (the “2017 Plan”) and the Company’s 2015 Equity Incentive Award Plan (the “2015 Plan”). All capitalized terms used in this Amendment without definition or reference have the meanings set forth in the respective Option Agreements or in the 2017 Plan or 2015 Plan, as applicable.</w:t>
      </w:r>
    </w:p>
    <w:p>
      <w:pPr>
        <w:spacing w:after="0" w:line="69" w:lineRule="exact"/>
        <w:rPr>
          <w:sz w:val="20"/>
          <w:szCs w:val="20"/>
          <w:color w:val="auto"/>
        </w:rPr>
      </w:pPr>
    </w:p>
    <w:p>
      <w:pPr>
        <w:jc w:val="both"/>
        <w:ind w:right="20" w:firstLine="906"/>
        <w:spacing w:after="0" w:line="251" w:lineRule="auto"/>
        <w:rPr>
          <w:sz w:val="20"/>
          <w:szCs w:val="20"/>
          <w:color w:val="auto"/>
        </w:rPr>
      </w:pPr>
      <w:r>
        <w:rPr>
          <w:rFonts w:ascii="Arial" w:cs="Arial" w:eastAsia="Arial" w:hAnsi="Arial"/>
          <w:sz w:val="22"/>
          <w:szCs w:val="22"/>
          <w:color w:val="auto"/>
        </w:rPr>
        <w:t>WHEREAS, Section 20 of the 2017 Option Agreement and Section 5.11 of the 2018 Option Agreement provide that the Option Agreements may be amended as provided in the 2017 Plan or 2015 Plan, respectively;</w:t>
      </w:r>
    </w:p>
    <w:p>
      <w:pPr>
        <w:spacing w:after="0" w:line="65" w:lineRule="exact"/>
        <w:rPr>
          <w:sz w:val="20"/>
          <w:szCs w:val="20"/>
          <w:color w:val="auto"/>
        </w:rPr>
      </w:pPr>
    </w:p>
    <w:p>
      <w:pPr>
        <w:jc w:val="both"/>
        <w:ind w:firstLine="906"/>
        <w:spacing w:after="0" w:line="251" w:lineRule="auto"/>
        <w:rPr>
          <w:sz w:val="20"/>
          <w:szCs w:val="20"/>
          <w:color w:val="auto"/>
        </w:rPr>
      </w:pPr>
      <w:r>
        <w:rPr>
          <w:rFonts w:ascii="Arial" w:cs="Arial" w:eastAsia="Arial" w:hAnsi="Arial"/>
          <w:sz w:val="22"/>
          <w:szCs w:val="22"/>
          <w:color w:val="auto"/>
        </w:rPr>
        <w:t>WHEREAS, Section 4(e) of the 2017 Plan and Section 6.4 of the 2015 Plan provide that the respective Option Agreements may be amended by the Company with the Participant’s consent;</w:t>
      </w:r>
    </w:p>
    <w:p>
      <w:pPr>
        <w:spacing w:after="0" w:line="65" w:lineRule="exact"/>
        <w:rPr>
          <w:sz w:val="20"/>
          <w:szCs w:val="20"/>
          <w:color w:val="auto"/>
        </w:rPr>
      </w:pPr>
    </w:p>
    <w:p>
      <w:pPr>
        <w:jc w:val="both"/>
        <w:ind w:firstLine="906"/>
        <w:spacing w:after="0" w:line="238" w:lineRule="auto"/>
        <w:rPr>
          <w:sz w:val="20"/>
          <w:szCs w:val="20"/>
          <w:color w:val="auto"/>
        </w:rPr>
      </w:pPr>
      <w:r>
        <w:rPr>
          <w:rFonts w:ascii="Arial" w:cs="Arial" w:eastAsia="Arial" w:hAnsi="Arial"/>
          <w:sz w:val="22"/>
          <w:szCs w:val="22"/>
          <w:color w:val="auto"/>
        </w:rPr>
        <w:t>WHEREAS, the Company and the Participant have entered into that certain Letter Agreement and Release dated May 9, 2018 (the “Letter Agreement”) pursuant to which the Participant, the Company’s former President and Chief Executive Officer, has agreed to continue to advise the Company’s Interim CEO and the Company on an as-needed basis through November 15, 2018 (the “Consultancy Period”); and</w:t>
      </w:r>
    </w:p>
    <w:p>
      <w:pPr>
        <w:spacing w:after="0" w:line="77" w:lineRule="exact"/>
        <w:rPr>
          <w:sz w:val="20"/>
          <w:szCs w:val="20"/>
          <w:color w:val="auto"/>
        </w:rPr>
      </w:pPr>
    </w:p>
    <w:p>
      <w:pPr>
        <w:jc w:val="both"/>
        <w:ind w:right="20" w:firstLine="906"/>
        <w:spacing w:after="0" w:line="251" w:lineRule="auto"/>
        <w:rPr>
          <w:sz w:val="20"/>
          <w:szCs w:val="20"/>
          <w:color w:val="auto"/>
        </w:rPr>
      </w:pPr>
      <w:r>
        <w:rPr>
          <w:rFonts w:ascii="Arial" w:cs="Arial" w:eastAsia="Arial" w:hAnsi="Arial"/>
          <w:sz w:val="22"/>
          <w:szCs w:val="22"/>
          <w:color w:val="auto"/>
        </w:rPr>
        <w:t>WHEREAS, the Company and the Participant desire to amend the Options to extend the exercise period of the Options as set forth herein.</w:t>
      </w:r>
    </w:p>
    <w:p>
      <w:pPr>
        <w:spacing w:after="0" w:line="65" w:lineRule="exact"/>
        <w:rPr>
          <w:sz w:val="20"/>
          <w:szCs w:val="20"/>
          <w:color w:val="auto"/>
        </w:rPr>
      </w:pPr>
    </w:p>
    <w:p>
      <w:pPr>
        <w:jc w:val="both"/>
        <w:ind w:firstLine="906"/>
        <w:spacing w:after="0"/>
        <w:rPr>
          <w:sz w:val="20"/>
          <w:szCs w:val="20"/>
          <w:color w:val="auto"/>
        </w:rPr>
      </w:pPr>
      <w:r>
        <w:rPr>
          <w:rFonts w:ascii="Arial" w:cs="Arial" w:eastAsia="Arial" w:hAnsi="Arial"/>
          <w:sz w:val="22"/>
          <w:szCs w:val="22"/>
          <w:color w:val="auto"/>
        </w:rPr>
        <w:t>NOW THEREFORE, in consideration of the mutual covenants set forth herein and in the Letter Agreement and for other good and valuable consideration, the receipt and sufficiency of which are hereby acknowledged, the 2017 Option Agreement and the 2018 Option Agreement are hereby amended as follows:</w:t>
      </w:r>
    </w:p>
    <w:p>
      <w:pPr>
        <w:spacing w:after="0" w:line="78" w:lineRule="exact"/>
        <w:rPr>
          <w:sz w:val="20"/>
          <w:szCs w:val="20"/>
          <w:color w:val="auto"/>
        </w:rPr>
      </w:pPr>
    </w:p>
    <w:p>
      <w:pPr>
        <w:ind w:left="940" w:hanging="446"/>
        <w:spacing w:after="0"/>
        <w:tabs>
          <w:tab w:leader="none" w:pos="94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Extension of Exercise Periods</w:t>
      </w:r>
      <w:r>
        <w:rPr>
          <w:rFonts w:ascii="Arial" w:cs="Arial" w:eastAsia="Arial" w:hAnsi="Arial"/>
          <w:sz w:val="22"/>
          <w:szCs w:val="22"/>
          <w:color w:val="auto"/>
        </w:rPr>
        <w:t>.</w:t>
      </w:r>
    </w:p>
    <w:p>
      <w:pPr>
        <w:spacing w:after="0" w:line="206" w:lineRule="exact"/>
        <w:rPr>
          <w:sz w:val="20"/>
          <w:szCs w:val="20"/>
          <w:color w:val="auto"/>
        </w:rPr>
      </w:pPr>
    </w:p>
    <w:p>
      <w:pPr>
        <w:ind w:left="1360" w:hanging="447"/>
        <w:spacing w:after="0" w:line="251" w:lineRule="auto"/>
        <w:tabs>
          <w:tab w:leader="none" w:pos="13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second paragraph of Section 4 of the 2017 Option Agreement is hereby deleted in its entirety and replaced with the following:</w:t>
      </w:r>
    </w:p>
    <w:p>
      <w:pPr>
        <w:spacing w:after="0" w:line="173" w:lineRule="exact"/>
        <w:rPr>
          <w:sz w:val="20"/>
          <w:szCs w:val="20"/>
          <w:color w:val="auto"/>
        </w:rPr>
      </w:pPr>
    </w:p>
    <w:p>
      <w:pPr>
        <w:jc w:val="both"/>
        <w:ind w:left="920"/>
        <w:spacing w:after="0" w:line="271" w:lineRule="auto"/>
        <w:rPr>
          <w:sz w:val="20"/>
          <w:szCs w:val="20"/>
          <w:color w:val="auto"/>
        </w:rPr>
      </w:pPr>
      <w:r>
        <w:rPr>
          <w:rFonts w:ascii="Arial" w:cs="Arial" w:eastAsia="Arial" w:hAnsi="Arial"/>
          <w:sz w:val="19"/>
          <w:szCs w:val="19"/>
          <w:color w:val="auto"/>
        </w:rPr>
        <w:t>If the Participant ceases to be an Employee, director or Consultant of the Company or of an Affiliate for any reason other than the death or Disability of the Participant, or termination of the Participant for Cause (the “Termination Date”), the Option to the extent then vested and exercisable pursuant to Section 3 hereof as of the Termination Date, and not previously terminated in accordance with this Agreement, may be exercised until the earlier of (i) November 15, 2018, or</w:t>
      </w:r>
    </w:p>
    <w:p>
      <w:pPr>
        <w:spacing w:after="0" w:line="4" w:lineRule="exact"/>
        <w:rPr>
          <w:sz w:val="20"/>
          <w:szCs w:val="20"/>
          <w:color w:val="auto"/>
        </w:rPr>
      </w:pPr>
    </w:p>
    <w:p>
      <w:pPr>
        <w:jc w:val="both"/>
        <w:ind w:left="920" w:hanging="6"/>
        <w:spacing w:after="0" w:line="233" w:lineRule="auto"/>
        <w:tabs>
          <w:tab w:leader="none" w:pos="1246"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termination by the Company of the Consultancy Period (as defined in that certain Letter Agreement and Release dated May 9, 2018 pursuant to which the Participant has agreed to continue to advise the Company’s Interim CEO and the Company on an as-needed basis through November 15, 2018), but may not be exercised thereafter except as set forth below.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2" w:name="page63"/>
    <w:bookmarkEnd w:id="62"/>
    <w:p>
      <w:pPr>
        <w:ind w:left="426" w:right="20"/>
        <w:spacing w:after="0" w:line="251" w:lineRule="auto"/>
        <w:rPr>
          <w:sz w:val="20"/>
          <w:szCs w:val="20"/>
          <w:color w:val="auto"/>
        </w:rPr>
      </w:pPr>
      <w:r>
        <w:rPr>
          <w:rFonts w:ascii="Arial" w:cs="Arial" w:eastAsia="Arial" w:hAnsi="Arial"/>
          <w:sz w:val="22"/>
          <w:szCs w:val="22"/>
          <w:color w:val="auto"/>
        </w:rPr>
        <w:t>such event, the unvested portion of the Option shall not be exercisable and shall expire and be cancelled on the Termination Date.</w:t>
      </w:r>
    </w:p>
    <w:p>
      <w:pPr>
        <w:spacing w:after="0" w:line="174" w:lineRule="exact"/>
        <w:rPr>
          <w:sz w:val="20"/>
          <w:szCs w:val="20"/>
          <w:color w:val="auto"/>
        </w:rPr>
      </w:pPr>
    </w:p>
    <w:p>
      <w:pPr>
        <w:ind w:left="866" w:hanging="447"/>
        <w:spacing w:after="0"/>
        <w:tabs>
          <w:tab w:leader="none" w:pos="866" w:val="left"/>
        </w:tabs>
        <w:numPr>
          <w:ilvl w:val="1"/>
          <w:numId w:val="44"/>
        </w:numPr>
        <w:rPr>
          <w:rFonts w:ascii="Arial" w:cs="Arial" w:eastAsia="Arial" w:hAnsi="Arial"/>
          <w:sz w:val="21"/>
          <w:szCs w:val="21"/>
          <w:color w:val="auto"/>
        </w:rPr>
      </w:pPr>
      <w:r>
        <w:rPr>
          <w:rFonts w:ascii="Arial" w:cs="Arial" w:eastAsia="Arial" w:hAnsi="Arial"/>
          <w:sz w:val="21"/>
          <w:szCs w:val="21"/>
          <w:color w:val="auto"/>
        </w:rPr>
        <w:t>Section 3.3(c) of the 2018 Option Agreement is hereby deleted in its entirety and replaced with the following:</w:t>
      </w:r>
    </w:p>
    <w:p>
      <w:pPr>
        <w:spacing w:after="0" w:line="217" w:lineRule="exact"/>
        <w:rPr>
          <w:rFonts w:ascii="Arial" w:cs="Arial" w:eastAsia="Arial" w:hAnsi="Arial"/>
          <w:sz w:val="21"/>
          <w:szCs w:val="21"/>
          <w:color w:val="auto"/>
        </w:rPr>
      </w:pPr>
    </w:p>
    <w:p>
      <w:pPr>
        <w:jc w:val="both"/>
        <w:ind w:left="866" w:hanging="447"/>
        <w:spacing w:after="0" w:line="238" w:lineRule="auto"/>
        <w:tabs>
          <w:tab w:leader="none" w:pos="866"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the earlier of (i) November 15, 2018, or (ii) the termination by the Company of the Consultancy Period (as defined in that certain Letter Agreement and Release dated May 9, 2018 pursuant to which the Participant has agreed to continue to advise the Company’s Interim CEO and the Company on an as-needed basis through November 15, 2018).</w:t>
      </w:r>
    </w:p>
    <w:p>
      <w:pPr>
        <w:spacing w:after="0" w:line="185" w:lineRule="exact"/>
        <w:rPr>
          <w:rFonts w:ascii="Arial" w:cs="Arial" w:eastAsia="Arial" w:hAnsi="Arial"/>
          <w:sz w:val="22"/>
          <w:szCs w:val="22"/>
          <w:color w:val="auto"/>
        </w:rPr>
      </w:pPr>
    </w:p>
    <w:p>
      <w:pPr>
        <w:jc w:val="both"/>
        <w:ind w:left="446" w:hanging="446"/>
        <w:spacing w:after="0" w:line="282" w:lineRule="auto"/>
        <w:tabs>
          <w:tab w:leader="none" w:pos="446"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Acknowledgement of Impact on Incentive Stock Option</w:t>
      </w:r>
      <w:r>
        <w:rPr>
          <w:rFonts w:ascii="Arial" w:cs="Arial" w:eastAsia="Arial" w:hAnsi="Arial"/>
          <w:sz w:val="19"/>
          <w:szCs w:val="19"/>
          <w:color w:val="auto"/>
        </w:rPr>
        <w:t>. The Participant acknowledges and agrees that allowing for an option that is currently an incentive stock option under Section 422 of the Internal Revenue Code to be exercised more than three months after the Participant’s termination of employment, other than by reason of death or disability, will result in the option being taxed as a non-qualified option, and that therefore, by entering into this Amendment, the Participant’s Option issued under the 2017 Option Agreement will be taxed as a non-qualified option.</w:t>
      </w:r>
    </w:p>
    <w:p>
      <w:pPr>
        <w:spacing w:after="0" w:line="147" w:lineRule="exact"/>
        <w:rPr>
          <w:rFonts w:ascii="Arial" w:cs="Arial" w:eastAsia="Arial" w:hAnsi="Arial"/>
          <w:sz w:val="19"/>
          <w:szCs w:val="19"/>
          <w:color w:val="auto"/>
        </w:rPr>
      </w:pPr>
    </w:p>
    <w:p>
      <w:pPr>
        <w:jc w:val="both"/>
        <w:ind w:left="446" w:hanging="446"/>
        <w:spacing w:after="0" w:line="238" w:lineRule="auto"/>
        <w:tabs>
          <w:tab w:leader="none" w:pos="446"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Agreement</w:t>
      </w:r>
      <w:r>
        <w:rPr>
          <w:rFonts w:ascii="Arial" w:cs="Arial" w:eastAsia="Arial" w:hAnsi="Arial"/>
          <w:sz w:val="22"/>
          <w:szCs w:val="22"/>
          <w:color w:val="auto"/>
        </w:rPr>
        <w:t>. This Amendment supersedes any and all prior or contemporaneous oral or written agreements between the Participant and the Company and, together with the Letter Agreement, sets forth the entire agreement between the Participant and the Company with respect to the subject matter hereof. To the extent not expressly amended hereby, the Option Agreements remain in full force and effect.</w:t>
      </w:r>
    </w:p>
    <w:p>
      <w:pPr>
        <w:spacing w:after="0" w:line="185" w:lineRule="exact"/>
        <w:rPr>
          <w:sz w:val="20"/>
          <w:szCs w:val="20"/>
          <w:color w:val="auto"/>
        </w:rPr>
      </w:pPr>
    </w:p>
    <w:p>
      <w:pPr>
        <w:ind w:left="420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354965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26"/>
          </w:cols>
          <w:pgMar w:left="734" w:top="118" w:right="239" w:bottom="1440" w:gutter="0" w:footer="0" w:header="0"/>
        </w:sectPr>
      </w:pPr>
    </w:p>
    <w:bookmarkStart w:id="63" w:name="page64"/>
    <w:bookmarkEnd w:id="63"/>
    <w:p>
      <w:pPr>
        <w:spacing w:after="0"/>
        <w:rPr>
          <w:sz w:val="20"/>
          <w:szCs w:val="20"/>
          <w:color w:val="auto"/>
        </w:rPr>
      </w:pPr>
      <w:r>
        <w:rPr>
          <w:rFonts w:ascii="Arial" w:cs="Arial" w:eastAsia="Arial" w:hAnsi="Arial"/>
          <w:sz w:val="22"/>
          <w:szCs w:val="22"/>
          <w:b w:val="1"/>
          <w:bCs w:val="1"/>
          <w:color w:val="auto"/>
        </w:rPr>
        <w:t>SYNLOGIC, INC.</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Todd Shegog</w:t>
      </w:r>
    </w:p>
    <w:p>
      <w:pPr>
        <w:ind w:left="80"/>
        <w:spacing w:after="0" w:line="238" w:lineRule="auto"/>
        <w:rPr>
          <w:sz w:val="20"/>
          <w:szCs w:val="20"/>
          <w:color w:val="auto"/>
        </w:rPr>
      </w:pPr>
      <w:r>
        <w:rPr>
          <w:rFonts w:ascii="Arial" w:cs="Arial" w:eastAsia="Arial" w:hAnsi="Arial"/>
          <w:sz w:val="22"/>
          <w:szCs w:val="22"/>
          <w:color w:val="auto"/>
        </w:rPr>
        <w:t>Todd Shegog</w:t>
      </w:r>
    </w:p>
    <w:p>
      <w:pPr>
        <w:ind w:left="80"/>
        <w:spacing w:after="0"/>
        <w:rPr>
          <w:sz w:val="20"/>
          <w:szCs w:val="20"/>
          <w:color w:val="auto"/>
        </w:rPr>
      </w:pPr>
      <w:r>
        <w:rPr>
          <w:rFonts w:ascii="Arial" w:cs="Arial" w:eastAsia="Arial" w:hAnsi="Arial"/>
          <w:sz w:val="22"/>
          <w:szCs w:val="22"/>
          <w:color w:val="auto"/>
        </w:rPr>
        <w:t>Chief Financial Officer</w:t>
      </w:r>
    </w:p>
    <w:p>
      <w:pPr>
        <w:spacing w:after="0" w:line="188" w:lineRule="exact"/>
        <w:rPr>
          <w:sz w:val="20"/>
          <w:szCs w:val="20"/>
          <w:color w:val="auto"/>
        </w:rPr>
      </w:pPr>
    </w:p>
    <w:p>
      <w:pPr>
        <w:ind w:left="80"/>
        <w:spacing w:after="0"/>
        <w:rPr>
          <w:sz w:val="20"/>
          <w:szCs w:val="20"/>
          <w:color w:val="auto"/>
        </w:rPr>
      </w:pPr>
      <w:r>
        <w:rPr>
          <w:rFonts w:ascii="Arial" w:cs="Arial" w:eastAsia="Arial" w:hAnsi="Arial"/>
          <w:sz w:val="19"/>
          <w:szCs w:val="19"/>
          <w:color w:val="auto"/>
        </w:rPr>
        <w:t>ACCEPTED AND AGREED BY:</w:t>
      </w:r>
    </w:p>
    <w:p>
      <w:pPr>
        <w:spacing w:after="0" w:line="200" w:lineRule="exact"/>
        <w:rPr>
          <w:sz w:val="20"/>
          <w:szCs w:val="20"/>
          <w:color w:val="auto"/>
        </w:rPr>
      </w:pPr>
    </w:p>
    <w:p>
      <w:pPr>
        <w:spacing w:after="0" w:line="257" w:lineRule="exact"/>
        <w:rPr>
          <w:sz w:val="20"/>
          <w:szCs w:val="20"/>
          <w:color w:val="auto"/>
        </w:rPr>
      </w:pPr>
    </w:p>
    <w:p>
      <w:pPr>
        <w:ind w:left="80"/>
        <w:spacing w:after="0"/>
        <w:rPr>
          <w:sz w:val="20"/>
          <w:szCs w:val="20"/>
          <w:color w:val="auto"/>
        </w:rPr>
      </w:pPr>
      <w:r>
        <w:rPr>
          <w:rFonts w:ascii="Arial" w:cs="Arial" w:eastAsia="Arial" w:hAnsi="Arial"/>
          <w:sz w:val="19"/>
          <w:szCs w:val="19"/>
          <w:u w:val="single" w:color="auto"/>
          <w:color w:val="auto"/>
        </w:rPr>
        <w:t>/s/ Jose-Carlos Gutiérrez-Ramos</w:t>
      </w:r>
    </w:p>
    <w:p>
      <w:pPr>
        <w:spacing w:after="0" w:line="43" w:lineRule="exact"/>
        <w:rPr>
          <w:sz w:val="20"/>
          <w:szCs w:val="20"/>
          <w:color w:val="auto"/>
        </w:rPr>
      </w:pPr>
    </w:p>
    <w:p>
      <w:pPr>
        <w:ind w:left="80"/>
        <w:spacing w:after="0"/>
        <w:rPr>
          <w:sz w:val="20"/>
          <w:szCs w:val="20"/>
          <w:color w:val="auto"/>
        </w:rPr>
      </w:pPr>
      <w:r>
        <w:rPr>
          <w:rFonts w:ascii="Arial" w:cs="Arial" w:eastAsia="Arial" w:hAnsi="Arial"/>
          <w:sz w:val="22"/>
          <w:szCs w:val="22"/>
          <w:color w:val="auto"/>
        </w:rPr>
        <w:t>Jose-Carlos Gutiérrez-Ramos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112"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Jose-Carlos Gutiérrez-Ramos Options To Be Amended</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Date of Grant Notice</w:t>
            </w:r>
          </w:p>
        </w:tc>
        <w:tc>
          <w:tcPr>
            <w:tcW w:w="232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22"/>
                <w:szCs w:val="22"/>
                <w:color w:val="auto"/>
              </w:rPr>
              <w:t>Number of shares</w:t>
            </w:r>
          </w:p>
        </w:tc>
        <w:tc>
          <w:tcPr>
            <w:tcW w:w="236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22"/>
                <w:szCs w:val="22"/>
                <w:color w:val="auto"/>
              </w:rPr>
              <w:t>Exercise Price</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Type of Option</w:t>
            </w:r>
          </w:p>
        </w:tc>
        <w:tc>
          <w:tcPr>
            <w:tcW w:w="202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22"/>
                <w:szCs w:val="22"/>
                <w:color w:val="auto"/>
              </w:rPr>
              <w:t>Shares Vested</w:t>
            </w:r>
          </w:p>
        </w:tc>
      </w:tr>
      <w:tr>
        <w:trPr>
          <w:trHeight w:val="237"/>
        </w:trPr>
        <w:tc>
          <w:tcPr>
            <w:tcW w:w="23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May 15, 2017</w:t>
            </w:r>
          </w:p>
        </w:tc>
        <w:tc>
          <w:tcPr>
            <w:tcW w:w="23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36,950</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$13.53</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ISO</w:t>
            </w: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14,780</w:t>
            </w:r>
          </w:p>
        </w:tc>
      </w:tr>
      <w:tr>
        <w:trPr>
          <w:trHeight w:val="237"/>
        </w:trPr>
        <w:tc>
          <w:tcPr>
            <w:tcW w:w="23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May 15, 2017</w:t>
            </w:r>
          </w:p>
        </w:tc>
        <w:tc>
          <w:tcPr>
            <w:tcW w:w="23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129,010</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$13.53</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3"/>
              </w:rPr>
              <w:t>Non-Qualified</w:t>
            </w: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9"/>
              </w:rPr>
              <w:t>26,704</w:t>
            </w:r>
          </w:p>
        </w:tc>
      </w:tr>
      <w:tr>
        <w:trPr>
          <w:trHeight w:val="237"/>
        </w:trPr>
        <w:tc>
          <w:tcPr>
            <w:tcW w:w="232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0"/>
              </w:rPr>
              <w:t>March 14, 2018</w:t>
            </w:r>
          </w:p>
        </w:tc>
        <w:tc>
          <w:tcPr>
            <w:tcW w:w="23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5"/>
              </w:rPr>
              <w:t>112,991</w:t>
            </w:r>
          </w:p>
        </w:tc>
        <w:tc>
          <w:tcPr>
            <w:tcW w:w="236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$9.95</w:t>
            </w:r>
          </w:p>
        </w:tc>
        <w:tc>
          <w:tcPr>
            <w:tcW w:w="240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93"/>
              </w:rPr>
              <w:t>Non-Qualified</w:t>
            </w:r>
          </w:p>
        </w:tc>
        <w:tc>
          <w:tcPr>
            <w:tcW w:w="2020" w:type="dxa"/>
            <w:vAlign w:val="bottom"/>
            <w:tcBorders>
              <w:bottom w:val="single" w:sz="8" w:color="auto"/>
              <w:right w:val="single" w:sz="8" w:color="auto"/>
            </w:tcBorders>
          </w:tcPr>
          <w:p>
            <w:pPr>
              <w:jc w:val="center"/>
              <w:spacing w:after="0" w:line="237" w:lineRule="exact"/>
              <w:rPr>
                <w:sz w:val="20"/>
                <w:szCs w:val="20"/>
                <w:color w:val="auto"/>
              </w:rPr>
            </w:pPr>
            <w:r>
              <w:rPr>
                <w:rFonts w:ascii="Arial" w:cs="Arial" w:eastAsia="Arial" w:hAnsi="Arial"/>
                <w:sz w:val="22"/>
                <w:szCs w:val="22"/>
                <w:color w:val="auto"/>
                <w:w w:val="87"/>
              </w:rPr>
              <w:t>5,021</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78061106v.3</w:t>
      </w:r>
    </w:p>
    <w:p>
      <w:pPr>
        <w:sectPr>
          <w:pgSz w:w="11900" w:h="16838" w:orient="portrait"/>
          <w:cols w:equalWidth="0" w:num="1">
            <w:col w:w="11420"/>
          </w:cols>
          <w:pgMar w:left="240" w:top="112"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Aoife Brennan, certify that:</w:t>
      </w:r>
    </w:p>
    <w:p>
      <w:pPr>
        <w:spacing w:after="0" w:line="225"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2"/>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73"/>
        <w:spacing w:after="0" w:line="264" w:lineRule="auto"/>
        <w:tabs>
          <w:tab w:leader="none" w:pos="10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2"/>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2"/>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OIFE</w:t>
      </w:r>
      <w:r>
        <w:rPr>
          <w:rFonts w:ascii="Arial" w:cs="Arial" w:eastAsia="Arial" w:hAnsi="Arial"/>
          <w:sz w:val="18"/>
          <w:szCs w:val="18"/>
          <w:color w:val="auto"/>
        </w:rPr>
        <w:t xml:space="preserve"> B</w:t>
      </w:r>
      <w:r>
        <w:rPr>
          <w:rFonts w:ascii="Arial" w:cs="Arial" w:eastAsia="Arial" w:hAnsi="Arial"/>
          <w:sz w:val="12"/>
          <w:szCs w:val="12"/>
          <w:color w:val="auto"/>
        </w:rPr>
        <w:t>RENNAN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5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Shegog,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2"/>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73"/>
        <w:spacing w:after="0" w:line="264" w:lineRule="auto"/>
        <w:tabs>
          <w:tab w:leader="none" w:pos="10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2"/>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/s/T</w:t>
      </w:r>
      <w:r>
        <w:rPr>
          <w:rFonts w:ascii="Arial" w:cs="Arial" w:eastAsia="Arial" w:hAnsi="Arial"/>
          <w:sz w:val="12"/>
          <w:szCs w:val="12"/>
          <w:color w:val="auto"/>
        </w:rPr>
        <w:t>ODD</w:t>
      </w:r>
      <w:r>
        <w:rPr>
          <w:rFonts w:ascii="Arial" w:cs="Arial" w:eastAsia="Arial" w:hAnsi="Arial"/>
          <w:sz w:val="18"/>
          <w:szCs w:val="18"/>
          <w:color w:val="auto"/>
        </w:rPr>
        <w:t xml:space="preserve"> S</w:t>
      </w:r>
      <w:r>
        <w:rPr>
          <w:rFonts w:ascii="Arial" w:cs="Arial" w:eastAsia="Arial" w:hAnsi="Arial"/>
          <w:sz w:val="12"/>
          <w:szCs w:val="12"/>
          <w:color w:val="auto"/>
        </w:rPr>
        <w:t>HEGOG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Todd Shegog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188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420"/>
          </w:cols>
          <w:pgMar w:left="240" w:top="35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20" w:firstLine="518"/>
        <w:spacing w:after="0" w:line="312" w:lineRule="auto"/>
        <w:rPr>
          <w:sz w:val="20"/>
          <w:szCs w:val="20"/>
          <w:color w:val="auto"/>
        </w:rPr>
      </w:pPr>
      <w:r>
        <w:rPr>
          <w:rFonts w:ascii="Arial" w:cs="Arial" w:eastAsia="Arial" w:hAnsi="Arial"/>
          <w:sz w:val="16"/>
          <w:szCs w:val="16"/>
          <w:color w:val="auto"/>
        </w:rPr>
        <w:t>In connection with the Quarterly Report of Synlogic, Inc. (the “Company”) on Form 10-Q for the period ended June 30, 2018 as filed with the Securities and Exchange Commission on the date hereof (the “Report”), I, Aoife Brennan, Interim President and Chief Executive Officer of the Company, certify, pursuant to 18 U.S.C. Section 1350, as adopted pursuant to Section 906 of the Sarbanes-Oxley Act of 2002, to my knowledge that:</w:t>
      </w:r>
    </w:p>
    <w:p>
      <w:pPr>
        <w:spacing w:after="0" w:line="39" w:lineRule="exact"/>
        <w:rPr>
          <w:sz w:val="20"/>
          <w:szCs w:val="20"/>
          <w:color w:val="auto"/>
        </w:rPr>
      </w:pPr>
    </w:p>
    <w:p>
      <w:pPr>
        <w:ind w:left="1040" w:hanging="519"/>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OIFE</w:t>
      </w:r>
      <w:r>
        <w:rPr>
          <w:rFonts w:ascii="Arial" w:cs="Arial" w:eastAsia="Arial" w:hAnsi="Arial"/>
          <w:sz w:val="18"/>
          <w:szCs w:val="18"/>
          <w:color w:val="auto"/>
        </w:rPr>
        <w:t xml:space="preserve"> B</w:t>
      </w:r>
      <w:r>
        <w:rPr>
          <w:rFonts w:ascii="Arial" w:cs="Arial" w:eastAsia="Arial" w:hAnsi="Arial"/>
          <w:sz w:val="12"/>
          <w:szCs w:val="12"/>
          <w:color w:val="auto"/>
        </w:rPr>
        <w:t>RENNAN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August 9, 2018</w:t>
      </w:r>
    </w:p>
    <w:p>
      <w:pPr>
        <w:spacing w:after="0" w:line="11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40" w:firstLine="518"/>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June 30, 2018 as filed with the Securities and Exchange Commission on the date hereof (the “Report”), I, Todd Shegog, Chief Financial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40" w:hanging="519"/>
        <w:spacing w:after="0"/>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ODD</w:t>
      </w:r>
      <w:r>
        <w:rPr>
          <w:rFonts w:ascii="Arial" w:cs="Arial" w:eastAsia="Arial" w:hAnsi="Arial"/>
          <w:sz w:val="18"/>
          <w:szCs w:val="18"/>
          <w:color w:val="auto"/>
        </w:rPr>
        <w:t xml:space="preserve"> S</w:t>
      </w:r>
      <w:r>
        <w:rPr>
          <w:rFonts w:ascii="Arial" w:cs="Arial" w:eastAsia="Arial" w:hAnsi="Arial"/>
          <w:sz w:val="12"/>
          <w:szCs w:val="12"/>
          <w:color w:val="auto"/>
        </w:rPr>
        <w:t>HEGOG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Todd Shegog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August 9, 2018</w:t>
      </w:r>
    </w:p>
    <w:p>
      <w:pPr>
        <w:spacing w:after="0" w:line="117"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1)"/>
      <w:numFmt w:val="decimal"/>
      <w:start w:val="3"/>
    </w:lvl>
  </w:abstractNum>
  <w:abstractNum w:abstractNumId="5">
    <w:nsid w:val="3A95F874"/>
    <w:multiLevelType w:val="hybridMultilevel"/>
    <w:lvl w:ilvl="0">
      <w:lvlJc w:val="left"/>
      <w:lvlText w:val="(%1)"/>
      <w:numFmt w:val="lowerRoman"/>
      <w:start w:val="3"/>
    </w:lvl>
  </w:abstractNum>
  <w:abstractNum w:abstractNumId="6">
    <w:nsid w:val="8138641"/>
    <w:multiLevelType w:val="hybridMultilevel"/>
    <w:lvl w:ilvl="0">
      <w:lvlJc w:val="left"/>
      <w:lvlText w:val="(%1)"/>
      <w:numFmt w:val="decimal"/>
      <w:start w:val="4"/>
    </w:lvl>
  </w:abstractNum>
  <w:abstractNum w:abstractNumId="7">
    <w:nsid w:val="1E7FF521"/>
    <w:multiLevelType w:val="hybridMultilevel"/>
    <w:lvl w:ilvl="0">
      <w:lvlJc w:val="left"/>
      <w:lvlText w:val="(%1)"/>
      <w:numFmt w:val="decimal"/>
      <w:start w:val="5"/>
    </w:lvl>
  </w:abstractNum>
  <w:abstractNum w:abstractNumId="8">
    <w:nsid w:val="7C3DBD3D"/>
    <w:multiLevelType w:val="hybridMultilevel"/>
    <w:lvl w:ilvl="0">
      <w:lvlJc w:val="left"/>
      <w:lvlText w:val="(%1)"/>
      <w:numFmt w:val="decimal"/>
      <w:start w:val="6"/>
    </w:lvl>
  </w:abstractNum>
  <w:abstractNum w:abstractNumId="9">
    <w:nsid w:val="737B8DDC"/>
    <w:multiLevelType w:val="hybridMultilevel"/>
    <w:lvl w:ilvl="0">
      <w:lvlJc w:val="left"/>
      <w:lvlText w:val="(%1)"/>
      <w:numFmt w:val="decimal"/>
      <w:start w:val="7"/>
    </w:lvl>
  </w:abstractNum>
  <w:abstractNum w:abstractNumId="10">
    <w:nsid w:val="6CEAF087"/>
    <w:multiLevelType w:val="hybridMultilevel"/>
    <w:lvl w:ilvl="0">
      <w:lvlJc w:val="left"/>
      <w:lvlText w:val="(%1)"/>
      <w:numFmt w:val="decimal"/>
      <w:start w:val="8"/>
    </w:lvl>
    <w:lvl w:ilvl="1">
      <w:lvlJc w:val="left"/>
      <w:lvlText w:val="•"/>
      <w:numFmt w:val="bullet"/>
      <w:start w:val="1"/>
    </w:lvl>
  </w:abstractNum>
  <w:abstractNum w:abstractNumId="11">
    <w:nsid w:val="22221A70"/>
    <w:multiLevelType w:val="hybridMultilevel"/>
    <w:lvl w:ilvl="0">
      <w:lvlJc w:val="left"/>
      <w:lvlText w:val="(%1)"/>
      <w:numFmt w:val="decimal"/>
      <w:start w:val="9"/>
    </w:lvl>
  </w:abstractNum>
  <w:abstractNum w:abstractNumId="12">
    <w:nsid w:val="4516DDE9"/>
    <w:multiLevelType w:val="hybridMultilevel"/>
    <w:lvl w:ilvl="0">
      <w:lvlJc w:val="left"/>
      <w:lvlText w:val="(%1)"/>
      <w:numFmt w:val="decimal"/>
      <w:start w:val="10"/>
    </w:lvl>
  </w:abstractNum>
  <w:abstractNum w:abstractNumId="13">
    <w:nsid w:val="3006C83E"/>
    <w:multiLevelType w:val="hybridMultilevel"/>
    <w:lvl w:ilvl="0">
      <w:lvlJc w:val="left"/>
      <w:lvlText w:val="(%1)"/>
      <w:numFmt w:val="decimal"/>
      <w:start w:val="11"/>
    </w:lvl>
  </w:abstractNum>
  <w:abstractNum w:abstractNumId="14">
    <w:nsid w:val="614FD4A1"/>
    <w:multiLevelType w:val="hybridMultilevel"/>
    <w:lvl w:ilvl="0">
      <w:lvlJc w:val="left"/>
      <w:lvlText w:val="(%1)"/>
      <w:numFmt w:val="lowerLetter"/>
      <w:start w:val="1"/>
    </w:lvl>
  </w:abstractNum>
  <w:abstractNum w:abstractNumId="15">
    <w:nsid w:val="419AC241"/>
    <w:multiLevelType w:val="hybridMultilevel"/>
    <w:lvl w:ilvl="0">
      <w:lvlJc w:val="left"/>
      <w:lvlText w:val="(%1)"/>
      <w:numFmt w:val="decimal"/>
      <w:start w:val="12"/>
    </w:lvl>
  </w:abstractNum>
  <w:abstractNum w:abstractNumId="16">
    <w:nsid w:val="5577F8E1"/>
    <w:multiLevelType w:val="hybridMultilevel"/>
    <w:lvl w:ilvl="0">
      <w:lvlJc w:val="left"/>
      <w:lvlText w:val="(%1)"/>
      <w:numFmt w:val="decimal"/>
      <w:start w:val="13"/>
    </w:lvl>
  </w:abstractNum>
  <w:abstractNum w:abstractNumId="17">
    <w:nsid w:val="440BADFC"/>
    <w:multiLevelType w:val="hybridMultilevel"/>
    <w:lvl w:ilvl="0">
      <w:lvlJc w:val="left"/>
      <w:lvlText w:val="(%1)"/>
      <w:numFmt w:val="decimal"/>
      <w:start w:val="14"/>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1"/>
    </w:lvl>
  </w:abstractNum>
  <w:abstractNum w:abstractNumId="41">
    <w:nsid w:val="38437FDB"/>
    <w:multiLevelType w:val="hybridMultilevel"/>
    <w:lvl w:ilvl="0">
      <w:lvlJc w:val="left"/>
      <w:lvlText w:val="(%1)"/>
      <w:numFmt w:val="upperLetter"/>
      <w:start w:val="1"/>
    </w:lvl>
  </w:abstractNum>
  <w:abstractNum w:abstractNumId="42">
    <w:nsid w:val="7644A45C"/>
    <w:multiLevelType w:val="hybridMultilevel"/>
    <w:lvl w:ilvl="0">
      <w:lvlJc w:val="left"/>
      <w:lvlText w:val="(%1)"/>
      <w:numFmt w:val="lowerRoman"/>
      <w:start w:val="2"/>
    </w:lvl>
  </w:abstractNum>
  <w:abstractNum w:abstractNumId="43">
    <w:nsid w:val="32FFF902"/>
    <w:multiLevelType w:val="hybridMultilevel"/>
    <w:lvl w:ilvl="0">
      <w:lvlJc w:val="left"/>
      <w:lvlText w:val="%1"/>
      <w:numFmt w:val="decimal"/>
      <w:start w:val="1"/>
    </w:lvl>
    <w:lvl w:ilvl="1">
      <w:lvlJc w:val="left"/>
      <w:lvlText w:val="(%2)"/>
      <w:numFmt w:val="upperLetter"/>
      <w:start w:val="2"/>
    </w:lvl>
  </w:abstractNum>
  <w:abstractNum w:abstractNumId="44">
    <w:nsid w:val="684A481A"/>
    <w:multiLevelType w:val="hybridMultilevel"/>
    <w:lvl w:ilvl="0">
      <w:lvlJc w:val="left"/>
      <w:lvlText w:val="%1."/>
      <w:numFmt w:val="decimal"/>
      <w:start w:val="2"/>
    </w:lvl>
    <w:lvl w:ilvl="1">
      <w:lvlJc w:val="left"/>
      <w:lvlText w:val="%2"/>
      <w:numFmt w:val="upperLetter"/>
      <w:start w:val="1"/>
    </w:lvl>
  </w:abstractNum>
  <w:abstractNum w:abstractNumId="45">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6">
    <w:nsid w:val="749ABB4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7">
    <w:nsid w:val="3DC240F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8">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50">
    <w:nsid w:val="75C6C33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2019-12-28T20:15:57Z</dcterms:created>
  <dcterms:modified xsi:type="dcterms:W3CDTF">2019-12-28T20:15:57Z</dcterms:modified>
</cp:coreProperties>
</file>