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ybx-20260331.htm"/>
      <w:bookmarkStart w:id="1" w:name="kssybx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 FOR THE TRANSITION PERIOD FROM TO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SYNLOGIC,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26-1824804</w:t>
            </w:r>
          </w:p>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PO Box</w:t>
            </w:r>
            <w:r>
              <w:rPr>
                <w:rFonts w:ascii="Times New Roman" w:hAnsi="Times New Roman"/>
                <w:color w:val="000000"/>
                <w:sz w:val="20"/>
              </w:rPr>
              <w:t xml:space="preserve"> </w:t>
            </w:r>
            <w:r>
              <w:rPr>
                <w:rFonts w:ascii="Times New Roman" w:hAnsi="Times New Roman"/>
                <w:b/>
                <w:color w:val="000000"/>
                <w:sz w:val="20"/>
              </w:rPr>
              <w:t>30</w:t>
            </w:r>
          </w:p>
          <w:p>
            <w:pPr>
              <w:pStyle w:val="TableContents"/>
              <w:bidi w:val="0"/>
              <w:jc w:val="center"/>
              <w:rPr>
                <w:rFonts w:ascii="Times New Roman" w:hAnsi="Times New Roman"/>
                <w:b/>
                <w:color w:val="000000"/>
                <w:sz w:val="20"/>
              </w:rPr>
            </w:pPr>
            <w:r>
              <w:rPr>
                <w:rFonts w:ascii="Times New Roman" w:hAnsi="Times New Roman"/>
                <w:b/>
                <w:color w:val="000000"/>
                <w:sz w:val="20"/>
              </w:rPr>
              <w:t>Winchester, MA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01890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455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(617) 659-2802</w:t>
            </w:r>
          </w:p>
          <w:p>
            <w:pPr>
              <w:pStyle w:val="TableContents"/>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ableContents"/>
              <w:bidi w:val="0"/>
              <w:jc w:val="center"/>
              <w:rPr/>
            </w:pPr>
            <w:r>
              <w:rPr/>
              <w:t> </w:t>
            </w:r>
          </w:p>
          <w:p>
            <w:pPr>
              <w:pStyle w:val="TableContents"/>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None</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May 7, 2026, there were</w:t>
      </w:r>
      <w:r>
        <w:rPr>
          <w:rFonts w:ascii="Times New Roman" w:hAnsi="Times New Roman"/>
          <w:color w:val="000000"/>
          <w:sz w:val="20"/>
        </w:rPr>
        <w:t xml:space="preserve"> </w:t>
      </w:r>
      <w:r>
        <w:rPr>
          <w:rFonts w:ascii="Times New Roman" w:hAnsi="Times New Roman"/>
          <w:color w:val="000000"/>
          <w:sz w:val="18"/>
        </w:rPr>
        <w:t>11,696,641</w:t>
      </w:r>
      <w:r>
        <w:rPr>
          <w:rFonts w:ascii="Times New Roman" w:hAnsi="Times New Roman"/>
          <w:color w:val="000000"/>
          <w:sz w:val="20"/>
        </w:rPr>
        <w:t xml:space="preserve"> </w:t>
      </w:r>
      <w:r>
        <w:rPr>
          <w:rFonts w:ascii="Times New Roman" w:hAnsi="Times New Roman"/>
          <w:color w:val="000000"/>
          <w:sz w:val="18"/>
        </w:rPr>
        <w:t>shares of the registrant’s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evaluation of strategic alternatives with a goal to enhance stockholder value, including the possibility of a merger or a sale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for shares of our common stock given that they are currently quoted on the OTC Marketplace and may experience limited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II, Item 1A. “Risk Factors.”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in the “Risk Factors” section contained in our Annual Report on Form 10-K for the fiscal year ended December 31, 2025 (the “2025 Annual Report”), filed with the Securities and Exchange Commission (the “SEC”) on March 12, 2026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638" w:type="dxa"/>
        <w:jc w:val="left"/>
        <w:tblInd w:w="0" w:type="dxa"/>
        <w:tblLayout w:type="fixed"/>
        <w:tblCellMar>
          <w:top w:w="28" w:type="dxa"/>
          <w:left w:w="28" w:type="dxa"/>
          <w:bottom w:w="28" w:type="dxa"/>
          <w:right w:w="28" w:type="dxa"/>
        </w:tblCellMar>
      </w:tblPr>
      <w:tblGrid>
        <w:gridCol w:w="7981"/>
        <w:gridCol w:w="146"/>
        <w:gridCol w:w="51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 Financial Statements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balance_sheets">
              <w:r>
                <w:rPr>
                  <w:rStyle w:val="InternetLink"/>
                  <w:rFonts w:ascii="Times New Roman" w:hAnsi="Times New Roman"/>
                  <w:color w:val="0000FF"/>
                  <w:sz w:val="20"/>
                  <w:u w:val="single"/>
                </w:rPr>
                <w:t>Unaudited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operat">
              <w:r>
                <w:rPr>
                  <w:rStyle w:val="InternetLink"/>
                  <w:rFonts w:ascii="Times New Roman" w:hAnsi="Times New Roman"/>
                  <w:color w:val="0000FF"/>
                  <w:sz w:val="20"/>
                  <w:u w:val="single"/>
                </w:rPr>
                <w:t>Unaudited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stockh">
              <w:r>
                <w:rPr>
                  <w:rStyle w:val="InternetLink"/>
                  <w:rFonts w:ascii="Times New Roman" w:hAnsi="Times New Roman"/>
                  <w:color w:val="0000FF"/>
                  <w:sz w:val="20"/>
                  <w:u w:val="single"/>
                </w:rPr>
                <w:t>Unaudited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cash_f">
              <w:r>
                <w:rPr>
                  <w:rStyle w:val="InternetLink"/>
                  <w:rFonts w:ascii="Times New Roman" w:hAnsi="Times New Roman"/>
                  <w:color w:val="0000FF"/>
                  <w:sz w:val="20"/>
                  <w:u w:val="single"/>
                </w:rPr>
                <w:t>Unaudited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2" w:name="unaudited_consolidated_balance_sheets"/>
      <w:bookmarkEnd w:id="2"/>
      <w:r>
        <w:rPr>
          <w:rFonts w:ascii="Times New Roman" w:hAnsi="Times New Roman"/>
          <w:color w:val="000000"/>
          <w:sz w:val="20"/>
        </w:rPr>
        <w:t>Unaudited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250,000,000 shares authorized as of March 31, 2026 and December 31, 2025;</w:t>
              <w:br/>
              <w:t>   11,978,711 shares issued and 11,698,919 shares outstanding as of March 31, 2026 and 11,978,711 shares issued and 11,698,919 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457,025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(442,656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(279,792 shares at March 31, 2026 and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3" w:name="unaudited_consolidated_statements_operat"/>
      <w:bookmarkEnd w:id="3"/>
      <w:r>
        <w:rPr>
          <w:rFonts w:ascii="Times New Roman" w:hAnsi="Times New Roman"/>
          <w:color w:val="000000"/>
          <w:sz w:val="20"/>
        </w:rPr>
        <w:t>Unaudited Consolidated Statements of Operations and Comprehensive Income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7919" w:type="dxa"/>
        <w:jc w:val="left"/>
        <w:tblInd w:w="0" w:type="dxa"/>
        <w:tblLayout w:type="fixed"/>
        <w:tblCellMar>
          <w:top w:w="28" w:type="dxa"/>
          <w:left w:w="28" w:type="dxa"/>
          <w:bottom w:w="28" w:type="dxa"/>
          <w:right w:w="28" w:type="dxa"/>
        </w:tblCellMar>
      </w:tblPr>
      <w:tblGrid>
        <w:gridCol w:w="4496"/>
        <w:gridCol w:w="213"/>
        <w:gridCol w:w="1047"/>
        <w:gridCol w:w="166"/>
        <w:gridCol w:w="146"/>
        <w:gridCol w:w="213"/>
        <w:gridCol w:w="1047"/>
        <w:gridCol w:w="591"/>
      </w:tblGrid>
      <w:tr>
        <w:trPr/>
        <w:tc>
          <w:tcPr>
            <w:tcW w:w="44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per share - basic and diluted</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12,283,543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diluted</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12,388,595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20" w:after="283"/>
        <w:jc w:val="center"/>
        <w:rPr>
          <w:rFonts w:ascii="Times New Roman" w:hAnsi="Times New Roman"/>
          <w:color w:val="000000"/>
          <w:sz w:val="20"/>
        </w:rPr>
      </w:pPr>
      <w:bookmarkStart w:id="4" w:name="unaudited_consolidated_statements_stockh"/>
      <w:bookmarkEnd w:id="4"/>
      <w:r>
        <w:rPr>
          <w:rFonts w:ascii="Times New Roman" w:hAnsi="Times New Roman"/>
          <w:color w:val="000000"/>
          <w:sz w:val="20"/>
        </w:rPr>
        <w:t>Unaudited Consolidated Statements of Stockholders’ Equity</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spacing w:before="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263"/>
        <w:gridCol w:w="146"/>
        <w:gridCol w:w="916"/>
        <w:gridCol w:w="146"/>
        <w:gridCol w:w="249"/>
        <w:gridCol w:w="442"/>
        <w:gridCol w:w="146"/>
        <w:gridCol w:w="196"/>
        <w:gridCol w:w="691"/>
        <w:gridCol w:w="146"/>
        <w:gridCol w:w="443"/>
        <w:gridCol w:w="728"/>
        <w:gridCol w:w="146"/>
        <w:gridCol w:w="217"/>
        <w:gridCol w:w="834"/>
        <w:gridCol w:w="166"/>
        <w:gridCol w:w="146"/>
        <w:gridCol w:w="751"/>
        <w:gridCol w:w="166"/>
        <w:gridCol w:w="196"/>
        <w:gridCol w:w="571"/>
        <w:gridCol w:w="166"/>
        <w:gridCol w:w="279"/>
        <w:gridCol w:w="862"/>
        <w:gridCol w:w="193"/>
      </w:tblGrid>
      <w:tr>
        <w:trPr/>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w:t>
              <w:br/>
              <w:t>$0.001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9" w:type="dxa"/>
            <w:gridSpan w:val="2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5" w:name="unaudited_consolidated_statements_cash_f"/>
      <w:bookmarkEnd w:id="5"/>
      <w:r>
        <w:rPr>
          <w:rFonts w:ascii="Times New Roman" w:hAnsi="Times New Roman"/>
          <w:color w:val="000000"/>
          <w:sz w:val="20"/>
        </w:rPr>
        <w:t>Unaudited 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458"/>
        <w:gridCol w:w="746"/>
        <w:gridCol w:w="344"/>
        <w:gridCol w:w="1103"/>
        <w:gridCol w:w="166"/>
        <w:gridCol w:w="146"/>
        <w:gridCol w:w="344"/>
        <w:gridCol w:w="1103"/>
        <w:gridCol w:w="795"/>
      </w:tblGrid>
      <w:tr>
        <w:trPr/>
        <w:tc>
          <w:tcPr>
            <w:tcW w:w="545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7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17,321</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spacing w:before="240" w:after="283"/>
        <w:jc w:val="center"/>
        <w:rPr>
          <w:rFonts w:ascii="Times New Roman" w:hAnsi="Times New Roman"/>
          <w:b/>
          <w:color w:val="000000"/>
          <w:sz w:val="20"/>
        </w:rPr>
      </w:pPr>
      <w:bookmarkStart w:id="6" w:name="notes_to_unaudited_consolidated_financia"/>
      <w:bookmarkEnd w:id="6"/>
      <w:r>
        <w:rPr>
          <w:rFonts w:ascii="Times New Roman" w:hAnsi="Times New Roman"/>
          <w:b/>
          <w:color w:val="000000"/>
          <w:sz w:val="20"/>
        </w:rPr>
        <w:t>Notes to Unaudited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Synlogic, Inc., together with its wholly owned and consolidated subsidiaries (Synlogic or the Company), is a biopharmaceutical company that previously advanced novel therapeutics to transform the care of serious diseases. The Company focused on rare metabolic disorders, with its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Since incorporation, the Company has devoted substantially all of its efforts to the research and development of its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The Company also announced a corporate restructuring that resulted in a reduction in its workforce, leaving one remaining full-time employee. In addition, the Company has engaged consultants to, among other things, support the strategic review process and current business operations. (see Note 6, </w:t>
      </w:r>
      <w:r>
        <w:rPr>
          <w:rFonts w:ascii="Times New Roman" w:hAnsi="Times New Roman"/>
          <w:i/>
          <w:color w:val="000000"/>
          <w:sz w:val="20"/>
        </w:rPr>
        <w:t xml:space="preserve">Restructuring and Other Charges </w:t>
      </w:r>
      <w:r>
        <w:rPr>
          <w:rFonts w:ascii="Times New Roman" w:hAnsi="Times New Roman"/>
          <w:color w:val="000000"/>
          <w:sz w:val="20"/>
        </w:rPr>
        <w:t>in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interim unaudited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$442.0 million at March 31, 2026. At March 31, 2026, the Company had $14.1 million in unrestricted cash and cash equivalents. Following the execution of the corporate restructuring, the Company has determined its current cash and cash equivalents as of March 31, 2026 will be sufficient to fund its operations at the current levels for at least the next 12 months from the date of this filing. As the Company continues to review strategic alternatives, the Company will continue to incur costs and expenditures in connection with the process of evaluating strategic alternatives.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described in the Company’s audited financial statements as of and for the year ended December 31, 2025, and the notes thereto, which are included in the Company’s Annual Report on Form 10-K for the year ended December 31, 2025, filed with the Securities and Exchange Commission (SEC) on March 12, 2026 (the 2025 Annual Report), have had no material changes during the three months ended March 31, 2026.</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unaudited consolidated financial statements and the related disclosures as of March 31, 2026 and for the three months ended March 31, 2026 and 2025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unaudited consolidated financial statements should be read in conjunction with the Company’s 2025 and 2024 audited consolidated financial statements and notes included in the 2025 Annual Report. The consolidated balance sheet as of December 31, 2025 included herein was derived from the audited financial statements as of that date but does not include all disclosures including notes required by GAAP for complete financial statements. In the opinion of management, the interim unaudited consolidated financial statements reflect all adjustments, consisting of normal and recurring adjustments, necessary for the fair presentation of the Company’s financial position and results of operations for the three months ended March 31, 2026 and 2025. The results of operations for the interim periods are not necessarily indicative of the results to be expected for the year ending December 31, 2026 or any other interim period or future year or period.</w:t>
      </w:r>
    </w:p>
    <w:p>
      <w:pPr>
        <w:pStyle w:val="TextBody"/>
        <w:bidi w:val="0"/>
        <w:spacing w:before="1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interim unaudited consolidated financial statements include the accounts of Synlogic and its wholly owned subsidiaries. All intercompany accounts and transactions have been eliminated in consolidation.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accounting standard setting boards that the Company adopts as of the effective date. Unless otherwise discussed below, recently issued pronouncements that are or will be applicable to the Company did not have, or are not expected to have, a material impact on the Company’s present or future financial statements.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tables below present information about the Company’s assets and liabilities that are measured at fair value on a recurring basis and indicate the fair value hierarchy of the valuation techniques the Company utilized to determine such fair value, as described under Note 2</w:t>
      </w:r>
      <w:r>
        <w:rPr>
          <w:rFonts w:ascii="Times New Roman" w:hAnsi="Times New Roman"/>
          <w:i/>
          <w:color w:val="000000"/>
          <w:sz w:val="20"/>
        </w:rPr>
        <w:t>, Summary of Significant Accounting Policies,</w:t>
      </w:r>
      <w:r>
        <w:rPr>
          <w:rFonts w:ascii="Times New Roman" w:hAnsi="Times New Roman"/>
          <w:color w:val="000000"/>
          <w:sz w:val="20"/>
        </w:rPr>
        <w:t xml:space="preserve"> in the audited financial statements included in the 2025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(defined below) issued in October 2023 are liability classified and recorded at fair value using the Black-Scholes option-pricing model at issuance, with any subsequent changes in fair value recognized in the consolidated statements of operations and comprehensive income (loss). We periodically evaluate changes in facts and circumstances that could impact the classification of warrants. None of the purchase warrants have been exercised since their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March 31, 2026 and December 31, 2025, the Company has classified assets and liabilities measured at fair value on a recurring basis as follows (in thousands):</w:t>
      </w:r>
    </w:p>
    <w:p>
      <w:pPr>
        <w:pStyle w:val="TextBody"/>
        <w:bidi w:val="0"/>
        <w:jc w:val="left"/>
        <w:rPr/>
      </w:pPr>
      <w:r>
        <w:rPr/>
        <w:t> </w:t>
      </w:r>
    </w:p>
    <w:tbl>
      <w:tblPr>
        <w:tblW w:w="9329" w:type="dxa"/>
        <w:jc w:val="left"/>
        <w:tblInd w:w="0" w:type="dxa"/>
        <w:tblLayout w:type="fixed"/>
        <w:tblCellMar>
          <w:top w:w="28" w:type="dxa"/>
          <w:left w:w="28" w:type="dxa"/>
          <w:bottom w:w="28" w:type="dxa"/>
          <w:right w:w="28" w:type="dxa"/>
        </w:tblCellMar>
      </w:tblPr>
      <w:tblGrid>
        <w:gridCol w:w="2191"/>
        <w:gridCol w:w="146"/>
        <w:gridCol w:w="260"/>
        <w:gridCol w:w="835"/>
        <w:gridCol w:w="146"/>
        <w:gridCol w:w="146"/>
        <w:gridCol w:w="431"/>
        <w:gridCol w:w="1384"/>
        <w:gridCol w:w="146"/>
        <w:gridCol w:w="146"/>
        <w:gridCol w:w="539"/>
        <w:gridCol w:w="886"/>
        <w:gridCol w:w="146"/>
        <w:gridCol w:w="146"/>
        <w:gridCol w:w="428"/>
        <w:gridCol w:w="1162"/>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prepaid expenses and other current assets, accounts payable and accrued expenses at March 31, 2026 and December 31, 2025 are carried at amounts that approximate fair value due to their short-term maturities.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Assumptions Used in Determining Fair Value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the purchase warrants on the consolidated balance sheets at March 31, 2026 and December 31, 2025 are included below:</w:t>
      </w:r>
    </w:p>
    <w:p>
      <w:pPr>
        <w:pStyle w:val="TextBody"/>
        <w:bidi w:val="0"/>
        <w:jc w:val="left"/>
        <w:rPr/>
      </w:pPr>
      <w:r>
        <w:rPr/>
        <w:t> </w:t>
      </w:r>
    </w:p>
    <w:tbl>
      <w:tblPr>
        <w:tblW w:w="6970" w:type="dxa"/>
        <w:jc w:val="left"/>
        <w:tblInd w:w="0" w:type="dxa"/>
        <w:tblLayout w:type="fixed"/>
        <w:tblCellMar>
          <w:top w:w="28" w:type="dxa"/>
          <w:left w:w="28" w:type="dxa"/>
          <w:bottom w:w="28" w:type="dxa"/>
          <w:right w:w="28" w:type="dxa"/>
        </w:tblCellMar>
      </w:tblPr>
      <w:tblGrid>
        <w:gridCol w:w="3331"/>
        <w:gridCol w:w="146"/>
        <w:gridCol w:w="393"/>
        <w:gridCol w:w="867"/>
        <w:gridCol w:w="271"/>
        <w:gridCol w:w="146"/>
        <w:gridCol w:w="467"/>
        <w:gridCol w:w="103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Prepaid Expenses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6510" w:type="dxa"/>
        <w:jc w:val="left"/>
        <w:tblInd w:w="0" w:type="dxa"/>
        <w:tblLayout w:type="fixed"/>
        <w:tblCellMar>
          <w:top w:w="28" w:type="dxa"/>
          <w:left w:w="28" w:type="dxa"/>
          <w:bottom w:w="28" w:type="dxa"/>
          <w:right w:w="28" w:type="dxa"/>
        </w:tblCellMar>
      </w:tblPr>
      <w:tblGrid>
        <w:gridCol w:w="3931"/>
        <w:gridCol w:w="146"/>
        <w:gridCol w:w="285"/>
        <w:gridCol w:w="570"/>
        <w:gridCol w:w="146"/>
        <w:gridCol w:w="146"/>
        <w:gridCol w:w="364"/>
        <w:gridCol w:w="73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2011"/>
        <w:gridCol w:w="146"/>
        <w:gridCol w:w="230"/>
        <w:gridCol w:w="625"/>
        <w:gridCol w:w="146"/>
        <w:gridCol w:w="146"/>
        <w:gridCol w:w="364"/>
        <w:gridCol w:w="7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announced a corporate restructuring that included a reduction in its workforce, leaving one remaining full-time employee. In addition, the Company has engaged consultants, to, among other things, support the strategic review process and current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approximately $0.8 million of the total restructuring charges remain unpaid and were included in accrued restructuring charges. These charges primarily consist of personnel costs related to severance expense and retention bonuses.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2023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issued and sold in an underwritten public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3,921,928</w:t>
      </w:r>
      <w:r>
        <w:rPr>
          <w:color w:val="000000"/>
        </w:rPr>
        <w:t xml:space="preserve"> </w:t>
      </w:r>
      <w:r>
        <w:rPr>
          <w:rFonts w:ascii="Times New Roman" w:hAnsi="Times New Roman"/>
          <w:color w:val="000000"/>
          <w:sz w:val="20"/>
        </w:rPr>
        <w:t>shares of its common stock at a price of $2.84</w:t>
      </w:r>
      <w:r>
        <w:rPr>
          <w:color w:val="000000"/>
        </w:rPr>
        <w:t xml:space="preserve"> </w:t>
      </w:r>
      <w:r>
        <w:rPr>
          <w:rFonts w:ascii="Times New Roman" w:hAnsi="Times New Roman"/>
          <w:color w:val="000000"/>
          <w:sz w:val="20"/>
        </w:rPr>
        <w:t xml:space="preserve">per share, less underwriting discounts and commissions;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to purchase up to 3,472,435</w:t>
      </w:r>
      <w:r>
        <w:rPr>
          <w:color w:val="000000"/>
        </w:rPr>
        <w:t xml:space="preserve"> </w:t>
      </w:r>
      <w:r>
        <w:rPr>
          <w:rFonts w:ascii="Times New Roman" w:hAnsi="Times New Roman"/>
          <w:color w:val="000000"/>
          <w:sz w:val="20"/>
        </w:rPr>
        <w:t>shares of its common stock at a price of $2.839</w:t>
      </w:r>
      <w:r>
        <w:rPr>
          <w:color w:val="000000"/>
        </w:rPr>
        <w:t xml:space="preserve"> </w:t>
      </w:r>
      <w:r>
        <w:rPr>
          <w:rFonts w:ascii="Times New Roman" w:hAnsi="Times New Roman"/>
          <w:color w:val="000000"/>
          <w:sz w:val="20"/>
        </w:rPr>
        <w:t>exercisable immediately following the consummation of the offering;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accompanying common stock warrants (the “purchase warrants”) to purchase up to 7,394,363</w:t>
      </w:r>
      <w:r>
        <w:rPr>
          <w:color w:val="000000"/>
        </w:rPr>
        <w:t xml:space="preserve"> </w:t>
      </w:r>
      <w:r>
        <w:rPr>
          <w:rFonts w:ascii="Times New Roman" w:hAnsi="Times New Roman"/>
          <w:color w:val="000000"/>
          <w:sz w:val="20"/>
        </w:rPr>
        <w:t>shares of its common stock at a price of $3.408</w:t>
      </w:r>
      <w:r>
        <w:rPr>
          <w:color w:val="000000"/>
        </w:rPr>
        <w:t xml:space="preserve"> </w:t>
      </w:r>
      <w:r>
        <w:rPr>
          <w:rFonts w:ascii="Times New Roman" w:hAnsi="Times New Roman"/>
          <w:color w:val="000000"/>
          <w:sz w:val="20"/>
        </w:rPr>
        <w:t>per share that are exercisable immediately after issuance and expire five years from the date of issuance.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Company’s October 2023 Financing, refer to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2026, the fair value of the purchase warrants was $0.7 million. Accordingly, a gain on remeasurement of the purchase warrant liability of $1.9 million was recorded in the three months ended March 31, 2026. Subsequent to their issuance and as of March 31, 2026, 2,920,126 pre-funded warrants have been exercised. None of the purchase warrants have been exercised since their issuance.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Ginkgo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2019, the Company issued to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March 31,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Ginkgo warrants, refer to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reserved for future issuance the following shares of common stock related to the potential exercise of warrants and stock options: </w:t>
      </w:r>
    </w:p>
    <w:p>
      <w:pPr>
        <w:pStyle w:val="TextBody"/>
        <w:bidi w:val="0"/>
        <w:jc w:val="left"/>
        <w:rPr/>
      </w:pPr>
      <w:r>
        <w:rPr/>
        <w:t> </w:t>
      </w:r>
    </w:p>
    <w:tbl>
      <w:tblPr>
        <w:tblW w:w="6327" w:type="dxa"/>
        <w:jc w:val="left"/>
        <w:tblInd w:w="0" w:type="dxa"/>
        <w:tblLayout w:type="fixed"/>
        <w:tblCellMar>
          <w:top w:w="28" w:type="dxa"/>
          <w:left w:w="28" w:type="dxa"/>
          <w:bottom w:w="28" w:type="dxa"/>
          <w:right w:w="28" w:type="dxa"/>
        </w:tblCellMar>
      </w:tblPr>
      <w:tblGrid>
        <w:gridCol w:w="4876"/>
        <w:gridCol w:w="170"/>
        <w:gridCol w:w="1090"/>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purchase warrants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Ginkgo pre-funded warrants</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to purchase common stock</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8,328,326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(8) Equity-based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2026, the number of shares of common stock available for issuance under the 2025 Equity Incentive Award Plan (the 2025 Plan) was increased by 467,956 shares due to the annual evergreen provision to increase shares available under the 2025 Plan. As of March 31, 2026, there were an aggregate of 1,506,677 shares available for future grant under the 2017 Stock Incentive Plan (the 2017 Plan) and the 2025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within the Company’s interim unaudited consolidated statements of operations and comprehensive income for the three months ended March 31, 2026 and 2025 (in thousands):</w:t>
      </w:r>
    </w:p>
    <w:p>
      <w:pPr>
        <w:pStyle w:val="TextBody"/>
        <w:bidi w:val="0"/>
        <w:jc w:val="left"/>
        <w:rPr/>
      </w:pPr>
      <w:r>
        <w:rPr/>
        <w:t> </w:t>
      </w:r>
    </w:p>
    <w:tbl>
      <w:tblPr>
        <w:tblW w:w="6718" w:type="dxa"/>
        <w:jc w:val="left"/>
        <w:tblInd w:w="0" w:type="dxa"/>
        <w:tblLayout w:type="fixed"/>
        <w:tblCellMar>
          <w:top w:w="28" w:type="dxa"/>
          <w:left w:w="28" w:type="dxa"/>
          <w:bottom w:w="28" w:type="dxa"/>
          <w:right w:w="28" w:type="dxa"/>
        </w:tblCellMar>
      </w:tblPr>
      <w:tblGrid>
        <w:gridCol w:w="3691"/>
        <w:gridCol w:w="146"/>
        <w:gridCol w:w="360"/>
        <w:gridCol w:w="590"/>
        <w:gridCol w:w="249"/>
        <w:gridCol w:w="249"/>
        <w:gridCol w:w="360"/>
        <w:gridCol w:w="590"/>
        <w:gridCol w:w="146"/>
        <w:gridCol w:w="146"/>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expense acceleration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by type of award for the three months ended March 31, 2026 and 2025 (in thousands):</w:t>
      </w:r>
    </w:p>
    <w:p>
      <w:pPr>
        <w:pStyle w:val="TextBody"/>
        <w:bidi w:val="0"/>
        <w:jc w:val="left"/>
        <w:rPr/>
      </w:pPr>
      <w:r>
        <w:rPr/>
        <w:t> </w:t>
      </w:r>
    </w:p>
    <w:tbl>
      <w:tblPr>
        <w:tblW w:w="5053" w:type="dxa"/>
        <w:jc w:val="left"/>
        <w:tblInd w:w="0" w:type="dxa"/>
        <w:tblLayout w:type="fixed"/>
        <w:tblCellMar>
          <w:top w:w="28" w:type="dxa"/>
          <w:left w:w="28" w:type="dxa"/>
          <w:bottom w:w="28" w:type="dxa"/>
          <w:right w:w="28" w:type="dxa"/>
        </w:tblCellMar>
      </w:tblPr>
      <w:tblGrid>
        <w:gridCol w:w="2026"/>
        <w:gridCol w:w="146"/>
        <w:gridCol w:w="376"/>
        <w:gridCol w:w="563"/>
        <w:gridCol w:w="260"/>
        <w:gridCol w:w="260"/>
        <w:gridCol w:w="376"/>
        <w:gridCol w:w="563"/>
        <w:gridCol w:w="146"/>
        <w:gridCol w:w="1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did not grant any stock options. As of March 31, 2026, there was $0.01 million of unrecognized share-based compensation related to unvested stock option grants which is expected to be recognized over a weighted average period of 0.80 years. The total unrecognized share-based compensation cost will be adjusted for actual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did not grant any restricted stock awards. As of March 31, 2026, there was approximately $2 thousand of unrecognized share-based compensation related to restricted stock awards granted, which is expected to be recognized over a weighted average period of 1.0 years. The total unrecognized share-based compensation cost will be adjusted for actual forfeitures as they occur.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Company’s equity plans, refer to Note 9, </w:t>
      </w:r>
      <w:r>
        <w:rPr>
          <w:rFonts w:ascii="Times New Roman" w:hAnsi="Times New Roman"/>
          <w:i/>
          <w:color w:val="000000"/>
          <w:sz w:val="20"/>
        </w:rPr>
        <w:t>Equity-based Compensation and Equity Incentive Plans</w:t>
      </w:r>
      <w:r>
        <w:rPr>
          <w:rFonts w:ascii="Times New Roman" w:hAnsi="Times New Roman"/>
          <w:color w:val="000000"/>
          <w:sz w:val="20"/>
        </w:rPr>
        <w:t xml:space="preserve"> in the audited financial statements included in the 2025 Annual Report.</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Income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income per share is computed by dividing net income by the weighted-average number of shares of common stock outstanding during the period. In computing diluted net income per share, the sum of the weighted-average number of shares of common stock outstanding during the period is used and only when their effect is dilutive, the weighted-average number of potential shares of common stock are included.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 The shares of common stock into which the warrants may be exercised are considered outstanding for the purposes of computing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EPS for the three months ended March 31, 2026 and 2025 were calculated as follows (in thousands, except share and per share data):</w:t>
      </w:r>
    </w:p>
    <w:tbl>
      <w:tblPr>
        <w:tblW w:w="7654" w:type="dxa"/>
        <w:jc w:val="left"/>
        <w:tblInd w:w="0" w:type="dxa"/>
        <w:tblLayout w:type="fixed"/>
        <w:tblCellMar>
          <w:top w:w="28" w:type="dxa"/>
          <w:left w:w="28" w:type="dxa"/>
          <w:bottom w:w="28" w:type="dxa"/>
          <w:right w:w="28" w:type="dxa"/>
        </w:tblCellMar>
      </w:tblPr>
      <w:tblGrid>
        <w:gridCol w:w="4531"/>
        <w:gridCol w:w="146"/>
        <w:gridCol w:w="211"/>
        <w:gridCol w:w="1036"/>
        <w:gridCol w:w="146"/>
        <w:gridCol w:w="146"/>
        <w:gridCol w:w="211"/>
        <w:gridCol w:w="1036"/>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12,283,543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potential shares of common stock, presented based on amounts outstanding at each period end, were excluded from the calculation of the diluted net loss per share attributable to common stockholders for the period indicated, because including them would have had an anti-dilutive effect.</w:t>
      </w:r>
    </w:p>
    <w:p>
      <w:pPr>
        <w:pStyle w:val="TextBody"/>
        <w:bidi w:val="0"/>
        <w:spacing w:before="120" w:after="283"/>
        <w:jc w:val="left"/>
        <w:rPr/>
      </w:pPr>
      <w:r>
        <w:rPr/>
        <w:t> </w:t>
      </w:r>
    </w:p>
    <w:tbl>
      <w:tblPr>
        <w:tblW w:w="677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7,718,346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 </w:t>
      </w:r>
    </w:p>
    <w:p>
      <w:pPr>
        <w:pStyle w:val="TextBody"/>
        <w:bidi w:val="0"/>
        <w:jc w:val="left"/>
        <w:rPr>
          <w:rFonts w:ascii="Times New Roman" w:hAnsi="Times New Roman"/>
          <w:color w:val="000000"/>
          <w:sz w:val="20"/>
        </w:rPr>
      </w:pPr>
      <w:r>
        <w:rPr>
          <w:rFonts w:ascii="Times New Roman" w:hAnsi="Times New Roman"/>
          <w:color w:val="000000"/>
          <w:sz w:val="20"/>
        </w:rPr>
        <w:t>The Company’s commitments described in the Company’s audited financial statements included in the 2025 Annual Report have had no material changes during the three months ended March 31,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record an income tax benefit in its interim unaudited consolidated statements of operations and comprehensive income (loss) for the three months ended March 31, 2026 and 2025 as it is more likely than not that the Company will not recognize the federal and state deferred tax benefits generated by its losses. The Company has provided a valuation allowance for the full amount of its net deferred tax assets as of March 31, 2026 and December 31, 2025, as management has determined it is more likely than not that any future benefit from deductible temporary differences and net operating loss and tax credit carryforwards would not be realized. The Company did not record any amounts for unrecognized tax benefits as of March 31, 2026 or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“OBBBA”) was enacted in the United States. The OBBBA includes significant changes to federal tax law and other regulatory provisions, with certain provisions becoming effective in 2025. The Company has considered the enacted tax law changes in its forecasted annual effective tax rate. Adjustments to deferred tax assets and liabilities as a result of the tax law changes do not impact the Company’s deferred tax expense for the three months ended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(CODM) or decision-making group, in making decisions on how to allocate resources and assess performance. The principal executive officer (PEO) is the CODM. The Company operates in one operating segment; discovery and development of Synthetic Biotics.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manages and allocates resources to the operations of the Company on a total company basis by assessing the overall level of resources available and how to best deploy these resources across functions and research and development projects that are in line with long-term company-wide strategic goals. In making these decisions, the PEO uses consolidated financial information for purposes of evaluating performance, forecasting future period financial results, allocating resources and setting incentive targets. The CODM performs this assessment based on the Company's consolidated net income (loss) that is reported on the consolidated statements of operations and comprehensive income (loss). Through this analysis, the CODM assesses performance by comparing actual consolidated net income (loss) versus the budget, and then decides how to allocate resources to invest in the Company's research and development programs. The measure of segment assets is reported on the consolidated balance sheets as total assets. In addition, research and development, general and administrative expenses, and restructuring charges are significant segment expenses regularly provided to the PEO with the following categories (in thousands):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5560" w:type="dxa"/>
        <w:jc w:val="left"/>
        <w:tblInd w:w="0" w:type="dxa"/>
        <w:tblLayout w:type="fixed"/>
        <w:tblCellMar>
          <w:top w:w="28" w:type="dxa"/>
          <w:left w:w="28" w:type="dxa"/>
          <w:bottom w:w="28" w:type="dxa"/>
          <w:right w:w="28" w:type="dxa"/>
        </w:tblCellMar>
      </w:tblPr>
      <w:tblGrid>
        <w:gridCol w:w="2971"/>
        <w:gridCol w:w="355"/>
        <w:gridCol w:w="582"/>
        <w:gridCol w:w="279"/>
        <w:gridCol w:w="245"/>
        <w:gridCol w:w="355"/>
        <w:gridCol w:w="582"/>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research and development expense</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5574" w:type="dxa"/>
        <w:jc w:val="left"/>
        <w:tblInd w:w="0" w:type="dxa"/>
        <w:tblLayout w:type="fixed"/>
        <w:tblCellMar>
          <w:top w:w="28" w:type="dxa"/>
          <w:left w:w="28" w:type="dxa"/>
          <w:bottom w:w="28" w:type="dxa"/>
          <w:right w:w="28" w:type="dxa"/>
        </w:tblCellMar>
      </w:tblPr>
      <w:tblGrid>
        <w:gridCol w:w="2986"/>
        <w:gridCol w:w="296"/>
        <w:gridCol w:w="803"/>
        <w:gridCol w:w="205"/>
        <w:gridCol w:w="205"/>
        <w:gridCol w:w="296"/>
        <w:gridCol w:w="592"/>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general and administrative expense</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39" w:type="dxa"/>
        <w:jc w:val="left"/>
        <w:tblInd w:w="0" w:type="dxa"/>
        <w:tblLayout w:type="fixed"/>
        <w:tblCellMar>
          <w:top w:w="28" w:type="dxa"/>
          <w:left w:w="28" w:type="dxa"/>
          <w:bottom w:w="28" w:type="dxa"/>
          <w:right w:w="28" w:type="dxa"/>
        </w:tblCellMar>
      </w:tblPr>
      <w:tblGrid>
        <w:gridCol w:w="2731"/>
        <w:gridCol w:w="335"/>
        <w:gridCol w:w="668"/>
        <w:gridCol w:w="231"/>
        <w:gridCol w:w="231"/>
        <w:gridCol w:w="335"/>
        <w:gridCol w:w="597"/>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restructuring charges</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120" w:after="283"/>
        <w:jc w:val="both"/>
        <w:rPr>
          <w:rFonts w:ascii="Times New Roman" w:hAnsi="Times New Roman"/>
          <w:sz w:val="20"/>
        </w:rPr>
      </w:pPr>
      <w:r>
        <w:rPr>
          <w:rFonts w:ascii="Times New Roman" w:hAnsi="Times New Roman"/>
          <w:i/>
          <w:color w:val="000000"/>
          <w:sz w:val="20"/>
        </w:rPr>
        <w:t>The interim financial statements and this Management’s Discussion and Analysis of Financial Condition and Results of Operations should be read together with our audited financial statements and accompanying notes for the years ended December 31, 2025 and 2024 included in our Annual Report on Form 10-K filed with the SEC on March 12, 2026, as amended on April 30, 2026 (the “2025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18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Unless otherwise indicated, references to the terms the “combined company,” “Synlogic,” the “Company,” “we,” “our” and “us” refer to Synlogic, Inc. (formerly known as Mirna Therapeutics, Inc.) and its subsidiaries upon the consummation of the Merger described herein.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biopharmaceutical company that previously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stockholder value. Further, any strategic transaction that is completed ultimately may not deliver the anticipated benefits or enhance stockholder value.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Nasdaq Delisting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21, 2025, we received the Notice from the Staff of Nasdaq that stated the Staff’s belief that we were a “public shell” and that, therefore, the continued listing of its securities was no longer warranted in the view of the Staff. On January 16, 2026, we received notice from Nasdaq that our shares would be suspended at the open of business on January 21, 2026. The delisting became effective on January 21, 2026. The Company’s common stock is traded on the OTCID Basic Market, under the symbol “SYBX.”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suspension of trading of our shares of common stock on Nasdaq and delisting of our shares of common stock from Nasdaq, we believe that we are a “public shell” under the Nasdaq rules. Our shares of common stock have been quoted on the OTC since January 21, 2026. As a shell company, our operating expenses have consisted primarily of, and we expect them to continue to consist primarily of, customary public company expenses, including personnel, accounting, financial reporting, legal, audit and other related public company costs.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believe that inflation has had a material impact on our business or operating results during the periods presented. However, inflationary costs could adversely affect our business, financial condition and results of operations. Increased inflation has had, and may continue to have, an effect on interest rates. Increased interest rates may adversely affect our borrowing rate and our ability to obtain, or the terms under which we can obtain, any potential additional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consists of expenses incurred in connection with the discovery and development of our product candidates, which are expensed as they are incurred.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benefits and other employee-related expenses. Other general and administrative costs include the legal costs of pursuing patent protection of our intellectual property,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directors' and officers' insurance costs as well as investor and public relations expenses associated with being a public company.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leaving one remaining full-time employee. In addition, the Company has engaged consultants, to, among other things, support the strategic review process and current business operations.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investment income consists of income earned on investments. Other income (expense) consists primarily of gains and losses on foreign currency invoices and gains and losses on remeasurement of the purchase warrant liability.</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is based upon our interim unaudited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critical accounting policies are described in our 2025 Annual Report. During the three months ended March 31, 2026, there were no new or material changes to our existing critical accounting policies. We believe that these identified policies are critical to fully understanding and evaluating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estimates and assumptions, including those related to warrants, are monitored and analyzed by us for changes in facts and circumstances, and material changes in these estimates could occur in the future. The judgment regarding the inputs used to value liability-classified warrants using the Black-Scholes option pricing model involves a greater degree of judgment, and therefore we consider warrants to be our critical accounting policy. We evaluate our estimates and assumptions on an ongoing basis. Actual results may differ from our estimates under different assumptions or conditions. We believe that this identified policy is critical to fully understanding and evaluating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summarizes the key factors our management believes are necessary for an understanding of our consolidated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Months Ended March 31, 2026 Compared to Three Months Ended March 31, 2025</w:t>
      </w:r>
    </w:p>
    <w:p>
      <w:pPr>
        <w:pStyle w:val="TextBody"/>
        <w:bidi w:val="0"/>
        <w:spacing w:before="360" w:after="283"/>
        <w:jc w:val="left"/>
        <w:rPr/>
      </w:pPr>
      <w:r>
        <w:rPr/>
        <w:t> </w:t>
      </w:r>
    </w:p>
    <w:tbl>
      <w:tblPr>
        <w:tblW w:w="8288" w:type="dxa"/>
        <w:jc w:val="left"/>
        <w:tblInd w:w="0" w:type="dxa"/>
        <w:tblLayout w:type="fixed"/>
        <w:tblCellMar>
          <w:top w:w="28" w:type="dxa"/>
          <w:left w:w="28" w:type="dxa"/>
          <w:bottom w:w="28" w:type="dxa"/>
          <w:right w:w="28" w:type="dxa"/>
        </w:tblCellMar>
      </w:tblPr>
      <w:tblGrid>
        <w:gridCol w:w="4296"/>
        <w:gridCol w:w="315"/>
        <w:gridCol w:w="945"/>
        <w:gridCol w:w="203"/>
        <w:gridCol w:w="340"/>
        <w:gridCol w:w="920"/>
        <w:gridCol w:w="166"/>
        <w:gridCol w:w="211"/>
        <w:gridCol w:w="481"/>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was $0.05 million for the three months ended March 31, 2026 compared to research and development expenses of $0.02 million in the corresponding period in 2025, a change of $0.03 million. The increase was due to additional storage costs for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$1.1 million for the three months ended March 31, 2026, compared to $0.8 million for the corresponding period in 2025. The increase was primarily due to increased professional services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We also announced a corporate restructuring that resulted in a reduction in our workforce, leaving one remaining full-time employee. In addition, we have engaged consultants, to, among other things, support the strategic review process and current business operations. We recorded restructuring and other charges of $0.2 million for the three months ended March 31, 2026, compared to $0.04 million for the corresponding period in 2025. The increase was primarily due to increased legal and professional fees as we explore strategic alternatives.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$2.0 million for the three months ended March 31, 2026, compared to other income of $1.2 million for the corresponding period in 2025. The increase in other income of $0.8 million was primarily related to the change in fair value of the purchase warrants classified as liabilities on the interim unaudited consolidated balance sheet.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our inception on March 14, 2014 and as of March 31, 2026, we had an accumulated deficit of $442.0 million. We have financed our operations to date primarily through the sale of preferred stock, common stock, preferred units and warrants, payments received under prior collaboration agreements, interest earned on investments, and cash received in the Merger. At March 31, 2026, we had $14.1 million in cash and cash equivalents. Our cash and cash equivalents include amounts held in money market funds, stated at cost plus unrealized gains and losses, which approximates fair market value.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our cash, cash equivalents and marketable securities balance decreased by $0.6 million. This decrease was primarily due to the cash used to operate our business. In the three months ended March 31, 2026, we recorded restructuring charges in connection with the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major sources and uses of cash, cash equivalents and restricted cash for each of the periods below:</w:t>
      </w:r>
    </w:p>
    <w:p>
      <w:pPr>
        <w:pStyle w:val="TextBody"/>
        <w:bidi w:val="0"/>
        <w:spacing w:before="240" w:after="283"/>
        <w:jc w:val="left"/>
        <w:rPr/>
      </w:pPr>
      <w:r>
        <w:rPr/>
        <w:t> </w:t>
      </w:r>
    </w:p>
    <w:tbl>
      <w:tblPr>
        <w:tblW w:w="8435" w:type="dxa"/>
        <w:jc w:val="left"/>
        <w:tblInd w:w="0" w:type="dxa"/>
        <w:tblLayout w:type="fixed"/>
        <w:tblCellMar>
          <w:top w:w="28" w:type="dxa"/>
          <w:left w:w="28" w:type="dxa"/>
          <w:bottom w:w="28" w:type="dxa"/>
          <w:right w:w="28" w:type="dxa"/>
        </w:tblCellMar>
      </w:tblPr>
      <w:tblGrid>
        <w:gridCol w:w="5581"/>
        <w:gridCol w:w="146"/>
        <w:gridCol w:w="274"/>
        <w:gridCol w:w="625"/>
        <w:gridCol w:w="215"/>
        <w:gridCol w:w="189"/>
        <w:gridCol w:w="274"/>
        <w:gridCol w:w="820"/>
        <w:gridCol w:w="3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$0.6 million for the three months ended March 31, 2026. The primary source of cash was our net income of $0.7 million, changes in our assets and liabilities of $0.6 million, offset by $1.9 million non-cash items primarily including the change in fair value of purchase warrants and equity-based compensation. The changes in our assets and liabilities include decreases in prepaid expenses and other current assets and increases in accounts payable and accrued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$1.6 million for the three months ended March 31, 2025. The primary source of cash was our net income of $0.3 million, partially offset by changes in our assets and liabilities of $0.9 million, and $1.0 million non-cash items primarily including the change in fair value of purchase warrants, equity-based compensation, and gain on disposal of property and equipment. The changes in our assets and liabilities include decreases in prepaid expenses and other current assets, and accounts payable and accrued expenses.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or provided by financing activities for the three months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2025 was $0.01 million and resulted primarily from the proceeds from sales of property and equipment.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or provided by financing activities for the three months ended March 31, 2026 and for the three months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expect our expenses to remain roughly the same in the near term following our decision to discontinue our Synpheny-3 clinical trial while we explore strategic alternatives. Pending the outcome of our review of strategic alternatives, we expect to incur additional costs in connection with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revenue from our prior collaborations, but have not generated any product revenue since our inception and do not expect to generate any product revenue. We believe that our current cash and cash equivalents as of March 31, 2026 will be sufficient to fund our operations at the current levels for at least the next 12 months from the date of this filing.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timing and cost of any strategic transactions, business combinations or divestiture;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heading “Risk Factors” in our 2025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Commitments and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There have been no material changes to our contractual obligations and commitments set forth under the heading “</w:t>
      </w:r>
      <w:r>
        <w:rPr>
          <w:rFonts w:ascii="Times New Roman" w:hAnsi="Times New Roman"/>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in our 2025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transactions with related parties which may fall outside of the reporting period of this section, please see the section entitled “</w:t>
      </w:r>
      <w:r>
        <w:rPr>
          <w:rFonts w:ascii="Times New Roman" w:hAnsi="Times New Roman"/>
          <w:i/>
          <w:color w:val="000000"/>
          <w:sz w:val="20"/>
        </w:rPr>
        <w:t>Certain Relationships and Related Person Transactions”</w:t>
      </w:r>
      <w:r>
        <w:rPr>
          <w:rFonts w:ascii="Times New Roman" w:hAnsi="Times New Roman"/>
          <w:color w:val="000000"/>
          <w:sz w:val="20"/>
        </w:rPr>
        <w:t xml:space="preserve"> in Amendment No. 1 to our 2025 Annual Report on Form 10-K/A filed with the SEC on April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detailed information regarding recently issued accounting pronouncements and the expected impact on our interim unaudited consolidated financial statements, see Note 2, </w:t>
      </w:r>
      <w:r>
        <w:rPr>
          <w:rFonts w:ascii="Times New Roman" w:hAnsi="Times New Roman"/>
          <w:i/>
          <w:color w:val="000000"/>
          <w:sz w:val="20"/>
        </w:rPr>
        <w:t>Summary of</w:t>
      </w:r>
      <w:r>
        <w:rPr>
          <w:rFonts w:ascii="Times New Roman" w:hAnsi="Times New Roman"/>
          <w:color w:val="000000"/>
          <w:sz w:val="20"/>
        </w:rPr>
        <w:t xml:space="preserve"> </w:t>
      </w:r>
      <w:r>
        <w:rPr>
          <w:rFonts w:ascii="Times New Roman" w:hAnsi="Times New Roman"/>
          <w:i/>
          <w:color w:val="000000"/>
          <w:sz w:val="20"/>
        </w:rPr>
        <w:t>Significant Accounting Policies</w:t>
      </w:r>
      <w:r>
        <w:rPr>
          <w:rFonts w:ascii="Times New Roman" w:hAnsi="Times New Roman"/>
          <w:color w:val="000000"/>
          <w:sz w:val="20"/>
        </w:rPr>
        <w:t xml:space="preserve"> in the notes to the interim unaudited consolidated financial statements appearing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3quantitativeandqualitativedis"/>
      <w:bookmarkEnd w:id="8"/>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this information required under this item. </w:t>
      </w:r>
    </w:p>
    <w:p>
      <w:pPr>
        <w:pStyle w:val="TextBody"/>
        <w:bidi w:val="0"/>
        <w:spacing w:before="360" w:after="283"/>
        <w:jc w:val="left"/>
        <w:rPr>
          <w:rFonts w:ascii="Times New Roman" w:hAnsi="Times New Roman"/>
          <w:sz w:val="20"/>
        </w:rPr>
      </w:pPr>
      <w:bookmarkStart w:id="9" w:name="item4controlsand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disclosure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the end of the period covered by this Form 10-Q. Based on that evaluation, it was determined that due to the material weakness described below, our disclosure controls and procedures were not effective at ensuring that information required to be disclosed by us in the reports that we file or submit under the Exchange Act is recorded, processed, summarized and reported, within the time periods specified in the SEC’s rules and forms. Additionally, our disclosure controls and procedures were not effective at ensuring that such information is accumulated and communicated to our management, including our Principal Executive and Principal Financial Officer, or persons performing similar functions,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our annual report on Form 10-K for the fiscal year ended December 31, 2025, management identified a material weakness in our internal control over financial reporting, while preparing our condensed consolidated financial statements for the year ended December 31, 2024. As described in the 2025 Annual Report, management has designed a plan and is prepared to execute remediation actions to address the material weakness, however we have not had an instance of a significant and non-routine transaction in order to test the effectiveness of the remediation actions taken to date. As a result, the material weakness continues to be present as of March 31, 2026. The material weakness cannot be considered remediated until the applicable remedial controls operate for a sufficient period of time and management has concluded, through testing, that these controls are operating effectively.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controls over financial reporting (as defined in Rules 13a-15(f) and 15d-15(f) under the Exchange Act) identified in connection with the evaluation of such internal control that occurred during our fiscal quarter ended March 31, 2026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II –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0" w:name="item_1_legal_proceedings"/>
      <w:bookmarkEnd w:id="1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1" w:name="item_1a_risk_factors"/>
      <w:bookmarkEnd w:id="11"/>
      <w:r>
        <w:rPr>
          <w:rFonts w:ascii="Times New Roman" w:hAnsi="Times New Roman"/>
          <w:b/>
          <w:color w:val="000000"/>
          <w:sz w:val="20"/>
        </w:rPr>
        <w:t>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reported in our Annual Report on Form 10-K for the year ended December 31, 2025. The ownership of our common stock involves a number of risks and uncertainties. See the risk factors set forth in our 2025 Annual Report on Form 10-K under the caption “Item 1A—Risk Factors.”</w:t>
      </w:r>
    </w:p>
    <w:p>
      <w:pPr>
        <w:pStyle w:val="TextBody"/>
        <w:bidi w:val="0"/>
        <w:spacing w:before="240" w:after="283"/>
        <w:jc w:val="left"/>
        <w:rPr/>
      </w:pPr>
      <w:bookmarkStart w:id="12" w:name="d390888d424b3_htm_toc390888_30"/>
      <w:bookmarkStart w:id="13" w:name="d390888d424b3_htm_toc390888_25"/>
      <w:bookmarkEnd w:id="12"/>
      <w:bookmarkEnd w:id="13"/>
      <w:r>
        <w:rPr/>
        <w:t> </w:t>
      </w:r>
    </w:p>
    <w:p>
      <w:pPr>
        <w:pStyle w:val="TextBody"/>
        <w:bidi w:val="0"/>
        <w:jc w:val="left"/>
        <w:rPr/>
      </w:pPr>
      <w:bookmarkStart w:id="14" w:name="eolpage60"/>
      <w:bookmarkEnd w:id="14"/>
      <w:r>
        <w:rPr/>
        <w:t> </w:t>
      </w:r>
    </w:p>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March 31, 2026,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center"/>
        <w:rPr>
          <w:rFonts w:ascii="Times New Roman" w:hAnsi="Times New Roman"/>
          <w:sz w:val="20"/>
        </w:rPr>
      </w:pPr>
      <w:bookmarkStart w:id="20" w:name="exhibit_index"/>
      <w:bookmarkEnd w:id="20"/>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5614"/>
        <w:gridCol w:w="146"/>
        <w:gridCol w:w="659"/>
        <w:gridCol w:w="146"/>
        <w:gridCol w:w="1171"/>
        <w:gridCol w:w="146"/>
        <w:gridCol w:w="526"/>
        <w:gridCol w:w="146"/>
        <w:gridCol w:w="762"/>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1_1.htm">
              <w:r>
                <w:rPr>
                  <w:rStyle w:val="InternetLink"/>
                  <w:rFonts w:ascii="Times New Roman" w:hAnsi="Times New Roman"/>
                  <w:color w:val="0000FF"/>
                  <w:sz w:val="18"/>
                  <w:u w:val="single"/>
                </w:rPr>
                <w:t>Certification of Chief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1_2.htm">
              <w:r>
                <w:rPr>
                  <w:rStyle w:val="InternetLink"/>
                  <w:rFonts w:ascii="Times New Roman" w:hAnsi="Times New Roman"/>
                  <w:color w:val="0000FF"/>
                  <w:sz w:val="18"/>
                  <w:u w:val="single"/>
                </w:rPr>
                <w:t>Certification of Interim Chief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2.htm">
              <w:r>
                <w:rPr>
                  <w:rStyle w:val="InternetLink"/>
                  <w:rFonts w:ascii="Times New Roman" w:hAnsi="Times New Roman"/>
                  <w:color w:val="0000FF"/>
                  <w:sz w:val="18"/>
                  <w:u w:val="single"/>
                </w:rPr>
                <w:t>Certification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Date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The certification attached as Exhibit 32 that accompanies this Quarterly Report on Form 10-Q is not deemed filed with the Securities and Exchange Commission and is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2026</w:t>
      </w:r>
    </w:p>
    <w:p>
      <w:pPr>
        <w:pStyle w:val="TextBody"/>
        <w:bidi w:val="0"/>
        <w:jc w:val="left"/>
        <w:rPr/>
      </w:pPr>
      <w:r>
        <w:rPr/>
        <w:t> </w:t>
      </w:r>
    </w:p>
    <w:tbl>
      <w:tblPr>
        <w:tblW w:w="7944" w:type="dxa"/>
        <w:jc w:val="left"/>
        <w:tblInd w:w="0" w:type="dxa"/>
        <w:tblLayout w:type="fixed"/>
        <w:tblCellMar>
          <w:top w:w="28" w:type="dxa"/>
          <w:left w:w="28" w:type="dxa"/>
          <w:bottom w:w="28" w:type="dxa"/>
          <w:right w:w="28" w:type="dxa"/>
        </w:tblCellMar>
      </w:tblPr>
      <w:tblGrid>
        <w:gridCol w:w="161"/>
        <w:gridCol w:w="406"/>
        <w:gridCol w:w="146"/>
        <w:gridCol w:w="723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SYNLOGIC,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/s/</w:t>
            </w:r>
            <w:r>
              <w:rPr>
                <w:rFonts w:ascii="Times New Roman" w:hAnsi="Times New Roman"/>
                <w:smallCaps/>
                <w:color w:val="000000"/>
                <w:sz w:val="20"/>
              </w:rPr>
              <w:t> MARY BETH DOOLEY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bookmarkStart w:id="22" w:name="sybx-ex31_1.htm"/>
      <w:bookmarkStart w:id="23" w:name="kssybx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sz w:val="20"/>
        </w:rPr>
      </w:pPr>
      <w:r>
        <w:rPr>
          <w:rFonts w:ascii="Times New Roman" w:hAnsi="Times New Roman"/>
          <w:b/>
          <w:color w:val="000000"/>
          <w:sz w:val="20"/>
        </w:rPr>
        <w:t>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2026</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sybx-ex31_2.htm"/>
      <w:bookmarkStart w:id="25" w:name="kssybx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2026</w:t>
      </w:r>
    </w:p>
    <w:p>
      <w:pPr>
        <w:pStyle w:val="TextBody"/>
        <w:bidi w:val="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283"/>
              <w:jc w:val="left"/>
              <w:rPr>
                <w:sz w:val="4"/>
                <w:szCs w:val="4"/>
              </w:rPr>
            </w:pPr>
            <w:r>
              <w:rPr>
                <w:sz w:val="4"/>
                <w:szCs w:val="4"/>
              </w:rPr>
            </w:r>
          </w:p>
        </w:tc>
      </w:tr>
      <w:tr>
        <w:trPr/>
        <w:tc>
          <w:tcPr>
            <w:tcW w:w="5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50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Principal Financial Officer</w:t>
            </w:r>
          </w:p>
        </w:tc>
      </w:tr>
      <w:tr>
        <w:trPr/>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sybx-ex32.htm"/>
      <w:bookmarkStart w:id="27" w:name="kssybxex32"/>
      <w:bookmarkEnd w:id="26"/>
      <w:bookmarkEnd w:id="27"/>
      <w:r>
        <w:rPr>
          <w:rFonts w:ascii="Times New Roman" w:hAnsi="Times New Roman"/>
          <w:b/>
          <w:color w:val="000000"/>
          <w:sz w:val="20"/>
        </w:rPr>
        <w:t>EXHIBIT 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Synlogic, Inc., a Delaware corporation (the “Company”), does hereby certify, to such officer’s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for the three months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14,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9813</Words>
  <Characters>54679</Characters>
  <CharactersWithSpaces>64863</CharactersWithSpaces>
  <Paragraphs>2507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