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89" w:lineRule="exact"/>
        <w:rPr>
          <w:sz w:val="24"/>
          <w:szCs w:val="24"/>
          <w:color w:val="auto"/>
        </w:rPr>
      </w:pPr>
    </w:p>
    <w:p>
      <w:pPr>
        <w:ind w:left="520" w:right="220" w:hanging="499"/>
        <w:spacing w:after="0" w:line="238"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ind w:left="520" w:hanging="499"/>
        <w:spacing w:after="0" w:line="198"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3" w:lineRule="exact"/>
        <w:rPr>
          <w:sz w:val="24"/>
          <w:szCs w:val="24"/>
          <w:color w:val="auto"/>
        </w:rPr>
      </w:pPr>
    </w:p>
    <w:p>
      <w:pPr>
        <w:ind w:left="52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22"/>
          <w:szCs w:val="22"/>
          <w:b w:val="1"/>
          <w:bCs w:val="1"/>
          <w:color w:val="auto"/>
        </w:rPr>
        <w:t>TO</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tbl>
      <w:tblPr>
        <w:tblLayout w:type="fixed"/>
        <w:tblInd w:w="10" w:type="dxa"/>
        <w:tblCellMar>
          <w:top w:w="0" w:type="dxa"/>
          <w:left w:w="0" w:type="dxa"/>
          <w:bottom w:w="0" w:type="dxa"/>
          <w:right w:w="0" w:type="dxa"/>
        </w:tblCellMar>
      </w:tblPr>
      <w:tr>
        <w:trPr>
          <w:trHeight w:val="502"/>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60" w:type="dxa"/>
            <w:vAlign w:val="bottom"/>
            <w:vMerge w:val="restart"/>
          </w:tcPr>
          <w:p>
            <w:pPr>
              <w:jc w:val="center"/>
              <w:ind w:left="1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vMerge w:val="restart"/>
          </w:tcPr>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55"/>
        </w:trPr>
        <w:tc>
          <w:tcPr>
            <w:tcW w:w="3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60" w:type="dxa"/>
            <w:vAlign w:val="bottom"/>
          </w:tcPr>
          <w:p>
            <w:pPr>
              <w:jc w:val="center"/>
              <w:ind w:left="1519"/>
              <w:spacing w:after="0" w:line="13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tcPr>
          <w:p>
            <w:pPr>
              <w:jc w:val="center"/>
              <w:ind w:right="1720"/>
              <w:spacing w:after="0" w:line="13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6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4"/>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vMerge w:val="restart"/>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175"/>
        </w:trPr>
        <w:tc>
          <w:tcPr>
            <w:tcW w:w="3560" w:type="dxa"/>
            <w:vAlign w:val="bottom"/>
          </w:tcPr>
          <w:p>
            <w:pPr>
              <w:jc w:val="center"/>
              <w:ind w:left="1539"/>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880" w:type="dxa"/>
            <w:vAlign w:val="bottom"/>
            <w:gridSpan w:val="6"/>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6"/>
                <w:szCs w:val="16"/>
                <w:color w:val="auto"/>
              </w:rPr>
            </w:pPr>
          </w:p>
        </w:tc>
        <w:tc>
          <w:tcPr>
            <w:tcW w:w="3180" w:type="dxa"/>
            <w:vAlign w:val="bottom"/>
            <w:gridSpan w:val="3"/>
          </w:tcPr>
          <w:p>
            <w:pPr>
              <w:jc w:val="center"/>
              <w:ind w:left="8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(617) 401-9975</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60" w:type="dxa"/>
            <w:vAlign w:val="bottom"/>
            <w:tcBorders>
              <w:left w:val="single" w:sz="8" w:color="auto"/>
              <w:bottom w:val="single" w:sz="8" w:color="auto"/>
            </w:tcBorders>
          </w:tcPr>
          <w:p>
            <w:pPr>
              <w:jc w:val="center"/>
              <w:ind w:left="119"/>
              <w:spacing w:after="0" w:line="142"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2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2"/>
          </w:tcPr>
          <w:p>
            <w:pPr>
              <w:jc w:val="center"/>
              <w:ind w:right="740"/>
              <w:spacing w:after="0" w:line="142" w:lineRule="exact"/>
              <w:rPr>
                <w:sz w:val="20"/>
                <w:szCs w:val="20"/>
                <w:color w:val="auto"/>
              </w:rPr>
            </w:pPr>
            <w:r>
              <w:rPr>
                <w:rFonts w:ascii="Times New Roman" w:cs="Times New Roman" w:eastAsia="Times New Roman" w:hAnsi="Times New Roman"/>
                <w:sz w:val="16"/>
                <w:szCs w:val="16"/>
                <w:color w:val="auto"/>
              </w:rPr>
              <w:t>Trading Symbol</w:t>
            </w:r>
          </w:p>
        </w:tc>
        <w:tc>
          <w:tcPr>
            <w:tcW w:w="380" w:type="dxa"/>
            <w:vAlign w:val="bottom"/>
            <w:tcBorders>
              <w:bottom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jc w:val="center"/>
              <w:ind w:right="300"/>
              <w:spacing w:after="0" w:line="142" w:lineRule="exact"/>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166"/>
        </w:trPr>
        <w:tc>
          <w:tcPr>
            <w:tcW w:w="3560" w:type="dxa"/>
            <w:vAlign w:val="bottom"/>
            <w:tcBorders>
              <w:left w:val="single" w:sz="8" w:color="auto"/>
              <w:bottom w:val="single" w:sz="8" w:color="auto"/>
            </w:tcBorders>
          </w:tcPr>
          <w:p>
            <w:pPr>
              <w:jc w:val="center"/>
              <w:ind w:left="119"/>
              <w:spacing w:after="0" w:line="166"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2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2"/>
          </w:tcPr>
          <w:p>
            <w:pPr>
              <w:jc w:val="center"/>
              <w:ind w:right="760"/>
              <w:spacing w:after="0" w:line="166" w:lineRule="exact"/>
              <w:rPr>
                <w:sz w:val="20"/>
                <w:szCs w:val="20"/>
                <w:color w:val="auto"/>
              </w:rPr>
            </w:pPr>
            <w:r>
              <w:rPr>
                <w:rFonts w:ascii="Times New Roman" w:cs="Times New Roman" w:eastAsia="Times New Roman" w:hAnsi="Times New Roman"/>
                <w:sz w:val="16"/>
                <w:szCs w:val="16"/>
                <w:color w:val="auto"/>
              </w:rPr>
              <w:t>SYBX</w:t>
            </w:r>
          </w:p>
        </w:tc>
        <w:tc>
          <w:tcPr>
            <w:tcW w:w="380" w:type="dxa"/>
            <w:vAlign w:val="bottom"/>
            <w:tcBorders>
              <w:bottom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jc w:val="center"/>
              <w:ind w:right="320"/>
              <w:spacing w:after="0" w:line="166" w:lineRule="exact"/>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8" w:lineRule="exact"/>
        <w:rPr>
          <w:sz w:val="24"/>
          <w:szCs w:val="24"/>
          <w:color w:val="auto"/>
        </w:rPr>
      </w:pPr>
    </w:p>
    <w:p>
      <w:pPr>
        <w:ind w:right="40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0" w:lineRule="exact"/>
        <w:rPr>
          <w:sz w:val="24"/>
          <w:szCs w:val="24"/>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76"/>
        </w:trPr>
        <w:tc>
          <w:tcPr>
            <w:tcW w:w="19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20"/>
              <w:spacing w:after="0" w:line="176" w:lineRule="exact"/>
              <w:rPr>
                <w:sz w:val="20"/>
                <w:szCs w:val="20"/>
                <w:color w:val="auto"/>
              </w:rPr>
            </w:pPr>
            <w:r>
              <w:rPr>
                <w:rFonts w:ascii="Times New Roman" w:cs="Times New Roman" w:eastAsia="Times New Roman" w:hAnsi="Times New Roman"/>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58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tabs>
          <w:tab w:leader="none" w:pos="752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4, 2022, there were 70,229,592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6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0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0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40" w:lineRule="exact"/>
        <w:rPr>
          <w:rFonts w:ascii="Times New Roman" w:cs="Times New Roman" w:eastAsia="Times New Roman" w:hAnsi="Times New Roman"/>
          <w:sz w:val="18"/>
          <w:szCs w:val="18"/>
          <w:color w:val="auto"/>
        </w:rPr>
      </w:pPr>
    </w:p>
    <w:p>
      <w:pPr>
        <w:jc w:val="both"/>
        <w:ind w:left="1020" w:right="44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major public health concerns, including the novel coronavirus outbreak or other pandemics arising globally, and the current and future impact of it and COVID-19, or geopolitical tensions, such as the armed conflict between Russia and Ukraine, on our clinical trials, business operations and funding requirements; and</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12"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1"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40" w:type="dxa"/>
            <w:vAlign w:val="bottom"/>
          </w:tcPr>
          <w:p>
            <w:pPr>
              <w:spacing w:after="0"/>
              <w:rPr>
                <w:sz w:val="24"/>
                <w:szCs w:val="24"/>
                <w:color w:val="auto"/>
              </w:rPr>
            </w:pPr>
          </w:p>
        </w:tc>
      </w:tr>
      <w:tr>
        <w:trPr>
          <w:trHeight w:val="310"/>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and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640" w:type="dxa"/>
            <w:vAlign w:val="bottom"/>
          </w:tcPr>
          <w:p>
            <w:pPr>
              <w:spacing w:after="0"/>
              <w:rPr>
                <w:sz w:val="24"/>
                <w:szCs w:val="24"/>
                <w:color w:val="auto"/>
              </w:rPr>
            </w:pPr>
          </w:p>
        </w:tc>
      </w:tr>
      <w:tr>
        <w:trPr>
          <w:trHeight w:val="31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554"/>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72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250,000,000 shares authorized as of June 30, 2022 and December 31, 2021.</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20" w:type="dxa"/>
            <w:vAlign w:val="bottom"/>
            <w:shd w:val="clear" w:color="auto" w:fill="CFF0FC"/>
          </w:tcPr>
          <w:p>
            <w:pPr>
              <w:ind w:left="480"/>
              <w:spacing w:after="0" w:line="189" w:lineRule="exact"/>
              <w:rPr>
                <w:sz w:val="20"/>
                <w:szCs w:val="20"/>
                <w:color w:val="auto"/>
              </w:rPr>
            </w:pPr>
            <w:r>
              <w:rPr>
                <w:rFonts w:ascii="Times New Roman" w:cs="Times New Roman" w:eastAsia="Times New Roman" w:hAnsi="Times New Roman"/>
                <w:sz w:val="18"/>
                <w:szCs w:val="18"/>
                <w:color w:val="auto"/>
              </w:rPr>
              <w:t>70,230,235 shares issued and outstanding as of June 30, 2022 and</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69,698,844 shares issued and outstanding as of December 31, 2021.</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(433 )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(322,411 )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(290,872 )</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143,545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-4337050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-3222625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-3205480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-2091055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Operations and Comprehensive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760" w:type="dxa"/>
            <w:vAlign w:val="bottom"/>
            <w:gridSpan w:val="5"/>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69"/>
        </w:trPr>
        <w:tc>
          <w:tcPr>
            <w:tcW w:w="50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4"/>
                <w:szCs w:val="14"/>
                <w:color w:val="auto"/>
              </w:rPr>
            </w:pPr>
          </w:p>
        </w:tc>
      </w:tr>
      <w:tr>
        <w:trPr>
          <w:trHeight w:val="21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Pr>
          <w:p>
            <w:pPr>
              <w:spacing w:after="0"/>
              <w:rPr>
                <w:sz w:val="18"/>
                <w:szCs w:val="18"/>
                <w:color w:val="auto"/>
              </w:rPr>
            </w:pPr>
          </w:p>
        </w:tc>
      </w:tr>
      <w:tr>
        <w:trPr>
          <w:trHeight w:val="210"/>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(16,017 )</w:t>
            </w:r>
          </w:p>
        </w:tc>
        <w:tc>
          <w:tcPr>
            <w:tcW w:w="180" w:type="dxa"/>
            <w:vAlign w:val="bottom"/>
          </w:tcPr>
          <w:p>
            <w:pPr>
              <w:spacing w:after="0"/>
              <w:rPr>
                <w:sz w:val="18"/>
                <w:szCs w:val="18"/>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(14,534 )</w:t>
            </w:r>
          </w:p>
        </w:tc>
        <w:tc>
          <w:tcPr>
            <w:tcW w:w="16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(31,782 )</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(29,565 )</w:t>
            </w: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(15,842 )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(14,485 )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(31,539 )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(29,456 )</w:t>
            </w: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(0.44 )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(0.63 )</w:t>
            </w: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72,106,224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52,049,424</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72,038,460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46,876,216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(15,842 )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(14,485 )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(31,539 )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(29,456 )</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18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(88 )</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(388 )</w:t>
            </w: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-2056765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-2056765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-2056765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-1216660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-1216660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-1216660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-607695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-590550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-607695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-590550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-607695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-590550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000" w:type="dxa"/>
            <w:vAlign w:val="bottom"/>
            <w:tcBorders>
              <w:bottom w:val="single" w:sz="8" w:color="auto"/>
            </w:tcBorders>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6"/>
                <w:szCs w:val="16"/>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gridSpan w:val="6"/>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70,267,586</w:t>
            </w:r>
          </w:p>
        </w:tc>
        <w:tc>
          <w:tcPr>
            <w:tcW w:w="940" w:type="dxa"/>
            <w:vAlign w:val="bottom"/>
            <w:shd w:val="clear" w:color="auto" w:fill="CFF0FC"/>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439,138</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(345 ) $</w:t>
            </w:r>
          </w:p>
        </w:tc>
        <w:tc>
          <w:tcPr>
            <w:tcW w:w="1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(306,569 ) $</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132,294</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4,940</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(42,253 )</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977</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(15,842 )</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(15,842 )</w:t>
            </w:r>
          </w:p>
        </w:tc>
        <w:tc>
          <w:tcPr>
            <w:tcW w:w="0" w:type="dxa"/>
            <w:vAlign w:val="bottom"/>
          </w:tcPr>
          <w:p>
            <w:pPr>
              <w:spacing w:after="0"/>
              <w:rPr>
                <w:sz w:val="1"/>
                <w:szCs w:val="1"/>
                <w:color w:val="auto"/>
              </w:rPr>
            </w:pPr>
          </w:p>
        </w:tc>
      </w:tr>
      <w:tr>
        <w:trPr>
          <w:trHeight w:val="16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70,230,235</w:t>
            </w:r>
          </w:p>
        </w:tc>
        <w:tc>
          <w:tcPr>
            <w:tcW w:w="940" w:type="dxa"/>
            <w:vAlign w:val="bottom"/>
            <w:tcBorders>
              <w:bottom w:val="single" w:sz="8" w:color="auto"/>
            </w:tcBorders>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440,124</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(433 ) $</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(322,411 ) $</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117,350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900" w:type="dxa"/>
            <w:vAlign w:val="bottom"/>
            <w:gridSpan w:val="6"/>
          </w:tcPr>
          <w:p>
            <w:pPr>
              <w:jc w:val="center"/>
              <w:ind w:left="128"/>
              <w:spacing w:after="0" w:line="156" w:lineRule="exact"/>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40,873,526</w:t>
            </w:r>
          </w:p>
        </w:tc>
        <w:tc>
          <w:tcPr>
            <w:tcW w:w="940" w:type="dxa"/>
            <w:vAlign w:val="bottom"/>
            <w:shd w:val="clear" w:color="auto" w:fill="CCEEFF"/>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354,286</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(245,282 ) $</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109,050</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11,500,000</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32,564</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32,575</w:t>
            </w: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31,897</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awards withheld for payment of employees'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(2,217 )</w:t>
            </w: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8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 liability</w:t>
            </w:r>
          </w:p>
        </w:tc>
        <w:tc>
          <w:tcPr>
            <w:tcW w:w="10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(27,862 )</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(14,485 )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(14,485 )</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52,375,344</w:t>
            </w:r>
          </w:p>
        </w:tc>
        <w:tc>
          <w:tcPr>
            <w:tcW w:w="940" w:type="dxa"/>
            <w:vAlign w:val="bottom"/>
            <w:tcBorders>
              <w:bottom w:val="single" w:sz="8" w:color="auto"/>
            </w:tcBorders>
            <w:shd w:val="clear" w:color="auto" w:fill="CFF0FC"/>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387,782</w:t>
            </w: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(259,767 ) $</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128,078</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5"/>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69,698,844</w:t>
            </w:r>
          </w:p>
        </w:tc>
        <w:tc>
          <w:tcPr>
            <w:tcW w:w="940" w:type="dxa"/>
            <w:vAlign w:val="bottom"/>
            <w:shd w:val="clear" w:color="auto" w:fill="CFF0FC"/>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438,113</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(45 ) $</w:t>
            </w:r>
          </w:p>
        </w:tc>
        <w:tc>
          <w:tcPr>
            <w:tcW w:w="1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(290,872 ) $</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147,266</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35,562</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507,260</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40,490</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(51,921 )</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1,867</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(31,539 )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(31,539 )</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70,230,235</w:t>
            </w:r>
          </w:p>
        </w:tc>
        <w:tc>
          <w:tcPr>
            <w:tcW w:w="940" w:type="dxa"/>
            <w:vAlign w:val="bottom"/>
            <w:tcBorders>
              <w:bottom w:val="single" w:sz="8" w:color="auto"/>
            </w:tcBorders>
            <w:shd w:val="clear" w:color="auto" w:fill="CFF0FC"/>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440,124</w:t>
            </w: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(433 ) $</w:t>
            </w:r>
          </w:p>
        </w:tc>
        <w:tc>
          <w:tcPr>
            <w:tcW w:w="12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(322,411 ) $</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117,350</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5"/>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38,183,273</w:t>
            </w:r>
          </w:p>
        </w:tc>
        <w:tc>
          <w:tcPr>
            <w:tcW w:w="940" w:type="dxa"/>
            <w:vAlign w:val="bottom"/>
            <w:shd w:val="clear" w:color="auto" w:fill="CFF0FC"/>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345,394</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(230,311 ) $</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115,135</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 ATM</w:t>
            </w: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2,447,211</w:t>
            </w: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8,047</w:t>
            </w:r>
          </w:p>
        </w:tc>
        <w:tc>
          <w:tcPr>
            <w:tcW w:w="14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8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10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11,500,000</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32,564</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32,575</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32,113</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242,454</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19,061</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39"/>
        </w:trPr>
        <w:tc>
          <w:tcPr>
            <w:tcW w:w="40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awards withheld for payment of employees'</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(18,187 )</w:t>
            </w: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4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withholding tax liability</w:t>
            </w:r>
          </w:p>
        </w:tc>
        <w:tc>
          <w:tcPr>
            <w:tcW w:w="1060" w:type="dxa"/>
            <w:vAlign w:val="bottom"/>
            <w:vMerge w:val="continue"/>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(30,581 )</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1,753</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1,753</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(29,456 )</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(29,456 )</w:t>
            </w:r>
          </w:p>
        </w:tc>
        <w:tc>
          <w:tcPr>
            <w:tcW w:w="0" w:type="dxa"/>
            <w:vAlign w:val="bottom"/>
          </w:tcPr>
          <w:p>
            <w:pPr>
              <w:spacing w:after="0"/>
              <w:rPr>
                <w:sz w:val="1"/>
                <w:szCs w:val="1"/>
                <w:color w:val="auto"/>
              </w:rPr>
            </w:pPr>
          </w:p>
        </w:tc>
      </w:tr>
      <w:tr>
        <w:trPr>
          <w:trHeight w:val="16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52,375,344</w:t>
            </w:r>
          </w:p>
        </w:tc>
        <w:tc>
          <w:tcPr>
            <w:tcW w:w="940" w:type="dxa"/>
            <w:vAlign w:val="bottom"/>
            <w:tcBorders>
              <w:bottom w:val="single" w:sz="8" w:color="auto"/>
            </w:tcBorders>
          </w:tcPr>
          <w:p>
            <w:pPr>
              <w:jc w:val="center"/>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387,782</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(259,767 ) $</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128,078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320" w:right="339" w:bottom="1440" w:gutter="0" w:footer="0" w:header="0"/>
        </w:sectPr>
      </w:pPr>
    </w:p>
    <w:p>
      <w:pPr>
        <w:spacing w:after="0" w:line="219"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16510</wp:posOffset>
            </wp:positionV>
            <wp:extent cx="1097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16510</wp:posOffset>
            </wp:positionV>
            <wp:extent cx="1028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2021</w:t>
      </w:r>
    </w:p>
    <w:p>
      <w:pPr>
        <w:spacing w:after="0" w:line="25" w:lineRule="exact"/>
        <w:rPr>
          <w:sz w:val="20"/>
          <w:szCs w:val="20"/>
          <w:color w:val="auto"/>
        </w:rPr>
      </w:pPr>
    </w:p>
    <w:p>
      <w:pPr>
        <w:sectPr>
          <w:pgSz w:w="11900" w:h="16838" w:orient="portrait"/>
          <w:cols w:equalWidth="0" w:num="2">
            <w:col w:w="9040" w:space="720"/>
            <w:col w:w="148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5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(31,539 )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(29,456 )</w:t>
            </w: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6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(87 )</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carrying amount of operating lease right of use asset</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7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(1,599 )</w:t>
            </w: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r>
        <w:trPr>
          <w:trHeight w:val="216"/>
        </w:trPr>
        <w:tc>
          <w:tcPr>
            <w:tcW w:w="75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(382 )</w:t>
            </w: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(1,991 )</w:t>
            </w: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(1,264 )</w:t>
            </w:r>
          </w:p>
        </w:tc>
      </w:tr>
      <w:tr>
        <w:trPr>
          <w:trHeight w:val="216"/>
        </w:trPr>
        <w:tc>
          <w:tcPr>
            <w:tcW w:w="75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(14 )</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75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(29,046 )</w:t>
            </w: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(25,321 )</w:t>
            </w:r>
          </w:p>
        </w:tc>
      </w:tr>
      <w:tr>
        <w:trPr>
          <w:trHeight w:val="20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(41,116 )</w:t>
            </w: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(74,010 )</w:t>
            </w: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54,272</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marketable securities</w:t>
            </w:r>
          </w:p>
        </w:tc>
        <w:tc>
          <w:tcPr>
            <w:tcW w:w="6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(629 )</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75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(18,591 )</w:t>
            </w: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6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32,578</w:t>
            </w:r>
          </w:p>
        </w:tc>
        <w:tc>
          <w:tcPr>
            <w:tcW w:w="100" w:type="dxa"/>
            <w:vAlign w:val="bottom"/>
            <w:shd w:val="clear" w:color="auto" w:fill="CFF0FC"/>
          </w:tcPr>
          <w:p>
            <w:pPr>
              <w:spacing w:after="0"/>
              <w:rPr>
                <w:sz w:val="18"/>
                <w:szCs w:val="18"/>
                <w:color w:val="auto"/>
              </w:rPr>
            </w:pPr>
          </w:p>
        </w:tc>
      </w:tr>
      <w:tr>
        <w:trPr>
          <w:trHeight w:val="171"/>
        </w:trPr>
        <w:tc>
          <w:tcPr>
            <w:tcW w:w="75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w:t>
            </w: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w:t>
            </w:r>
          </w:p>
        </w:tc>
        <w:tc>
          <w:tcPr>
            <w:tcW w:w="6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Pr>
          <w:p>
            <w:pPr>
              <w:spacing w:after="0"/>
              <w:rPr>
                <w:sz w:val="20"/>
                <w:szCs w:val="20"/>
                <w:color w:val="auto"/>
              </w:rPr>
            </w:pP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employee withholding taxes relating to restricted stock awards</w:t>
            </w:r>
          </w:p>
        </w:tc>
        <w:tc>
          <w:tcPr>
            <w:tcW w:w="6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10"/>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(3,263 )</w:t>
            </w:r>
          </w:p>
        </w:tc>
      </w:tr>
      <w:tr>
        <w:trPr>
          <w:trHeight w:val="21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31,998</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under finance lease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34"/>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-3645535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-3645535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-2805430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-2805430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-1562735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-1279525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7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right="160" w:firstLine="509"/>
        <w:spacing w:after="0" w:line="256" w:lineRule="auto"/>
        <w:rPr>
          <w:sz w:val="20"/>
          <w:szCs w:val="20"/>
          <w:color w:val="auto"/>
        </w:rPr>
      </w:pPr>
      <w:r>
        <w:rPr>
          <w:rFonts w:ascii="Times New Roman" w:cs="Times New Roman" w:eastAsia="Times New Roman" w:hAnsi="Times New Roman"/>
          <w:sz w:val="17"/>
          <w:szCs w:val="17"/>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w:t>
      </w:r>
    </w:p>
    <w:p>
      <w:pPr>
        <w:spacing w:after="0" w:line="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At June 30, 2022, the Company had approximately $106.8 million in cash, cash equivalents, and short-term marketable securities, $1.1 million of restricted cash and an accumulated deficit of approximately $322.4 million. Since its inception through June 30, 2022, the Company has primarily financed its operations through the issuance of preferred stock, units and warrants, the sale of its common stock, collaborations, including with Roche, and cash received in the Merger (defined below).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66" w:lineRule="exact"/>
        <w:rPr>
          <w:sz w:val="20"/>
          <w:szCs w:val="20"/>
          <w:color w:val="auto"/>
        </w:rPr>
      </w:pPr>
    </w:p>
    <w:p>
      <w:pPr>
        <w:jc w:val="both"/>
        <w:ind w:right="320" w:firstLine="509"/>
        <w:spacing w:after="0"/>
        <w:rPr>
          <w:sz w:val="20"/>
          <w:szCs w:val="20"/>
          <w:color w:val="auto"/>
        </w:rPr>
      </w:pPr>
      <w:r>
        <w:rPr>
          <w:rFonts w:ascii="Times New Roman" w:cs="Times New Roman" w:eastAsia="Times New Roman" w:hAnsi="Times New Roman"/>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w:t>
      </w:r>
    </w:p>
    <w:p>
      <w:pPr>
        <w:spacing w:after="0" w:line="1" w:lineRule="exact"/>
        <w:rPr>
          <w:sz w:val="20"/>
          <w:szCs w:val="20"/>
          <w:color w:val="auto"/>
        </w:rPr>
      </w:pPr>
    </w:p>
    <w:p>
      <w:pPr>
        <w:ind w:right="260"/>
        <w:spacing w:after="0" w:line="223" w:lineRule="auto"/>
        <w:rPr>
          <w:sz w:val="20"/>
          <w:szCs w:val="20"/>
          <w:color w:val="auto"/>
        </w:rPr>
      </w:pPr>
      <w:r>
        <w:rPr>
          <w:rFonts w:ascii="Times New Roman" w:cs="Times New Roman" w:eastAsia="Times New Roman" w:hAnsi="Times New Roman"/>
          <w:sz w:val="17"/>
          <w:szCs w:val="17"/>
          <w:color w:val="auto"/>
        </w:rPr>
        <w:t>manufacturing organizations (CMOs), the regulatory approval process, market acceptance of the Company’s products once approved, lack of marketing and sales history, dependence on key personnel and protection of proprietary technology. The Company’s therapeutic programs are currently pre-</w:t>
      </w:r>
    </w:p>
    <w:p>
      <w:pPr>
        <w:spacing w:after="0" w:line="1" w:lineRule="exact"/>
        <w:rPr>
          <w:sz w:val="20"/>
          <w:szCs w:val="20"/>
          <w:color w:val="auto"/>
        </w:rPr>
      </w:pPr>
    </w:p>
    <w:p>
      <w:pPr>
        <w:jc w:val="both"/>
        <w:ind w:right="120"/>
        <w:spacing w:after="0" w:line="219" w:lineRule="auto"/>
        <w:rPr>
          <w:sz w:val="20"/>
          <w:szCs w:val="20"/>
          <w:color w:val="auto"/>
        </w:rPr>
      </w:pPr>
      <w:r>
        <w:rPr>
          <w:rFonts w:ascii="Times New Roman" w:cs="Times New Roman" w:eastAsia="Times New Roman" w:hAnsi="Times New Roman"/>
          <w:sz w:val="18"/>
          <w:szCs w:val="18"/>
          <w:color w:val="auto"/>
        </w:rPr>
        <w:t>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w:t>
      </w:r>
    </w:p>
    <w:p>
      <w:pPr>
        <w:ind w:right="180"/>
        <w:spacing w:after="0" w:line="223" w:lineRule="auto"/>
        <w:rPr>
          <w:sz w:val="20"/>
          <w:szCs w:val="20"/>
          <w:color w:val="auto"/>
        </w:rPr>
      </w:pPr>
      <w:r>
        <w:rPr>
          <w:rFonts w:ascii="Times New Roman" w:cs="Times New Roman" w:eastAsia="Times New Roman" w:hAnsi="Times New Roman"/>
          <w:sz w:val="17"/>
          <w:szCs w:val="17"/>
          <w:color w:val="auto"/>
        </w:rPr>
        <w:t>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8"/>
          <w:szCs w:val="18"/>
          <w:color w:val="auto"/>
        </w:rPr>
        <w:t>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94" w:lineRule="exact"/>
        <w:rPr>
          <w:sz w:val="20"/>
          <w:szCs w:val="20"/>
          <w:color w:val="auto"/>
        </w:rPr>
      </w:pPr>
    </w:p>
    <w:p>
      <w:pPr>
        <w:ind w:right="240" w:firstLine="509"/>
        <w:spacing w:after="0" w:line="236" w:lineRule="auto"/>
        <w:rPr>
          <w:sz w:val="20"/>
          <w:szCs w:val="20"/>
          <w:color w:val="auto"/>
        </w:rPr>
      </w:pPr>
      <w:r>
        <w:rPr>
          <w:rFonts w:ascii="Times New Roman" w:cs="Times New Roman" w:eastAsia="Times New Roman" w:hAnsi="Times New Roman"/>
          <w:sz w:val="18"/>
          <w:szCs w:val="18"/>
          <w:color w:val="auto"/>
        </w:rPr>
        <w:t>While the Company is not aware of a material impact from the continuation of the COVID-19 pandemic through June 30, 2022, the full extent 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29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94" w:lineRule="exact"/>
        <w:rPr>
          <w:sz w:val="20"/>
          <w:szCs w:val="20"/>
          <w:color w:val="auto"/>
        </w:rPr>
      </w:pPr>
    </w:p>
    <w:p>
      <w:pPr>
        <w:jc w:val="both"/>
        <w:ind w:right="60" w:firstLine="509"/>
        <w:spacing w:after="0"/>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2021, and the notes thereto, which are included in the Company’s Annual Report on Form 10-K for the year ended December 31, 2021, filed with the Securities and Exchange Commission (SEC) on March 17, 2022 (the 2021 Annual Report), have had no material changes during the three and six months ended June 30, 2022.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June 30, 2022 and for the three and six months ended June 30, 2022 and 2021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2021 and 2020 audited consolidated financial statements and notes included in the 2021 Annual Report. The consolidated balance sheet as of December 31, 2021 included herein was derived from the</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8" w:name="page9"/>
    <w:bookmarkEnd w:id="8"/>
    <w:p>
      <w:pPr>
        <w:spacing w:after="0" w:line="239" w:lineRule="auto"/>
        <w:rPr>
          <w:sz w:val="20"/>
          <w:szCs w:val="20"/>
          <w:color w:val="auto"/>
        </w:rPr>
      </w:pPr>
      <w:r>
        <w:rPr>
          <w:rFonts w:ascii="Times New Roman" w:cs="Times New Roman" w:eastAsia="Times New Roman" w:hAnsi="Times New Roman"/>
          <w:sz w:val="18"/>
          <w:szCs w:val="18"/>
          <w:color w:val="auto"/>
        </w:rPr>
        <w:t>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2022 and 2021. The results of operations for the interim periods are not necessarily indicative of the results to be expected for the year ending December 31, 2022 or any other interim period or future year or period.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ind w:right="620" w:firstLine="562"/>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New accounting pronouncements are issued by the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audited financial statements included in the 2021 Annual Report.</w:t>
      </w:r>
    </w:p>
    <w:p>
      <w:pPr>
        <w:spacing w:after="0" w:line="16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7"/>
          <w:szCs w:val="17"/>
          <w:color w:val="auto"/>
        </w:rPr>
        <w:t>At June 30, 2022 and December 31, 2021, the Company has classified assets measured at fair value on a recurring basis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106,791</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-1765300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-1765300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-1765300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June 30, 2022 and December 31, 2021 are carried at amounts that approximate fair value due to their short-term maturities. Finance lease obligations at June 30, 2022 and December 31, 2021 approximate fair value as they bear interest at a rate approximating a market interest rate.</w:t>
      </w:r>
    </w:p>
    <w:p>
      <w:pPr>
        <w:spacing w:after="0" w:line="273"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Investments</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June 30, 2022 and December 31, 2021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56,852</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(195 )</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76,323</w:t>
            </w:r>
          </w:p>
        </w:tc>
        <w:tc>
          <w:tcPr>
            <w:tcW w:w="24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24"/>
                <w:szCs w:val="24"/>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120,236</w:t>
            </w:r>
          </w:p>
        </w:tc>
        <w:tc>
          <w:tcPr>
            <w:tcW w:w="24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-1104900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-1104900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-1104900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-1104900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contractual maturity of all securities held at June 30, 2022 was 11 months or less. There were 27 and 20 investments in an unrealized loss position at June 30, 2022 and December 31, 2021, respectively, none of which had been in an unrealized loss position for more than twelve months. The aggregate fair value of the securities in an unrealized loss position at June 30, 2022 and December 31, 2021 was $75.9 million and $72.2 million, respectively. The Company reviews its investments for other-than-temporary</w:t>
      </w:r>
    </w:p>
    <w:p>
      <w:pPr>
        <w:spacing w:after="0" w:line="1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40" w:right="539" w:bottom="1440" w:gutter="0" w:footer="0" w:header="0"/>
        </w:sectPr>
      </w:pPr>
    </w:p>
    <w:bookmarkStart w:id="10" w:name="page11"/>
    <w:bookmarkEnd w:id="10"/>
    <w:p>
      <w:pPr>
        <w:ind w:right="120"/>
        <w:spacing w:after="0" w:line="250" w:lineRule="auto"/>
        <w:rPr>
          <w:sz w:val="20"/>
          <w:szCs w:val="20"/>
          <w:color w:val="auto"/>
        </w:rPr>
      </w:pPr>
      <w:r>
        <w:rPr>
          <w:rFonts w:ascii="Times New Roman" w:cs="Times New Roman" w:eastAsia="Times New Roman" w:hAnsi="Times New Roman"/>
          <w:sz w:val="18"/>
          <w:szCs w:val="18"/>
          <w:color w:val="auto"/>
        </w:rPr>
        <w:t>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June 30, 2022.</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14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(11,884 )</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(10,626 )</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-454025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r>
      <w:tr>
        <w:trPr>
          <w:trHeight w:val="187"/>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08"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None of the Pre-Funded Warrants have been exercised as of June 30, 2022. (See Note 9,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 Collaboration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The Company had a previous sales agreement with Cowen and Company, LLC (Cowen) with respect to an at-the-market (ATM) offering program, which was entered into on October 13, 2017. In an ATM offering, exchange-listed companies incrementally sell newly issued shares into the secondary trading market through a designated broker-dealer at prevailing market prices. During the three months ended March 31, 2021, 2,447,211 shares of common stock were sold pursuant to the ATM, resulting in net proceeds of approximately $8.1 million. There were no sales pursuant to the Cowen ATM subsequent to March 31, 2021.</w:t>
      </w:r>
    </w:p>
    <w:p>
      <w:pPr>
        <w:spacing w:after="0" w:line="1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July 2021, the Company entered into a new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six months ended June 30, 2022, no shares of common stock were sold pursuant to the sales agreement with Jefferies.</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1" w:name="page12"/>
    <w:bookmarkEnd w:id="11"/>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28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2,548,117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2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2,707,904</w:t>
            </w: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20,705</w:t>
            </w: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5,276,726</w:t>
            </w:r>
          </w:p>
        </w:tc>
      </w:tr>
      <w:tr>
        <w:trPr>
          <w:trHeight w:val="20"/>
        </w:trPr>
        <w:tc>
          <w:tcPr>
            <w:tcW w:w="614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520" w:hanging="512"/>
        <w:spacing w:after="0" w:line="207" w:lineRule="exact"/>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6" w:lineRule="exact"/>
        <w:rPr>
          <w:sz w:val="20"/>
          <w:szCs w:val="20"/>
          <w:color w:val="auto"/>
        </w:rPr>
      </w:pPr>
    </w:p>
    <w:p>
      <w:pPr>
        <w:jc w:val="both"/>
        <w:ind w:right="180" w:firstLine="509"/>
        <w:spacing w:after="0" w:line="264" w:lineRule="auto"/>
        <w:rPr>
          <w:sz w:val="20"/>
          <w:szCs w:val="20"/>
          <w:color w:val="auto"/>
        </w:rPr>
      </w:pPr>
      <w:r>
        <w:rPr>
          <w:rFonts w:ascii="Times New Roman" w:cs="Times New Roman" w:eastAsia="Times New Roman" w:hAnsi="Times New Roman"/>
          <w:sz w:val="17"/>
          <w:szCs w:val="17"/>
          <w:color w:val="auto"/>
        </w:rPr>
        <w:t>On January 1, 2022, the number of shares of common stock available for issuance under the 2015 Equity Incentive Award Plan (the “2015 Plan”) and the 2015 Employee Stock Purchase Plan (“ESPP”) was increased by 3,484,942 shares and 696,988 shares, respectively, due to the annual evergreen provision to increase shares available under the 2015 Plan and the ESPP. As of June 30, 2022, there were an aggregate of 2,259,432 shares available for future grant under the 2017 Stock Incentive Plan (the 2017 Plan) and the 2015 Plan, and 1,341,339 shares available for future grant under the ESPP.</w:t>
      </w:r>
    </w:p>
    <w:p>
      <w:pPr>
        <w:spacing w:after="0" w:line="137" w:lineRule="exact"/>
        <w:rPr>
          <w:sz w:val="20"/>
          <w:szCs w:val="20"/>
          <w:color w:val="auto"/>
        </w:rPr>
      </w:pPr>
    </w:p>
    <w:p>
      <w:pPr>
        <w:ind w:right="1000" w:firstLine="509"/>
        <w:spacing w:after="0" w:line="226"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and six months ended June 30, 2022 and 2021 (in thousands):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314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r>
      <w:tr>
        <w:trPr>
          <w:trHeight w:val="250"/>
        </w:trPr>
        <w:tc>
          <w:tcPr>
            <w:tcW w:w="3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5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3" w:lineRule="exact"/>
        <w:rPr>
          <w:sz w:val="20"/>
          <w:szCs w:val="20"/>
          <w:color w:val="auto"/>
        </w:rPr>
      </w:pPr>
    </w:p>
    <w:p>
      <w:pPr>
        <w:ind w:right="120" w:firstLine="509"/>
        <w:spacing w:after="0" w:line="232"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and six months ended June 30, 2022 and 2021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3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38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During the six months ended June 30, 2022, the Company granted 2,889,149 stock options with a weighted average exercise price of $1.84. As of June 30, 2022, there was $6.6 million of unrecognized share-based compensation related to unvested stock option grants which is expected to be recognized over a weighted average period of 2.8 years. The total unrecognized share-based compensation cost will be adjusted for actual forfeitures as they occur.</w:t>
      </w:r>
    </w:p>
    <w:p>
      <w:pPr>
        <w:spacing w:after="0" w:line="18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During the six months ended June 30, 2022, the Company granted 507,260 restricted stock awards with a weighted average grant date fair value per share of $1.97. As of June 30, 2022, there was approximately $1.4 million of unrecognized share-based compensation related to restricted stock awards granted, which is expected to be recognized over a weighted average period of 3.3 years. The total unrecognized share-based compensation cost will be adjusted for actual forfeitures as they occur.</w:t>
      </w:r>
    </w:p>
    <w:p>
      <w:pPr>
        <w:spacing w:after="0" w:line="19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For a full description of the Company’s equity plans, refer to Note 9, Equity-based Compensation and Equity Incentive Plans in the 2021 Annual Report.</w:t>
      </w:r>
    </w:p>
    <w:p>
      <w:pPr>
        <w:spacing w:after="0" w:line="26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12" w:name="page13"/>
    <w:bookmarkEnd w:id="12"/>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9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$0.4 million as collaboration revenue in the Company’s consolidated statements of operations and comprehensive loss associated with the Roche Collaboration and Option Agreement. Deferred revenue from the collaboration amounted to $0.1 million as of June 30, 2022, all of which is included in current liabilities.</w:t>
      </w:r>
    </w:p>
    <w:p>
      <w:pPr>
        <w:spacing w:after="0" w:line="190" w:lineRule="exact"/>
        <w:rPr>
          <w:sz w:val="20"/>
          <w:szCs w:val="20"/>
          <w:color w:val="auto"/>
        </w:rPr>
      </w:pPr>
    </w:p>
    <w:p>
      <w:pPr>
        <w:ind w:right="240" w:firstLine="509"/>
        <w:spacing w:after="0" w:line="453" w:lineRule="auto"/>
        <w:rPr>
          <w:sz w:val="20"/>
          <w:szCs w:val="20"/>
          <w:color w:val="auto"/>
        </w:rPr>
      </w:pPr>
      <w:r>
        <w:rPr>
          <w:rFonts w:ascii="Times New Roman" w:cs="Times New Roman" w:eastAsia="Times New Roman" w:hAnsi="Times New Roman"/>
          <w:sz w:val="18"/>
          <w:szCs w:val="18"/>
          <w:color w:val="auto"/>
        </w:rPr>
        <w:t xml:space="preserve">For a full description of the Roche Collaboration and Option Agreement, refer to Note 10, Collaboration Agreements in the 2021 Annual Report. </w:t>
      </w:r>
      <w:r>
        <w:rPr>
          <w:rFonts w:ascii="Times New Roman" w:cs="Times New Roman" w:eastAsia="Times New Roman" w:hAnsi="Times New Roman"/>
          <w:sz w:val="18"/>
          <w:szCs w:val="18"/>
          <w:b w:val="1"/>
          <w:bCs w:val="1"/>
          <w:i w:val="1"/>
          <w:iCs w:val="1"/>
          <w:color w:val="auto"/>
        </w:rPr>
        <w:t>Ginkgo Collaboration</w:t>
      </w:r>
    </w:p>
    <w:p>
      <w:pPr>
        <w:spacing w:after="0" w:line="2"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June 30, 2022 consolidated balance sheet. At June 30, 2022, the Company had remaining balances of $1.7 million and $7.8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28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0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Times New Roman" w:cs="Times New Roman" w:eastAsia="Times New Roman" w:hAnsi="Times New Roman"/>
          <w:sz w:val="18"/>
          <w:szCs w:val="18"/>
          <w:i w:val="1"/>
          <w:iCs w:val="1"/>
          <w:color w:val="auto"/>
        </w:rPr>
        <w:t>, Ginkgo Collaboration,</w:t>
      </w:r>
      <w:r>
        <w:rPr>
          <w:rFonts w:ascii="Times New Roman" w:cs="Times New Roman" w:eastAsia="Times New Roman" w:hAnsi="Times New Roman"/>
          <w:sz w:val="18"/>
          <w:szCs w:val="18"/>
          <w:color w:val="auto"/>
        </w:rPr>
        <w:t xml:space="preserve"> in the audited financial statements included in the 2021 Annual Report). The shares of common stock into which the warrants may be exercised are considered outstanding for the purposes of computing net loss per share.</w:t>
      </w:r>
    </w:p>
    <w:p>
      <w:pPr>
        <w:spacing w:after="0" w:line="1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69"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18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40" w:type="dxa"/>
            <w:vAlign w:val="bottom"/>
            <w:tcBorders>
              <w:bottom w:val="single" w:sz="8" w:color="auto"/>
            </w:tcBorders>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13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3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670,950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346,461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6,923,868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4,605,714</w:t>
            </w: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3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20,705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10,240</w:t>
            </w:r>
          </w:p>
        </w:tc>
      </w:tr>
    </w:tbl>
    <w:p>
      <w:pPr>
        <w:spacing w:after="0" w:line="383"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9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commitments are described in the Company’s consolidated financial statements as of and for the year ended December 31, 2021 and the notes thereto included in the Annual Report on Form 10-K filed with the SEC on March 17, 2022.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line="246" w:lineRule="auto"/>
        <w:rPr>
          <w:sz w:val="20"/>
          <w:szCs w:val="20"/>
          <w:color w:val="auto"/>
        </w:rPr>
      </w:pPr>
      <w:r>
        <w:rPr>
          <w:rFonts w:ascii="Times New Roman" w:cs="Times New Roman" w:eastAsia="Times New Roman" w:hAnsi="Times New Roman"/>
          <w:sz w:val="18"/>
          <w:szCs w:val="18"/>
          <w:color w:val="auto"/>
        </w:rPr>
        <w:t xml:space="preserve">January 21, 2022, the Company entered into two Statements of Work with Azzur Group, LLC (Azzur). Pursuant to the first of the SOWs (the Third SOW), the Company has agreed to pay Azzur $650,000 to renovate and upgrade the cleanroom space at Azzur for the Company’s expanded use. The second of the SOWs (the Fourth SOW) replaces the Second SOW that the Company entered into with Azzur on April 29, 2021. The Fourth SOW extends the term of the lease, for the period beginning January 2022 through March 2023 (the Third Term). The Fourth SOW contains an option to extend the lease. As of June 30, 2022, the Company determined that it was more likely than not to exercise the option to extend the lease. The Third and Fourth SOWs resulted in an adjustment to the operating lease right-of-use asset and corresponding operating lease liabilities of $1.8 million. The total remaining liability associated with the Azzur lease is approximately $2.9 million as of June 30, 2022. For a full description of the Azzur embedded lease,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2021 Annual Report.</w:t>
      </w:r>
    </w:p>
    <w:p>
      <w:pPr>
        <w:spacing w:after="0" w:line="200" w:lineRule="exact"/>
        <w:rPr>
          <w:sz w:val="20"/>
          <w:szCs w:val="20"/>
          <w:color w:val="auto"/>
        </w:rPr>
      </w:pPr>
    </w:p>
    <w:p>
      <w:pPr>
        <w:spacing w:after="0" w:line="28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08"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June 30, 2022, Ginkgo owned 6,340,771 shares of the Company’s outstanding common stock. See Note 10,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in the audited financial statements included in the 2021 Annual Report.</w:t>
      </w:r>
    </w:p>
    <w:p>
      <w:pPr>
        <w:spacing w:after="0" w:line="1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will be provided to the Company over an initial term of five years. At June 30, 2022, the Company had remaining balances of $1.7 million and $7.8 million of current and non-current pre-paid research and development costs related to this transaction, respectively. The Company used $1.2 million and $1.7 million of the pre-paid research and development expenses for the three and six months ended June 30, 2022.</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06" w:lineRule="exact"/>
        <w:rPr>
          <w:sz w:val="20"/>
          <w:szCs w:val="20"/>
          <w:color w:val="auto"/>
        </w:rPr>
      </w:pPr>
    </w:p>
    <w:p>
      <w:pPr>
        <w:ind w:firstLine="509"/>
        <w:spacing w:after="0" w:line="224"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2021 and 2020 included in our Annual Report on Form 10-K filed with the SEC on March 17, 2022 (the 2021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[24]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120" w:firstLine="509"/>
        <w:spacing w:after="0" w:line="229" w:lineRule="auto"/>
        <w:rPr>
          <w:sz w:val="20"/>
          <w:szCs w:val="20"/>
          <w:color w:val="auto"/>
        </w:rPr>
      </w:pPr>
      <w:r>
        <w:rPr>
          <w:rFonts w:ascii="Times New Roman" w:cs="Times New Roman" w:eastAsia="Times New Roman" w:hAnsi="Times New Roman"/>
          <w:sz w:val="18"/>
          <w:szCs w:val="18"/>
          <w:color w:val="auto"/>
        </w:rPr>
        <w:t>Synlogic is a clinical-stage biotechnology company advancing a new paradigm of biotherapeutics through its unique and proprietary approach to synthetic biology. Synthetic biology leverages engineering principles to enable the design of new biological systems, genetic circuits and molecular components. Synlogic is delivering the power of synthetic biology to medicine, combining the precision of engineering with rational drug development to develop what are called Synthetic Biotics. Synthetic Biotics are a novel drug modality that uses programmable, precision genetic engineering of well-characterized probiotics to exert localized activity for therapeutic benefit, with a focus on metabolic and immunologic diseases.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Candidate Pipeline</w:t>
      </w:r>
    </w:p>
    <w:p>
      <w:pPr>
        <w:spacing w:after="0" w:line="175"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Synlogic’s pipeline includes its lead program in phenylketonuria (PKU), which has demonstrated proof of concept and we plan to start a pivotal, Phase 3 clinical trial in the first half of 2023. Our pipeline also includes novel drug candidates designed to treat homocystinuria (HCU) and enteric hyperoxaluria. Synlogic is also working with Roche in a research collaboration focused on the discovery of a novel Synthetic Biotic for the treatment of inflammatory bowel disease (IBD) and with Ginkgo Bioworks, Inc. (Ginkgo) on additional undisclosed preclinical assets, combining Synlogic’s approach to Synthetic Biotics with Ginkgo’s Codebase and Foundry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113665</wp:posOffset>
            </wp:positionV>
            <wp:extent cx="5846445" cy="2099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644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Metabolic Disease</w:t>
      </w:r>
    </w:p>
    <w:p>
      <w:pPr>
        <w:spacing w:after="0" w:line="21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There are a number of metabolic diseases involving a lack of certain enzymes that are responsible for metabolizing commonly occurring byproducts of digestion. The absence of these enzymes is caused by either a genetic mutation characterized by a dysfunctional metabolic pathway, such as PKU or HCU, or organ dysfunction, such as enteric hyperoxaluria. In patients with these diseases, the absence of certain enzymes causes metabolites to accumulate to in the gut and systemically throughout the body. In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15" w:name="page16"/>
    <w:bookmarkEnd w:id="15"/>
    <w:p>
      <w:pPr>
        <w:ind w:right="640"/>
        <w:spacing w:after="0" w:line="282" w:lineRule="auto"/>
        <w:rPr>
          <w:sz w:val="20"/>
          <w:szCs w:val="20"/>
          <w:color w:val="auto"/>
        </w:rPr>
      </w:pPr>
      <w:r>
        <w:rPr>
          <w:rFonts w:ascii="Times New Roman" w:cs="Times New Roman" w:eastAsia="Times New Roman" w:hAnsi="Times New Roman"/>
          <w:sz w:val="18"/>
          <w:szCs w:val="18"/>
          <w:color w:val="auto"/>
        </w:rPr>
        <w:t>patients with PKU and HCU, these metabolites build up to toxic levels resulting in serious health consequences, including irreversible neurological dysfunction.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PKU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 xml:space="preserve">Our PKU program includes two development candidates, SYNB1618 and SYNB1934. SYNB1618 and SYNB1934 are orally administered, non-systemically absorbed drug candidates being studied as potential treatments for PKU, a genetic disease caused by potentially neurotoxic levels of the amino acid Phe. Treatment options for PKU are currently limited due to efficacy and safety, with an estimated 75% of US patients remaining in need of treatment, and many of those who are treated in need of additional Phe-lowering. We designed our drug candidates to reduce levels of Phe in people with PKU using precision genetic engineering of the well-characterized probiotic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Findings to date support the potential for an efficacious, safe, convenient, and flexible treatment option for PKU and SYNB1618 has received both Orphan Drug and Fast Track designations by the U.S Food and Drug Administration (FDA). SYNB1618 has received orphan designation for the treatment of PKU from the European Medicines Agency (EMA). Both SYNB1618 and SYNB1934 are being studied in the Phase 2 SynPheny-1 clinical trial, with data expected in the second half of 2022, and initiation of the Phase 3 trial expected to begin in the first half of 2023.</w:t>
      </w:r>
    </w:p>
    <w:p>
      <w:pPr>
        <w:spacing w:after="0" w:line="17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completed a Phase 1/2a clinical trial of an early liquid formulation of SYNB1618 and announced top-line data from healthy volunteers evaluated in this trial in September 2018. In July 2019, we announced data that demonstrated that SYNB1618 was safe and well-tolerated and achieved proof-of-mechanism of strain activity in both healthy volunteers and patients with PKU. Following the trial using the liquid formulation, we developed a solid oral lyophilized formulation of SYNB1618. We have evaluated this oral formulation in a bridging study in healthy volunteers. The study of this more patient-and commercialization-appropriate presentation of SYNB1618 demonstrated activity and improved tolerability over the liquid formulation.</w:t>
      </w:r>
    </w:p>
    <w:p>
      <w:pPr>
        <w:spacing w:after="0" w:line="184"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We initiated a Phase 2 clinical trial with SYNB1618 in the third quarter of 2020, referred to as the SynPheny-1 clinical trial. The SynPheny-1 trial is designed to evaluate safety and tolerability of a solid oral formulation of SYNB1618 as well as its potential to lower blood Phe levels in adult PKU patients. In September 2021, an interim analysis of the ongoing SynPheny-1 trial found that SYNB1618 demonstrated statistically significant reductions in blood Phe levels. With this proof of concept established and the program data to date, we expect to progress to Phase 3 development of the PKU program and began preparation activities while completing the remainder of the Phase 2 clinical trial.</w:t>
      </w:r>
    </w:p>
    <w:p>
      <w:pPr>
        <w:spacing w:after="0" w:line="188" w:lineRule="exact"/>
        <w:rPr>
          <w:sz w:val="20"/>
          <w:szCs w:val="20"/>
          <w:color w:val="auto"/>
        </w:rPr>
      </w:pPr>
    </w:p>
    <w:p>
      <w:pPr>
        <w:ind w:right="180" w:firstLine="509"/>
        <w:spacing w:after="0" w:line="242" w:lineRule="auto"/>
        <w:rPr>
          <w:sz w:val="20"/>
          <w:szCs w:val="20"/>
          <w:color w:val="auto"/>
        </w:rPr>
      </w:pPr>
      <w:r>
        <w:rPr>
          <w:rFonts w:ascii="Times New Roman" w:cs="Times New Roman" w:eastAsia="Times New Roman" w:hAnsi="Times New Roman"/>
          <w:sz w:val="18"/>
          <w:szCs w:val="18"/>
          <w:color w:val="auto"/>
        </w:rPr>
        <w:t xml:space="preserve">Our second development candidate for PKU, SYNB1934, was evolved from SYNB1618 to potentially provide increased Phe lowering activity for patients living with PKU. In July 2021, we initiated clinical studies of a solid oral formulation of SYNB1934 following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demonstrating an approximately two-fold improvement in the ability of SYNB1934 to break down Phe compared to SYNB1618.</w:t>
      </w:r>
    </w:p>
    <w:p>
      <w:pPr>
        <w:spacing w:after="0" w:line="184"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8"/>
          <w:szCs w:val="18"/>
          <w:color w:val="auto"/>
        </w:rPr>
        <w:t>In September 2021, we announced results from the head-to-head portion of the Phase 1 clinical trial. SYNB1934 showed an approximately two-fold higher activity level than SYNB1618 in a head-to-head comparison based on biomarkers of Phe consumption, confirming greater potency. Additionally, based on this interim analysis, SYNB1934 demonstrated a safety and tolerability profile similar to other Synthetic Biotics, including SYNB1618, at equivalent doses, establishing a safety bridge. With these results, we added the ongoing Arm 2 to the SynPheny-1 Phase 2 clinical trial to assess the activity of SYNB1934 in PKU patients.</w:t>
      </w:r>
    </w:p>
    <w:p>
      <w:pPr>
        <w:spacing w:after="0" w:line="184"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The SynPheny-1 Phase 2 clinical trial is continuing to the final analysis with both a SYNB1618 arm and a SYNB1934 arm. Based on the findings to date for both drug candidates and progress made on manufacturing, we have focused ongoing Phase 3 trial readiness activities with SYNB1934 as the expected candidate. Upon completion of the Phase 2 clinical trial and an end of Phase 2 clinical trial meeting with the FDA, we intend to initiate a pivotal Phase 3 clinical trial.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Homocystinuria</w:t>
      </w:r>
    </w:p>
    <w:p>
      <w:pPr>
        <w:spacing w:after="0" w:line="216" w:lineRule="exact"/>
        <w:rPr>
          <w:sz w:val="20"/>
          <w:szCs w:val="20"/>
          <w:color w:val="auto"/>
        </w:rPr>
      </w:pPr>
    </w:p>
    <w:p>
      <w:pPr>
        <w:jc w:val="both"/>
        <w:ind w:right="20" w:firstLine="509"/>
        <w:spacing w:after="0" w:line="246" w:lineRule="auto"/>
        <w:rPr>
          <w:sz w:val="20"/>
          <w:szCs w:val="20"/>
          <w:color w:val="auto"/>
        </w:rPr>
      </w:pPr>
      <w:r>
        <w:rPr>
          <w:rFonts w:ascii="Times New Roman" w:cs="Times New Roman" w:eastAsia="Times New Roman" w:hAnsi="Times New Roman"/>
          <w:sz w:val="18"/>
          <w:szCs w:val="18"/>
          <w:color w:val="auto"/>
        </w:rPr>
        <w:t>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18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In November 2021 we announced the nomination of SYNB1353, a novel, orally administered, non-systemically absorbed live biotherapeutic drug candidate engineered to consume methionine in the gastrointestinal (GI) tract thereby lowering an amino acid known as tHcy in HCU patients and potentially allowing an increase in natural protein intake. SYNB1353 was developed as part of 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ind w:right="260"/>
        <w:spacing w:after="0" w:line="282" w:lineRule="auto"/>
        <w:rPr>
          <w:sz w:val="20"/>
          <w:szCs w:val="20"/>
          <w:color w:val="auto"/>
        </w:rPr>
      </w:pPr>
      <w:r>
        <w:rPr>
          <w:rFonts w:ascii="Times New Roman" w:cs="Times New Roman" w:eastAsia="Times New Roman" w:hAnsi="Times New Roman"/>
          <w:sz w:val="18"/>
          <w:szCs w:val="18"/>
          <w:color w:val="auto"/>
        </w:rPr>
        <w:t>research collaboration with Ginkgo. We hold worldwide development and commercialization rights to SYNB1353. We plan to initiate a Phase 1 clinical trial of SYNB1353 for the treatment of HCU and expect to report Phase 1 trial data in healthy volunteers in the second half of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Enteric Hyperoxaluria</w:t>
      </w:r>
    </w:p>
    <w:p>
      <w:pPr>
        <w:spacing w:after="0" w:line="21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Enteric hyperoxaluria is an acquired metabolic disorder with no approved treatment options. It is caused by increased absorption of dietary oxalate, which is present in many common foods including leafy greens, nuts, and chocolate.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 In May 2020, we announced the nomination of a clinical candidate for enteric hyperoxaluria, SYNB8802. We initiated a Phase 1 clinical trial of SYNB8802 in the fourth quarter of 2020. SYNB8802 is being assessed for safety and tolerability, strain kinetics, changes in plasma and urine biomarkers of strain activity, and the potential to reduce urinary oxalate in the Phase 1 clinical trial. In 2021, Synlogic reported positive proof-of-mechanism for SYNB8802 from a Phase 1b clinical trial that demonstrated lowering of urinary and fecal oxalate levels in healthy volunteers with diet-induced hyperoxaluria. Data from a proof-of-concept trial assessing the lowering of urinary oxalate in patients who have undergone Roux-en-Y gastric bypass surgery is expected in the second half of 2022.</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Programs in Metabolic &amp; Immunological Diseases</w:t>
      </w:r>
    </w:p>
    <w:p>
      <w:pPr>
        <w:spacing w:after="0" w:line="21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Synthetic Biotic approach is well-suited for addressing known disease targets that have been associated with validated biological pathways in metabolic and immunological diseases. For metabolic diseases, we are applying our learnings from PKU, HCU and enteric hyperoxaluria to new areas, including hyperuricemia and gout, and we expect to disclose additional details on these and other programs as they move through preclinical development.</w:t>
      </w:r>
    </w:p>
    <w:p>
      <w:pPr>
        <w:spacing w:after="0" w:line="196"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 xml:space="preserve">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is designed to allow for the effective programming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execute these functions, including the metabolic production of factors such as short chain fatty acids to enhance barrier function, and secreting proteins, such as immunomodulatory cytokines.</w:t>
      </w:r>
    </w:p>
    <w:p>
      <w:pPr>
        <w:spacing w:after="0" w:line="213"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Current approaches to treat IBD are focused on therapeutics that modulate the immune system and suppress inflammation. These therapies include steroids, such as prednisone, and tumor necrosis factor inhibitors, such as Humira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(adalimumab). However, these approaches are associated with systemic immunosuppression, which includes greater susceptibility to infectious diseases and cancer. According to the Centers for Disease Control (CDC), in 2015 an estimated three million adults in the United States were reported as being diagnosed with IBD. In June of 2021 we entered into a research collaboration and option agreement with Roche (the Roche Collaboration and Option Agreement) for the discovery of a novel Synthetic Biotic for the treatment of IBD. In addition, we continue to advance additional, wholly-owned preclinical research efforts in IBD.</w:t>
      </w:r>
    </w:p>
    <w:p>
      <w:pPr>
        <w:spacing w:after="0" w:line="21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04"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In November 2021, we announced that we are not planning further studies for immuno-oncology, allowing us to focus on advancing a portfolio of investigational Synthetic Biotics that are orally administrated, and developed for diseases which, similar to PKU and enteric hyperoxaluria, have a toxic metabolite found in the GI tract.</w:t>
      </w:r>
    </w:p>
    <w:p>
      <w:pPr>
        <w:spacing w:after="0" w:line="19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hold all rights to develop IBD Synthetic Biotics for all effectors targeting IBD. This allows us to leverage our expertise in strain engineering, quantitative biology, regulatory, and manufacturing to expand our wholly owned GI-based program portfolio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include IBD. We may enter into strategic alliances in the future to maximize the value of our programs and our Synthetic Biotic platform.</w:t>
      </w:r>
    </w:p>
    <w:p>
      <w:pPr>
        <w:spacing w:after="0" w:line="239" w:lineRule="exact"/>
        <w:rPr>
          <w:sz w:val="20"/>
          <w:szCs w:val="20"/>
          <w:color w:val="auto"/>
        </w:rPr>
      </w:pPr>
    </w:p>
    <w:p>
      <w:pPr>
        <w:ind w:right="380" w:firstLine="509"/>
        <w:spacing w:after="0" w:line="247" w:lineRule="auto"/>
        <w:rPr>
          <w:sz w:val="20"/>
          <w:szCs w:val="20"/>
          <w:color w:val="auto"/>
        </w:rPr>
      </w:pPr>
      <w:r>
        <w:rPr>
          <w:rFonts w:ascii="Times New Roman" w:cs="Times New Roman" w:eastAsia="Times New Roman" w:hAnsi="Times New Roman"/>
          <w:sz w:val="18"/>
          <w:szCs w:val="18"/>
          <w:color w:val="auto"/>
        </w:rPr>
        <w:t>We developed a portfolio of Synthetic Biotics to treat certain cancers which were designed to modify the tumor microenvironment, activate the immune system and result in tumor reduction. These Synthetic Biotics could be used in combination with other cancer therapies such as checkpoint inhibitors. Our Synthetic Biotic clinical immuno-oncology (IO) candidate is SYNB1891, an intratumorally administered Synthetic Biotic medicine engineered to act as a dual innate and adaptive immune activator. On November 10, 2021, we announced that our Phase 1 trial of SYNB1891 in combination with PD-L1 checkpoint inhibitor patients with advanced solid tumors or lymphoma had completed enrollment and no further studies are planned for SYNB1891.</w:t>
      </w:r>
    </w:p>
    <w:p>
      <w:pPr>
        <w:spacing w:after="0" w:line="18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7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$15.8 million and $31.5 million for the three and six months ended June 30, 2022, respectively and $14.5 million and $29.5 million for the three and six months ended June 30, 2021, respectively. As of June 30, 2022, we had an accumulated deficit of approximately $322.4 million, and we expect to incur losses for the foreseeable future as we develop our product candidates. We expect our expenses and capital requirements will increase substantially in connection with our ongoing activities, as we:</w:t>
      </w:r>
    </w:p>
    <w:p>
      <w:pPr>
        <w:spacing w:after="0" w:line="6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 or manufacture product candidates internally;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commercial, and management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12"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on our business</w:t>
      </w:r>
    </w:p>
    <w:p>
      <w:pPr>
        <w:spacing w:after="0" w:line="229" w:lineRule="exact"/>
        <w:rPr>
          <w:sz w:val="20"/>
          <w:szCs w:val="20"/>
          <w:color w:val="auto"/>
        </w:rPr>
      </w:pPr>
    </w:p>
    <w:p>
      <w:pPr>
        <w:jc w:val="both"/>
        <w:ind w:right="180" w:firstLine="509"/>
        <w:spacing w:after="0" w:line="244" w:lineRule="auto"/>
        <w:rPr>
          <w:sz w:val="20"/>
          <w:szCs w:val="20"/>
          <w:color w:val="auto"/>
        </w:rPr>
      </w:pPr>
      <w:r>
        <w:rPr>
          <w:rFonts w:ascii="Times New Roman" w:cs="Times New Roman" w:eastAsia="Times New Roman" w:hAnsi="Times New Roman"/>
          <w:sz w:val="18"/>
          <w:szCs w:val="18"/>
          <w:color w:val="auto"/>
        </w:rPr>
        <w:t>The COVID-19 pandemic continues to affect economies and business around the world. The extent and duration of such effects remain uncertain and difficult to predict, particularly as virus variants continue to spread. We are actively monitoring and managing our response and assessing actual and potential impacts to our operating results and financial condition, as well as developments in our business, which could further impact the developments, trends and expectations described below. See the risk factor titled, “A pandemic, epidemic, or outbreak of an infectious disease, such as COVID-19 may materially and adversely affect our business and our financial results.” described in “Risk Factors” in Part II, Item 1A, found elsewhere in this Quarterly Report on Form 10-Q.</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 xml:space="preserve">Revenue for the three and six months ended June 30, 2022 was generated from the Roche Collaboration and Option Agreement. In June 2021, we announced that we entered into the Roche Collaboration and Option Agreement for the discovery of novel Synthetic Biotics for the treatment of IBD. The collaboration agreement contains multiple deliverables, which include an exclusive option for Roche to negotiate a definitive collaboration and license agreement for further development of the Product Candidate and acquire research and development milestones. See Note 9,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Roche Collaboration </w:t>
      </w:r>
      <w:r>
        <w:rPr>
          <w:rFonts w:ascii="Times New Roman" w:cs="Times New Roman" w:eastAsia="Times New Roman" w:hAnsi="Times New Roman"/>
          <w:sz w:val="18"/>
          <w:szCs w:val="18"/>
          <w:color w:val="auto"/>
        </w:rPr>
        <w:t>in the notes to the unaudited consolidated financial statements appearing elsewhere in this Quarterly Report on Form 10-Q for a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arrangement.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08"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16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Quarterly Report on Form 10-Q.</w:t>
      </w:r>
    </w:p>
    <w:p>
      <w:pPr>
        <w:spacing w:after="0" w:line="14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8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9" w:name="page20"/>
    <w:bookmarkEnd w:id="19"/>
    <w:p>
      <w:pPr>
        <w:ind w:right="720"/>
        <w:spacing w:after="0" w:line="282" w:lineRule="auto"/>
        <w:rPr>
          <w:sz w:val="20"/>
          <w:szCs w:val="20"/>
          <w:color w:val="auto"/>
        </w:rPr>
      </w:pPr>
      <w:r>
        <w:rPr>
          <w:rFonts w:ascii="Times New Roman" w:cs="Times New Roman" w:eastAsia="Times New Roman" w:hAnsi="Times New Roman"/>
          <w:sz w:val="18"/>
          <w:szCs w:val="18"/>
          <w:color w:val="auto"/>
        </w:rPr>
        <w:t>product candidate programs under research and development and, as such, are separately classified. The table below summarizes our research and development expenses by categories of costs for the periods presented (in thousands):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SYNB1618</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SYNB1934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SYNB8802</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SYNB1353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SYNB1891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shd w:val="clear" w:color="auto" w:fill="CCEEFF"/>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External pre-development candidate expenses</w:t>
            </w: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and unallocated expenses</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research and development expenses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1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2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1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8" w:lineRule="exact"/>
        <w:rPr>
          <w:sz w:val="20"/>
          <w:szCs w:val="20"/>
          <w:color w:val="auto"/>
        </w:rPr>
      </w:pPr>
    </w:p>
    <w:p>
      <w:pPr>
        <w:ind w:right="180" w:firstLine="509"/>
        <w:spacing w:after="0" w:line="237"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are described in our 2021 Annual Report. During the six months ended June 30, 2022, there were no material changes to our critical accounting policies. We believe that these identified policies are critical to fully understanding and evaluating our financial condition and results of operations.</w:t>
      </w:r>
    </w:p>
    <w:p>
      <w:pPr>
        <w:spacing w:after="0" w:line="19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w w:val="71"/>
              </w:rPr>
              <w:t>$</w:t>
            </w:r>
          </w:p>
        </w:tc>
      </w:tr>
      <w:tr>
        <w:trPr>
          <w:trHeight w:val="169"/>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16,169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1,389</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(16,017 )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(1,483 )</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(14,485 )</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(1,357 )</w:t>
            </w: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-1010920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0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June 30, 2022 and for the corresponding period in 2021 was $0.2 million. The revenue recognized was related to services performed under the Roche collaboration that we entered into in June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$12.1 million for the three months ended June 30, 2022 compared to $10.7 million in the corresponding period in 2021. The increase in research and development expense was primarily due to an increase of $0.7 million of nonclinical development costs, $0.4 million in professional services, $0.3 million in research and development support costs, and additional increases of $0.3 million of clinical development costs for SYNB1353 and $0.2 million of clinical development costs for SYNB8802, and increased manufacturing costs of $0.1 million. These increases were offset by decreases of $0.4 million of clinical development costs for SYNB1891 and $0.2 million of clinical development costs for SYNB1618.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 for the three months ended June 30, 2022 and for the corresponding period in 2021 was $4.1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0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Other income was $0.2 million for the three months ended June 30, 2022, compared to $0.1 million for the corresponding period in 2021. The increase in other income of $0.1 million was related to an increase in interest income generated by our investment account.</w:t>
      </w: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6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r>
      <w:tr>
        <w:trPr>
          <w:trHeight w:val="20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(31,782 )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(29,565 )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(2,217 )</w:t>
            </w: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10"/>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(31,539 )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(29,456 )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(2,083 )</w:t>
            </w: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-1010920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-1010920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Revenue was $0.4 million for the six months ended June 30, 2022, compared to $0.2 million for the six months ended June 30, 2021. Revenue for both periods was related to services performed under the Roche collaboration that we entered into in June 2021.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310" w:lineRule="exact"/>
        <w:rPr>
          <w:sz w:val="20"/>
          <w:szCs w:val="20"/>
          <w:color w:val="auto"/>
        </w:rPr>
      </w:pPr>
    </w:p>
    <w:p>
      <w:pPr>
        <w:ind w:right="280"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expense was $23.8 million for the six months ended June 30, 2022, compared to $21.9 million in the corresponding period in 2021. The increase in research and development expense was due to increases of $0.7 million in professional services, $0.7 million in research and development support costs, $0.6 million of compensation, benefits and other employee-related expenses, $0.4 million of manufacturing costs, $0.4 million of nonclinical development costs, $0.3 million of clinical development costs for SYNB1353 and $0.1 million of clinical development costs for SYNB1618. These increases were partially offset by decreases of $0.9 million of clinical development costs for SYNB1891 and $0.4 million of clinical development costs for SYNB8802.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was $8.4 million for the six months ended June 30, 2022 compared to $7.9 million for the corresponding period in 2021. The increase was primarily due to increases in compensation, benefits and other employee-related expenses, and headcount-related expenses.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was $0.2 million for the six months ended June 30, 2022, compared to $0.1 million for the corresponding period in 2021. The increase in other income of $0.1 million was related to an increase in interest income generated by our investment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June 30, 2022 we had an accumulated deficit of approximately $322.4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June 30, 2022, we had approximately $106.8 million in cash, cash equivalents, and short-term marketable securities. Our cash and cash equivalents include amounts held in money market funds, stated at cost plus unrealized gain and loss, which approximates fair market value. Our available-for-sale securities include amounts held in corporate debt securities, commercial paper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our cash, cash equivalents and short-term marketable securities balance decreased approximately $29.8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These decreases were offset by the proceeds from maturity of marketable securities.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4"/>
                <w:szCs w:val="14"/>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(29,046 )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(25,321 )</w:t>
            </w:r>
          </w:p>
        </w:tc>
      </w:tr>
      <w:tr>
        <w:trPr>
          <w:trHeight w:val="216"/>
        </w:trPr>
        <w:tc>
          <w:tcPr>
            <w:tcW w:w="6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43,371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(18,591 )</w:t>
            </w: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40,649</w:t>
            </w:r>
          </w:p>
        </w:tc>
      </w:tr>
      <w:tr>
        <w:trPr>
          <w:trHeight w:val="249"/>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14,463</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857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$29.0 million for the six months ended June 30, 2022. The primary use of cash was our net loss of $31.5 million, changes in our assets and liabilities of $2.1 million, partially offset by $4.6 million of non-cash items primarily including depreciation, equity-based compensation, and the right of use asset. The changes in our assets and liabilities include decreases in prepaid research and development expenses, as a result of the work being completed on the Ginkgo collaboration, increases in the operating lease liability, decreases in prepaid expenses and other current assets, decreases in accounts payable and accrued expenses, and decreased deferred revenue.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23" w:name="page24"/>
    <w:bookmarkEnd w:id="23"/>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$25.3 million for the six months ended June 30, 2021. The primary use of cash was our net loss of $29.5 million, which was partially offset by $4.1 million of non-cash items primarily including depreciation, equity-based compensation, and the right of use asset. There was a decrease in working capital, primarily related to decreases in prepaid research and development expenses, as a result of the work being completed on the Ginkgo collaboration, decreases in prepaid expenses and other current assets, and decreases in accrued expenses, offset by increases in accounts payable, operating lease liability, and deferred revenue.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08"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2022 was $43.4 million and resulted primarily from the proceeds from maturity of marketable securities of $85.1 million. This was offset by the purchases of marketable securities of $41.1 million and property and equipment of $0.6 million.</w:t>
      </w:r>
    </w:p>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2021 was approximately $18.6 million and resulted primarily from the</w:t>
      </w:r>
    </w:p>
    <w:p>
      <w:pPr>
        <w:spacing w:after="0" w:line="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proceeds from maturity of marketable securities of $54.3 million and proceeds from redemption of marketable securities of $1.3 million. This was offset by the purchases of marketable securities of $74.0 million and property and equipment of $0.1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0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2022 totaled $0.1 million, primarily related to proceeds of $0.1 million from exercise of stock options and ESPP contributions.</w:t>
      </w:r>
    </w:p>
    <w:p>
      <w:pPr>
        <w:spacing w:after="0" w:line="4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2021 was approximately $40.6 million, primarily related to net proceeds of $32.6 million from the sale of our shares of common stock in an underwritten public offering in April 2021, $8.0 million from the sale of our shares of common stock in the ATM offering program and proceeds of $0.1 million from exercise of stock options and ESPP contributions, offset by payments of withholding taxes for employees relating to restricted stock awards.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9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currently generating revenue from our Roche collaboration but have not generated any product revenue since our inception and do not expect to generate any product revenue unless we receive regulatory approval for our product candidates. We believe that our cash, cash equivalents, and short-term marketable securities as of June 30, 2022,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200" w:lineRule="exact"/>
        <w:rPr>
          <w:sz w:val="20"/>
          <w:szCs w:val="20"/>
          <w:color w:val="auto"/>
        </w:rPr>
      </w:pPr>
    </w:p>
    <w:p>
      <w:pPr>
        <w:ind w:right="420" w:firstLine="509"/>
        <w:spacing w:after="0" w:line="250"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8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0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IA. “Risk Factors”.</w:t>
      </w:r>
    </w:p>
    <w:p>
      <w:pPr>
        <w:spacing w:after="0" w:line="21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0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For a description of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in our proxy statement filed with the SEC on April 27,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08"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June 30, 2022 that have materially affected, or are reasonably likely to materially affect, our internal controls over financial reporting.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106"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69" w:lineRule="exact"/>
        <w:rPr>
          <w:sz w:val="20"/>
          <w:szCs w:val="20"/>
          <w:color w:val="auto"/>
        </w:rPr>
      </w:pPr>
    </w:p>
    <w:p>
      <w:pPr>
        <w:ind w:left="1020" w:right="38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03"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stockholders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54"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2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40"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40"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ind w:left="503" w:right="80" w:hanging="503"/>
        <w:spacing w:after="0" w:line="282" w:lineRule="auto"/>
        <w:tabs>
          <w:tab w:leader="none" w:pos="503"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A pandemic, epidemic, or outbreak of an infectious disease, such as COVID-19, </w:t>
      </w:r>
      <w:r>
        <w:rPr>
          <w:rFonts w:ascii="Times New Roman" w:cs="Times New Roman" w:eastAsia="Times New Roman" w:hAnsi="Times New Roman"/>
          <w:sz w:val="18"/>
          <w:szCs w:val="18"/>
          <w:color w:val="000000"/>
        </w:rPr>
        <w:t>or geopolitical tensions, such as the armed conflict between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Russia and Ukraine, </w:t>
      </w:r>
      <w:r>
        <w:rPr>
          <w:rFonts w:ascii="Times New Roman" w:cs="Times New Roman" w:eastAsia="Times New Roman" w:hAnsi="Times New Roman"/>
          <w:sz w:val="18"/>
          <w:szCs w:val="18"/>
          <w:color w:val="212529"/>
        </w:rPr>
        <w:t>may materially and adversely affect our business and our financial results.</w:t>
      </w:r>
    </w:p>
    <w:p>
      <w:pPr>
        <w:spacing w:after="0" w:line="40" w:lineRule="exact"/>
        <w:rPr>
          <w:rFonts w:ascii="Times New Roman" w:cs="Times New Roman" w:eastAsia="Times New Roman" w:hAnsi="Times New Roman"/>
          <w:sz w:val="18"/>
          <w:szCs w:val="18"/>
          <w:color w:val="212529"/>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90" w:lineRule="exact"/>
        <w:rPr>
          <w:rFonts w:ascii="Times New Roman" w:cs="Times New Roman" w:eastAsia="Times New Roman" w:hAnsi="Times New Roman"/>
          <w:sz w:val="18"/>
          <w:szCs w:val="18"/>
          <w:color w:val="auto"/>
        </w:rPr>
      </w:pPr>
    </w:p>
    <w:p>
      <w:pPr>
        <w:ind w:left="503" w:right="440" w:hanging="503"/>
        <w:spacing w:after="0" w:line="279" w:lineRule="auto"/>
        <w:tabs>
          <w:tab w:leader="none" w:pos="5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45" w:lineRule="exact"/>
        <w:rPr>
          <w:rFonts w:ascii="Times New Roman" w:cs="Times New Roman" w:eastAsia="Times New Roman" w:hAnsi="Times New Roman"/>
          <w:sz w:val="17"/>
          <w:szCs w:val="17"/>
          <w:color w:val="auto"/>
        </w:rPr>
      </w:pPr>
    </w:p>
    <w:p>
      <w:pPr>
        <w:ind w:left="503" w:right="120" w:hanging="503"/>
        <w:spacing w:after="0" w:line="250"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69"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503" w:right="18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40" w:lineRule="exact"/>
        <w:rPr>
          <w:rFonts w:ascii="Times New Roman" w:cs="Times New Roman" w:eastAsia="Times New Roman" w:hAnsi="Times New Roman"/>
          <w:sz w:val="18"/>
          <w:szCs w:val="18"/>
          <w:color w:val="auto"/>
        </w:rPr>
      </w:pPr>
    </w:p>
    <w:p>
      <w:pPr>
        <w:ind w:left="503" w:right="64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0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0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0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1"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late-stage clinical activities and may do the same for any commercial supplies of our product candidates.</w:t>
      </w:r>
    </w:p>
    <w:p>
      <w:pPr>
        <w:spacing w:after="0" w:line="67"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54" w:lineRule="exact"/>
        <w:rPr>
          <w:rFonts w:ascii="Times New Roman" w:cs="Times New Roman" w:eastAsia="Times New Roman" w:hAnsi="Times New Roman"/>
          <w:sz w:val="18"/>
          <w:szCs w:val="18"/>
          <w:color w:val="auto"/>
        </w:rPr>
      </w:pPr>
    </w:p>
    <w:p>
      <w:pPr>
        <w:ind w:left="503" w:right="100" w:hanging="503"/>
        <w:spacing w:after="0" w:line="280" w:lineRule="auto"/>
        <w:tabs>
          <w:tab w:leader="none" w:pos="5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4"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and our competitors may discover, develop or commercialize products faster or more successfully than us.</w:t>
      </w:r>
    </w:p>
    <w:p>
      <w:pPr>
        <w:spacing w:after="0" w:line="117" w:lineRule="exact"/>
        <w:rPr>
          <w:rFonts w:ascii="Times New Roman" w:cs="Times New Roman" w:eastAsia="Times New Roman" w:hAnsi="Times New Roman"/>
          <w:sz w:val="18"/>
          <w:szCs w:val="18"/>
          <w:color w:val="auto"/>
        </w:rPr>
      </w:pPr>
    </w:p>
    <w:p>
      <w:pPr>
        <w:ind w:left="503" w:right="30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4"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2" w:right="359" w:bottom="1440" w:gutter="0" w:footer="0" w:header="0"/>
        </w:sectPr>
      </w:pPr>
    </w:p>
    <w:bookmarkStart w:id="28" w:name="page29"/>
    <w:bookmarkEnd w:id="28"/>
    <w:p>
      <w:pPr>
        <w:ind w:left="1020" w:right="2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securities convertible or exchangeable for our common stock may depress our stock price.</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40"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7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Biotics and we have incurred significant operating losses since our inception. Our net loss was approximately $15.8 million and $31.5 million for the three and six months ended June 30, 2022, respectively and $14.5 million and $29.5 million for the three and six months ended June 30, 2021, respectively. As of June 30, 2022, we had an accumulated deficit of approximately $322.4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82"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08" w:lineRule="exact"/>
        <w:rPr>
          <w:sz w:val="20"/>
          <w:szCs w:val="20"/>
          <w:color w:val="auto"/>
        </w:rPr>
      </w:pPr>
    </w:p>
    <w:p>
      <w:pPr>
        <w:ind w:right="100" w:firstLine="509"/>
        <w:spacing w:after="0" w:line="233"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6"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1"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 such as Roche;</w:t>
      </w:r>
    </w:p>
    <w:p>
      <w:pPr>
        <w:spacing w:after="0" w:line="10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1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or negative announcements by other companies involving similar technologies or diseases. These factors also include those discussed in this “Risk Factors” section of this Quarterly Report on Form 10-Q and others such as:</w:t>
      </w:r>
    </w:p>
    <w:p>
      <w:pPr>
        <w:spacing w:after="0" w:line="69" w:lineRule="exact"/>
        <w:rPr>
          <w:sz w:val="20"/>
          <w:szCs w:val="20"/>
          <w:color w:val="auto"/>
        </w:rPr>
      </w:pPr>
    </w:p>
    <w:p>
      <w:pPr>
        <w:ind w:left="1020" w:right="5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30" w:name="page31"/>
    <w:bookmarkEnd w:id="30"/>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12"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November of 2020, we announced that we had initiated the Phase 2 clinical trial of SYNB1618, referred to as the SynPheny-1 clinical trial, and the Phase 1 clinical trial of SYNB8802. In the third quarter of 2021, we added an arm evaluating SYNB1934 to the ongoing SynPheny-1 clinical trial and in February 2022 we dosed our first subject. In the second half of 2022, we plan to initiate a Phase 1 clinical trial of SYNB1353, which is being developed for the treatment of patients with HCU. All of our other therapeutic programs are still in the preclinical or clinical development stage.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55" w:lineRule="exact"/>
        <w:rPr>
          <w:sz w:val="20"/>
          <w:szCs w:val="20"/>
          <w:color w:val="auto"/>
        </w:rPr>
      </w:pPr>
    </w:p>
    <w:p>
      <w:pPr>
        <w:ind w:left="1020" w:right="140" w:hanging="503"/>
        <w:spacing w:after="0" w:line="26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20" w:right="7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0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1" w:name="page32"/>
    <w:bookmarkEnd w:id="31"/>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0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40"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8" w:lineRule="exact"/>
        <w:rPr>
          <w:rFonts w:ascii="Times New Roman" w:cs="Times New Roman" w:eastAsia="Times New Roman" w:hAnsi="Times New Roman"/>
          <w:sz w:val="18"/>
          <w:szCs w:val="18"/>
          <w:color w:val="auto"/>
        </w:rPr>
      </w:pPr>
    </w:p>
    <w:p>
      <w:pPr>
        <w:ind w:left="1020" w:right="160" w:hanging="503"/>
        <w:spacing w:after="0" w:line="23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2"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7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0"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0" w:lineRule="exact"/>
        <w:rPr>
          <w:sz w:val="20"/>
          <w:szCs w:val="20"/>
          <w:color w:val="auto"/>
        </w:rPr>
      </w:pPr>
    </w:p>
    <w:p>
      <w:pPr>
        <w:ind w:right="200" w:firstLine="509"/>
        <w:spacing w:after="0" w:line="229"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including demonstrating proof of concept of our lead program in PKU, proof of mechanism for enteric hyperoxaluria, and the initiation of IND-enabling for a potential treatment for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4" w:lineRule="exact"/>
        <w:rPr>
          <w:sz w:val="20"/>
          <w:szCs w:val="20"/>
          <w:color w:val="auto"/>
        </w:rPr>
      </w:pPr>
    </w:p>
    <w:p>
      <w:pPr>
        <w:ind w:right="80" w:firstLine="509"/>
        <w:spacing w:after="0" w:line="227" w:lineRule="auto"/>
        <w:rPr>
          <w:sz w:val="20"/>
          <w:szCs w:val="20"/>
          <w:color w:val="auto"/>
        </w:rPr>
      </w:pPr>
      <w:r>
        <w:rPr>
          <w:rFonts w:ascii="Times New Roman" w:cs="Times New Roman" w:eastAsia="Times New Roman" w:hAnsi="Times New Roman"/>
          <w:sz w:val="18"/>
          <w:szCs w:val="18"/>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2" w:name="page33"/>
    <w:bookmarkEnd w:id="32"/>
    <w:p>
      <w:pPr>
        <w:ind w:right="300"/>
        <w:spacing w:after="0" w:line="250" w:lineRule="auto"/>
        <w:rPr>
          <w:sz w:val="20"/>
          <w:szCs w:val="20"/>
          <w:color w:val="auto"/>
        </w:rPr>
      </w:pPr>
      <w:r>
        <w:rPr>
          <w:rFonts w:ascii="Times New Roman" w:cs="Times New Roman" w:eastAsia="Times New Roman" w:hAnsi="Times New Roman"/>
          <w:sz w:val="18"/>
          <w:szCs w:val="18"/>
          <w:color w:val="auto"/>
        </w:rPr>
        <w:t>to bring a potential product candidate to market could decrease our ability to generate sufficient product revenue, and our business, financial condition, results of operations and prospects may be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9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7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0" w:lineRule="exact"/>
        <w:rPr>
          <w:sz w:val="20"/>
          <w:szCs w:val="20"/>
          <w:color w:val="auto"/>
        </w:rPr>
      </w:pPr>
    </w:p>
    <w:p>
      <w:pPr>
        <w:jc w:val="both"/>
        <w:ind w:right="100" w:firstLine="509"/>
        <w:spacing w:after="0" w:line="24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9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conduct additional clinical trials or costly post-marketing testing and surveillance to monitor the safety of the product;</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80"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28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has completed all required clinical trials, and we</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33" w:name="page34"/>
    <w:bookmarkEnd w:id="33"/>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cannot give any assurance that we will generate data for any of our product candidates sufficient to receive regulatory approval in our planned indications, which will be required before they can be commercialized.</w:t>
      </w:r>
    </w:p>
    <w:p>
      <w:pPr>
        <w:spacing w:after="0" w:line="3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69" w:lineRule="exact"/>
        <w:rPr>
          <w:sz w:val="20"/>
          <w:szCs w:val="20"/>
          <w:color w:val="auto"/>
        </w:rPr>
      </w:pPr>
    </w:p>
    <w:p>
      <w:pPr>
        <w:ind w:right="300" w:firstLine="509"/>
        <w:spacing w:after="0" w:line="246" w:lineRule="auto"/>
        <w:rPr>
          <w:sz w:val="20"/>
          <w:szCs w:val="20"/>
          <w:color w:val="auto"/>
        </w:rPr>
      </w:pPr>
      <w:r>
        <w:rPr>
          <w:rFonts w:ascii="Times New Roman" w:cs="Times New Roman" w:eastAsia="Times New Roman" w:hAnsi="Times New Roman"/>
          <w:sz w:val="18"/>
          <w:szCs w:val="18"/>
          <w:color w:val="auto"/>
        </w:rPr>
        <w:t>On August 20, 2019, we announced that we were discontinuing our first therapeutic program to enter clinical trials, SYNB1020, an early-stage clinical product candidate for the treatment of hyperammonemia. The decision to discontinue the program was based on top-line data from an interim analysis of a randomized, double-blind, placebo-controlled Phase 1b/2a clinical trial of the Synthetic Biotic medicine in 23 patients with cirrhosis and elevated blood ammonia. While SYNB1020 was well-tolerated in Phase 1b/2a clinical trial, the trial showed it did not lower blood ammonia in patients with cirrhosis. As a result, we have become more dependent on the success of our SYNB1618, SYNB1934, SYNB8802 and SYNB1353 programs.</w:t>
      </w:r>
    </w:p>
    <w:p>
      <w:pPr>
        <w:spacing w:after="0" w:line="168" w:lineRule="exact"/>
        <w:rPr>
          <w:sz w:val="20"/>
          <w:szCs w:val="20"/>
          <w:color w:val="auto"/>
        </w:rPr>
      </w:pPr>
    </w:p>
    <w:p>
      <w:pPr>
        <w:ind w:right="60" w:firstLine="509"/>
        <w:spacing w:after="0" w:line="238" w:lineRule="auto"/>
        <w:rPr>
          <w:sz w:val="20"/>
          <w:szCs w:val="20"/>
          <w:color w:val="auto"/>
        </w:rPr>
      </w:pPr>
      <w:r>
        <w:rPr>
          <w:rFonts w:ascii="Times New Roman" w:cs="Times New Roman" w:eastAsia="Times New Roman" w:hAnsi="Times New Roman"/>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4"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In May 2022, the EMA granted orphan designation to SYNB1618 for the treatment of PKU.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72"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Even though we have obtained orphan drug designation for one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4" w:lineRule="exact"/>
        <w:rPr>
          <w:sz w:val="20"/>
          <w:szCs w:val="20"/>
          <w:color w:val="auto"/>
        </w:rPr>
      </w:pPr>
    </w:p>
    <w:p>
      <w:pPr>
        <w:ind w:right="440" w:firstLine="509"/>
        <w:spacing w:after="0"/>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4" w:name="page35"/>
    <w:bookmarkEnd w:id="34"/>
    <w:p>
      <w:pPr>
        <w:ind w:right="40"/>
        <w:spacing w:after="0" w:line="235" w:lineRule="auto"/>
        <w:rPr>
          <w:sz w:val="20"/>
          <w:szCs w:val="20"/>
          <w:color w:val="auto"/>
        </w:rPr>
      </w:pPr>
      <w:r>
        <w:rPr>
          <w:rFonts w:ascii="Times New Roman" w:cs="Times New Roman" w:eastAsia="Times New Roman" w:hAnsi="Times New Roman"/>
          <w:sz w:val="18"/>
          <w:szCs w:val="18"/>
          <w:color w:val="auto"/>
        </w:rPr>
        <w:t>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305"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CRO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206"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9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ind w:right="100"/>
        <w:spacing w:after="0" w:line="225" w:lineRule="auto"/>
        <w:rPr>
          <w:sz w:val="20"/>
          <w:szCs w:val="20"/>
          <w:color w:val="auto"/>
        </w:rPr>
      </w:pPr>
      <w:r>
        <w:rPr>
          <w:rFonts w:ascii="Times New Roman" w:cs="Times New Roman" w:eastAsia="Times New Roman" w:hAnsi="Times New Roman"/>
          <w:sz w:val="18"/>
          <w:szCs w:val="18"/>
          <w:color w:val="auto"/>
        </w:rPr>
        <w:t>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7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198" w:lineRule="exact"/>
        <w:rPr>
          <w:sz w:val="20"/>
          <w:szCs w:val="20"/>
          <w:color w:val="auto"/>
        </w:rPr>
      </w:pPr>
    </w:p>
    <w:p>
      <w:pPr>
        <w:ind w:right="580" w:firstLine="509"/>
        <w:spacing w:after="0" w:line="250"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0"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212529"/>
        </w:rPr>
        <w:t xml:space="preserve">A pandemic, epidemic, or outbreak of an infectious disease, such as COVID-19, </w:t>
      </w:r>
      <w:r>
        <w:rPr>
          <w:rFonts w:ascii="Times New Roman" w:cs="Times New Roman" w:eastAsia="Times New Roman" w:hAnsi="Times New Roman"/>
          <w:sz w:val="18"/>
          <w:szCs w:val="18"/>
          <w:b w:val="1"/>
          <w:bCs w:val="1"/>
          <w:i w:val="1"/>
          <w:iCs w:val="1"/>
          <w:color w:val="000000"/>
        </w:rPr>
        <w:t>or geopolitical tensions, such as the armed conflict between Russia and</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b w:val="1"/>
          <w:bCs w:val="1"/>
          <w:i w:val="1"/>
          <w:iCs w:val="1"/>
          <w:color w:val="000000"/>
        </w:rPr>
        <w:t xml:space="preserve">Ukraine, </w:t>
      </w:r>
      <w:r>
        <w:rPr>
          <w:rFonts w:ascii="Times New Roman" w:cs="Times New Roman" w:eastAsia="Times New Roman" w:hAnsi="Times New Roman"/>
          <w:sz w:val="18"/>
          <w:szCs w:val="18"/>
          <w:b w:val="1"/>
          <w:bCs w:val="1"/>
          <w:i w:val="1"/>
          <w:iCs w:val="1"/>
          <w:color w:val="212529"/>
        </w:rPr>
        <w:t>may materially and adversely affect our business and our financial results.</w:t>
      </w:r>
    </w:p>
    <w:p>
      <w:pPr>
        <w:spacing w:after="0" w:line="64"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12529"/>
        </w:rPr>
        <w:t>The coronavirus outbreak and the armed conflict between Russia and Ukraine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the FDA or other health authorities, which could result in delays of reviews and approvals, including with respect to our product candidates. For example, in 2021, we experienced delays with the FDA that we believe were related to COVID-19. In addition, clinical site initiation and patient enrollment may be delayed due to prioritization of healthcare system resources toward the COVID-19 pandemic. For example, in 2021, the ability of site IRBs to meet and review protocol amendments were delayed due to COVID-19. Sites were also unable at times to schedule in-person screening visits with potential patients during certain times in 2021. Our CROs and clinical trial sites also experienced labor shortages in 2022 and 2021. Some patients may not be able to comply with clinical trial protocols if quarantines or their concerns about COVID-19 impede patient movement or interrupt healthcare services. Similarly, the ability to recruit and retain patients and principal investigators and site staff who, as healthcare providers, may have heightened exposure to COVID-19 has adversely impacted our clinical trial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6" w:name="page37"/>
    <w:bookmarkEnd w:id="36"/>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69"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continue to monitor the potential impact of the coronavirus outbreak, and any associated restrictions on travel and work that have been implemented, on our business and pre-clinical and clinical trials. The extent to which the coronavirus impacts us will depend on future developments, which are uncertain and cannot be predicted, including new information which may emerge concerning the severity of the coronavirus and the actions to contain the coronavirus or treat its impact, among others. We will continue to carefully monitor the situation with respect to each of our clinical trials and follow guidance from local and federal health authorities.</w:t>
      </w:r>
    </w:p>
    <w:p>
      <w:pPr>
        <w:spacing w:after="0" w:line="17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 For example, there were delays in laboratory analyses of patient samples due to pandemic related staffing issues at our contract research organizations. In addition, we have taken precautionary measures, for example, mandating vaccines, and may take additional measures, intended to help minimize the risk of the virus to our employees. We will continue to adjust these measures as necessary and as we are able in the future to balance the needs of the business with the safety of our employees.</w:t>
      </w:r>
    </w:p>
    <w:p>
      <w:pPr>
        <w:spacing w:after="0" w:line="168"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Similarly, the current conflict between Ukraine and Russia has created extreme volatility in the global capital markets and is expected to have further global economic consequences, including disruptions of the global supply chain and energy markets. A recession or market correction resulting from the spread of COVID-19 or the geopolitical tensions in Russia and Ukraine, could materially affect our business and the price of our common stock.</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04"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1"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0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90" w:lineRule="exact"/>
        <w:rPr>
          <w:rFonts w:ascii="Times New Roman" w:cs="Times New Roman" w:eastAsia="Times New Roman" w:hAnsi="Times New Roman"/>
          <w:sz w:val="18"/>
          <w:szCs w:val="18"/>
          <w:color w:val="auto"/>
        </w:rPr>
      </w:pPr>
    </w:p>
    <w:p>
      <w:pPr>
        <w:ind w:left="1020" w:right="7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4" w:lineRule="exact"/>
        <w:rPr>
          <w:rFonts w:ascii="Times New Roman" w:cs="Times New Roman" w:eastAsia="Times New Roman" w:hAnsi="Times New Roman"/>
          <w:sz w:val="18"/>
          <w:szCs w:val="18"/>
          <w:color w:val="auto"/>
        </w:rPr>
      </w:pPr>
    </w:p>
    <w:p>
      <w:pPr>
        <w:ind w:left="1020" w:right="3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7" w:name="page38"/>
    <w:bookmarkEnd w:id="37"/>
    <w:p>
      <w:pPr>
        <w:ind w:left="1020" w:right="3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4"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68"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49"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86"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3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0" w:lineRule="exact"/>
        <w:rPr>
          <w:sz w:val="20"/>
          <w:szCs w:val="20"/>
          <w:color w:val="auto"/>
        </w:rPr>
      </w:pPr>
    </w:p>
    <w:p>
      <w:pPr>
        <w:jc w:val="both"/>
        <w:ind w:right="40" w:firstLine="509"/>
        <w:spacing w:after="0" w:line="244"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9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8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FDA Fast Track designation. We were awarded Fast Track designation for SYNB1618 in April 2018.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7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7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12"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73"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63"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9" w:name="page40"/>
    <w:bookmarkEnd w:id="39"/>
    <w:p>
      <w:pPr>
        <w:ind w:firstLine="509"/>
        <w:spacing w:after="0" w:line="247"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8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94"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20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6"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from other healthcare reform measures, especially with regard to healthcare access, financing or other legislation in individual states, could have a material adverse effect on the health care industry in the US.</w:t>
      </w:r>
    </w:p>
    <w:p>
      <w:pPr>
        <w:spacing w:after="0" w:line="14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2030, with the exception of a temporary suspension from May 1, 2020 through June 30, 2022 (a 1% sequester will apply from April 1, 2022 through June 30, 2022) due to the COVID-19 pandemic,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HHS beginning on January 1, 2022, subject to enforcement via civil money penalties.</w:t>
      </w:r>
    </w:p>
    <w:p>
      <w:pPr>
        <w:spacing w:after="0" w:line="18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For example, in December 2016, the 21st Century Cures Act, or Cures Act, was signed into law. The Cures Act, among other things, was intended to modernize the regulation of drugs and devices and to spur innovation, but its ultimate implementation is uncertain.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and biological product provisions. The next legislative reauthorization must be completed in 2022, which has the potential to make further changes to FDA authorities or policies pertaining to biopharmaceutical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8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and the recent transition to a new Democrat-led presidential administration created further uncertainty in the health care and biopharmaceutical industries. For example, in July 2021, President Biden issued a sweeping executive order on promoting competition in the American economy that includes several mandates pertaining to the pharmaceutical and health care insurance industries. Among other things, the executive order directs the FDA to work towards implementing a system for importing drugs from Canada (following on a Trump administration notice-and-comment rulemaking on Canadian drug importation that was finalized in October 2020). The Biden order also called on HHS to release a comprehensive plan to combat high prescription drug prices, and it includes several directives regarding the Federal Trade Commission’s oversight of potentially anticompetitive practices within the pharmaceutical industry.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 Accordingly, there remains a large amount of uncertainty regarding the federal government’s approach to making pharmaceutical treatment costs more affordable for patients.</w:t>
      </w:r>
    </w:p>
    <w:p>
      <w:pPr>
        <w:spacing w:after="0" w:line="184"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spacing w:after="0" w:line="247" w:lineRule="auto"/>
        <w:rPr>
          <w:sz w:val="20"/>
          <w:szCs w:val="20"/>
          <w:color w:val="auto"/>
        </w:rPr>
      </w:pPr>
      <w:r>
        <w:rPr>
          <w:rFonts w:ascii="Times New Roman" w:cs="Times New Roman" w:eastAsia="Times New Roman" w:hAnsi="Times New Roman"/>
          <w:sz w:val="18"/>
          <w:szCs w:val="18"/>
          <w:color w:val="auto"/>
        </w:rPr>
        <w:t>law does not preempt the states’ ability to regulate pharmaceutical benefit managers, or PBMs, and other members of the healthcare and pharmaceutical supply chain, an important decision that may lead to further and more aggressive efforts by states in this area.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69"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6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0"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operate include:</w:t>
      </w:r>
    </w:p>
    <w:p>
      <w:pPr>
        <w:spacing w:after="0" w:line="84" w:lineRule="exact"/>
        <w:rPr>
          <w:sz w:val="20"/>
          <w:szCs w:val="20"/>
          <w:color w:val="auto"/>
        </w:rPr>
      </w:pPr>
    </w:p>
    <w:p>
      <w:pPr>
        <w:jc w:val="both"/>
        <w:ind w:left="1020" w:right="10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82" w:lineRule="exact"/>
        <w:rPr>
          <w:rFonts w:ascii="Times New Roman" w:cs="Times New Roman" w:eastAsia="Times New Roman" w:hAnsi="Times New Roman"/>
          <w:sz w:val="18"/>
          <w:szCs w:val="18"/>
          <w:color w:val="auto"/>
        </w:rPr>
      </w:pPr>
    </w:p>
    <w:p>
      <w:pPr>
        <w:jc w:val="both"/>
        <w:ind w:left="1020" w:right="10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2"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4"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40"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9" w:lineRule="exact"/>
        <w:rPr>
          <w:rFonts w:ascii="Times New Roman" w:cs="Times New Roman" w:eastAsia="Times New Roman" w:hAnsi="Times New Roman"/>
          <w:sz w:val="18"/>
          <w:szCs w:val="18"/>
          <w:color w:val="auto"/>
        </w:rPr>
      </w:pPr>
    </w:p>
    <w:p>
      <w:pPr>
        <w:ind w:left="1020" w:hanging="503"/>
        <w:spacing w:after="0" w:line="24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2" w:name="page43"/>
    <w:bookmarkEnd w:id="42"/>
    <w:p>
      <w:pPr>
        <w:ind w:right="120"/>
        <w:spacing w:after="0" w:line="250" w:lineRule="auto"/>
        <w:rPr>
          <w:sz w:val="20"/>
          <w:szCs w:val="20"/>
          <w:color w:val="auto"/>
        </w:rPr>
      </w:pPr>
      <w:r>
        <w:rPr>
          <w:rFonts w:ascii="Times New Roman" w:cs="Times New Roman" w:eastAsia="Times New Roman" w:hAnsi="Times New Roman"/>
          <w:sz w:val="18"/>
          <w:szCs w:val="18"/>
          <w:color w:val="auto"/>
        </w:rPr>
        <w:t>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9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66"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84"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7"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9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3" w:name="page44"/>
    <w:bookmarkEnd w:id="43"/>
    <w:p>
      <w:pPr>
        <w:spacing w:after="0" w:line="242" w:lineRule="auto"/>
        <w:rPr>
          <w:sz w:val="20"/>
          <w:szCs w:val="20"/>
          <w:color w:val="auto"/>
        </w:rPr>
      </w:pPr>
      <w:r>
        <w:rPr>
          <w:rFonts w:ascii="Times New Roman" w:cs="Times New Roman" w:eastAsia="Times New Roman" w:hAnsi="Times New Roman"/>
          <w:sz w:val="18"/>
          <w:szCs w:val="18"/>
          <w:color w:val="auto"/>
        </w:rPr>
        <w:t>California’s patient privacy laws, for example, provide for penalties of up to $250,000 and permit injured parties to sue for damages. In addition, California enacted the California Consumer Privacy Act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adopted in other states (for example Nevada, Virginia and Colorado) or proposed in other states and at the federal level, and if passed, such laws may have potentially conflicting requirements that would make compliance challenging.</w:t>
      </w:r>
    </w:p>
    <w:p>
      <w:pPr>
        <w:spacing w:after="0" w:line="19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1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9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00" w:lineRule="exact"/>
        <w:rPr>
          <w:sz w:val="20"/>
          <w:szCs w:val="20"/>
          <w:color w:val="auto"/>
        </w:rPr>
      </w:pPr>
    </w:p>
    <w:p>
      <w:pPr>
        <w:spacing w:after="0" w:line="28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ind w:right="160"/>
        <w:spacing w:after="0" w:line="282" w:lineRule="auto"/>
        <w:rPr>
          <w:sz w:val="20"/>
          <w:szCs w:val="20"/>
          <w:color w:val="auto"/>
        </w:rPr>
      </w:pPr>
      <w:r>
        <w:rPr>
          <w:rFonts w:ascii="Times New Roman" w:cs="Times New Roman" w:eastAsia="Times New Roman" w:hAnsi="Times New Roman"/>
          <w:sz w:val="18"/>
          <w:szCs w:val="18"/>
          <w:color w:val="auto"/>
        </w:rPr>
        <w:t>fairly reflect all transactions of the corporation, including international subsidiaries, and to devise and maintain an adequate system of internal accounting controls for international operations.</w:t>
      </w:r>
    </w:p>
    <w:p>
      <w:pPr>
        <w:spacing w:after="0" w:line="14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7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77"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7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3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3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ind w:right="60"/>
        <w:spacing w:after="0" w:line="258" w:lineRule="auto"/>
        <w:rPr>
          <w:sz w:val="20"/>
          <w:szCs w:val="20"/>
          <w:color w:val="auto"/>
        </w:rPr>
      </w:pPr>
      <w:r>
        <w:rPr>
          <w:rFonts w:ascii="Times New Roman" w:cs="Times New Roman" w:eastAsia="Times New Roman" w:hAnsi="Times New Roman"/>
          <w:sz w:val="18"/>
          <w:szCs w:val="18"/>
          <w:color w:val="auto"/>
        </w:rPr>
        <w:t>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7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7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7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6" w:lineRule="exact"/>
        <w:rPr>
          <w:sz w:val="20"/>
          <w:szCs w:val="20"/>
          <w:color w:val="auto"/>
        </w:rPr>
      </w:pPr>
    </w:p>
    <w:p>
      <w:pPr>
        <w:ind w:right="240" w:firstLine="509"/>
        <w:spacing w:after="0" w:line="236"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6" w:name="page47"/>
    <w:bookmarkEnd w:id="46"/>
    <w:p>
      <w:pPr>
        <w:ind w:right="80"/>
        <w:spacing w:after="0" w:line="235" w:lineRule="auto"/>
        <w:rPr>
          <w:sz w:val="20"/>
          <w:szCs w:val="20"/>
          <w:color w:val="auto"/>
        </w:rPr>
      </w:pPr>
      <w:r>
        <w:rPr>
          <w:rFonts w:ascii="Times New Roman" w:cs="Times New Roman" w:eastAsia="Times New Roman" w:hAnsi="Times New Roman"/>
          <w:sz w:val="18"/>
          <w:szCs w:val="18"/>
          <w:color w:val="auto"/>
        </w:rPr>
        <w:t>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08" w:lineRule="exact"/>
        <w:rPr>
          <w:sz w:val="20"/>
          <w:szCs w:val="20"/>
          <w:color w:val="auto"/>
        </w:rPr>
      </w:pPr>
    </w:p>
    <w:p>
      <w:pPr>
        <w:ind w:right="60" w:firstLine="509"/>
        <w:spacing w:after="0" w:line="232"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5" w:lineRule="exact"/>
        <w:rPr>
          <w:sz w:val="20"/>
          <w:szCs w:val="20"/>
          <w:color w:val="auto"/>
        </w:rPr>
      </w:pPr>
    </w:p>
    <w:p>
      <w:pPr>
        <w:ind w:right="200" w:firstLine="509"/>
        <w:spacing w:after="0" w:line="230"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7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59" w:lineRule="exact"/>
        <w:rPr>
          <w:sz w:val="20"/>
          <w:szCs w:val="20"/>
          <w:color w:val="auto"/>
        </w:rPr>
      </w:pPr>
    </w:p>
    <w:p>
      <w:pPr>
        <w:ind w:right="20" w:firstLine="509"/>
        <w:spacing w:after="0" w:line="227"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0"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93"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7" w:name="page48"/>
    <w:bookmarkEnd w:id="47"/>
    <w:p>
      <w:pPr>
        <w:ind w:right="380"/>
        <w:spacing w:after="0" w:line="258" w:lineRule="auto"/>
        <w:rPr>
          <w:sz w:val="20"/>
          <w:szCs w:val="20"/>
          <w:color w:val="auto"/>
        </w:rPr>
      </w:pPr>
      <w:r>
        <w:rPr>
          <w:rFonts w:ascii="Times New Roman" w:cs="Times New Roman" w:eastAsia="Times New Roman" w:hAnsi="Times New Roman"/>
          <w:sz w:val="18"/>
          <w:szCs w:val="18"/>
          <w:color w:val="auto"/>
        </w:rPr>
        <w:t>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73" w:lineRule="exact"/>
        <w:rPr>
          <w:sz w:val="20"/>
          <w:szCs w:val="20"/>
          <w:color w:val="auto"/>
        </w:rPr>
      </w:pPr>
    </w:p>
    <w:p>
      <w:pPr>
        <w:ind w:right="20" w:firstLine="509"/>
        <w:spacing w:after="0" w:line="226"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76"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73"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94" w:lineRule="exact"/>
        <w:rPr>
          <w:sz w:val="20"/>
          <w:szCs w:val="20"/>
          <w:color w:val="auto"/>
        </w:rPr>
      </w:pPr>
    </w:p>
    <w:p>
      <w:pPr>
        <w:ind w:right="80" w:firstLine="509"/>
        <w:spacing w:after="0" w:line="228"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80"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6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24"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8"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93"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88"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94" w:lineRule="exact"/>
        <w:rPr>
          <w:sz w:val="20"/>
          <w:szCs w:val="20"/>
          <w:color w:val="auto"/>
        </w:rPr>
      </w:pPr>
    </w:p>
    <w:p>
      <w:pPr>
        <w:ind w:right="80" w:firstLine="509"/>
        <w:spacing w:after="0" w:line="231"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9" w:name="page50"/>
    <w:bookmarkEnd w:id="49"/>
    <w:p>
      <w:pPr>
        <w:ind w:right="40"/>
        <w:spacing w:after="0"/>
        <w:rPr>
          <w:sz w:val="20"/>
          <w:szCs w:val="20"/>
          <w:color w:val="auto"/>
        </w:rPr>
      </w:pPr>
      <w:r>
        <w:rPr>
          <w:rFonts w:ascii="Times New Roman" w:cs="Times New Roman" w:eastAsia="Times New Roman" w:hAnsi="Times New Roman"/>
          <w:sz w:val="18"/>
          <w:szCs w:val="18"/>
          <w:color w:val="auto"/>
        </w:rPr>
        <w:t>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9"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employers.</w:t>
      </w:r>
    </w:p>
    <w:p>
      <w:pPr>
        <w:spacing w:after="0" w:line="70" w:lineRule="exact"/>
        <w:rPr>
          <w:sz w:val="20"/>
          <w:szCs w:val="20"/>
          <w:color w:val="auto"/>
        </w:rPr>
      </w:pPr>
    </w:p>
    <w:p>
      <w:pPr>
        <w:ind w:right="60" w:firstLine="509"/>
        <w:spacing w:after="0" w:line="231"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08"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jc w:val="both"/>
        <w:ind w:right="200" w:firstLine="509"/>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36"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0" w:name="page51"/>
    <w:bookmarkEnd w:id="50"/>
    <w:p>
      <w:pPr>
        <w:ind w:right="160"/>
        <w:spacing w:after="0" w:line="266" w:lineRule="auto"/>
        <w:rPr>
          <w:sz w:val="20"/>
          <w:szCs w:val="20"/>
          <w:color w:val="auto"/>
        </w:rPr>
      </w:pPr>
      <w:r>
        <w:rPr>
          <w:rFonts w:ascii="Times New Roman" w:cs="Times New Roman" w:eastAsia="Times New Roman" w:hAnsi="Times New Roman"/>
          <w:sz w:val="18"/>
          <w:szCs w:val="18"/>
          <w:color w:val="auto"/>
        </w:rPr>
        <w:t>trademarks, trade secrets, domain names, copyrights or other intellectual property may be ineffective and could result in substantial costs and diversion of resources and could adversely impact our financial condition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9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54"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73"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4"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4"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1" w:name="page52"/>
    <w:bookmarkEnd w:id="51"/>
    <w:p>
      <w:pPr>
        <w:ind w:right="8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0" w:lineRule="exact"/>
        <w:rPr>
          <w:sz w:val="20"/>
          <w:szCs w:val="20"/>
          <w:color w:val="auto"/>
        </w:rPr>
      </w:pPr>
    </w:p>
    <w:p>
      <w:pPr>
        <w:ind w:right="200" w:firstLine="509"/>
        <w:spacing w:after="0"/>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7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 xml:space="preserve">We have agreements with Azzur Cleanrooms-On-Demand to lease clean-room space at their facility for </w:t>
      </w:r>
      <w:r>
        <w:rPr>
          <w:rFonts w:ascii="Times New Roman" w:cs="Times New Roman" w:eastAsia="Times New Roman" w:hAnsi="Times New Roman"/>
          <w:sz w:val="18"/>
          <w:szCs w:val="18"/>
          <w:color w:val="2A2A2A"/>
        </w:rPr>
        <w:t>manufacturing and formulation of cGMP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67"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5"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5"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59" w:lineRule="exact"/>
        <w:rPr>
          <w:sz w:val="20"/>
          <w:szCs w:val="20"/>
          <w:color w:val="auto"/>
        </w:rPr>
      </w:pPr>
    </w:p>
    <w:p>
      <w:pPr>
        <w:ind w:right="20" w:firstLine="509"/>
        <w:spacing w:after="0" w:line="224"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w:t>
      </w:r>
    </w:p>
    <w:p>
      <w:pPr>
        <w:spacing w:after="0" w:line="3" w:lineRule="exact"/>
        <w:rPr>
          <w:sz w:val="20"/>
          <w:szCs w:val="20"/>
          <w:color w:val="auto"/>
        </w:rPr>
      </w:pPr>
    </w:p>
    <w:p>
      <w:pPr>
        <w:ind w:right="300"/>
        <w:spacing w:after="0" w:line="223" w:lineRule="auto"/>
        <w:rPr>
          <w:sz w:val="20"/>
          <w:szCs w:val="20"/>
          <w:color w:val="auto"/>
        </w:rPr>
      </w:pPr>
      <w:r>
        <w:rPr>
          <w:rFonts w:ascii="Times New Roman" w:cs="Times New Roman" w:eastAsia="Times New Roman" w:hAnsi="Times New Roman"/>
          <w:sz w:val="17"/>
          <w:szCs w:val="17"/>
          <w:color w:val="auto"/>
        </w:rPr>
        <w:t>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w:t>
      </w:r>
    </w:p>
    <w:p>
      <w:pPr>
        <w:ind w:right="80"/>
        <w:spacing w:after="0" w:line="211" w:lineRule="auto"/>
        <w:rPr>
          <w:sz w:val="20"/>
          <w:szCs w:val="20"/>
          <w:color w:val="auto"/>
        </w:rPr>
      </w:pPr>
      <w:r>
        <w:rPr>
          <w:rFonts w:ascii="Times New Roman" w:cs="Times New Roman" w:eastAsia="Times New Roman" w:hAnsi="Times New Roman"/>
          <w:sz w:val="18"/>
          <w:szCs w:val="18"/>
          <w:color w:val="auto"/>
        </w:rPr>
        <w:t>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w:t>
      </w:r>
    </w:p>
    <w:p>
      <w:pPr>
        <w:spacing w:after="0" w:line="1"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8"/>
          <w:szCs w:val="18"/>
          <w:color w:val="auto"/>
        </w:rPr>
        <w:t>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60" w:lineRule="exact"/>
        <w:rPr>
          <w:sz w:val="20"/>
          <w:szCs w:val="20"/>
          <w:color w:val="auto"/>
        </w:rPr>
      </w:pPr>
    </w:p>
    <w:p>
      <w:pPr>
        <w:ind w:right="120" w:firstLine="509"/>
        <w:spacing w:after="0" w:line="238" w:lineRule="auto"/>
        <w:rPr>
          <w:sz w:val="20"/>
          <w:szCs w:val="20"/>
          <w:color w:val="auto"/>
        </w:rPr>
      </w:pPr>
      <w:r>
        <w:rPr>
          <w:rFonts w:ascii="Times New Roman" w:cs="Times New Roman" w:eastAsia="Times New Roman" w:hAnsi="Times New Roman"/>
          <w:sz w:val="17"/>
          <w:szCs w:val="17"/>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w:t>
      </w:r>
    </w:p>
    <w:p>
      <w:pPr>
        <w:spacing w:after="0" w:line="1"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candidates successfully. Our or a third-party’s failure to execute on our manufacturing requirements could adversely affect our business in a number of ways, including:</w:t>
      </w:r>
    </w:p>
    <w:p>
      <w:pPr>
        <w:spacing w:after="0" w:line="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2" w:name="page53"/>
    <w:bookmarkEnd w:id="52"/>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16"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6"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37"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9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90"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40"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40"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266"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4" w:lineRule="exact"/>
        <w:rPr>
          <w:sz w:val="20"/>
          <w:szCs w:val="20"/>
          <w:color w:val="auto"/>
        </w:rPr>
      </w:pPr>
    </w:p>
    <w:p>
      <w:pPr>
        <w:ind w:right="380" w:firstLine="509"/>
        <w:spacing w:after="0" w:line="244" w:lineRule="auto"/>
        <w:rPr>
          <w:sz w:val="20"/>
          <w:szCs w:val="20"/>
          <w:color w:val="auto"/>
        </w:rPr>
      </w:pPr>
      <w:r>
        <w:rPr>
          <w:rFonts w:ascii="Times New Roman" w:cs="Times New Roman" w:eastAsia="Times New Roman" w:hAnsi="Times New Roman"/>
          <w:sz w:val="17"/>
          <w:szCs w:val="17"/>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w:t>
      </w:r>
    </w:p>
    <w:p>
      <w:pPr>
        <w:spacing w:after="0" w:line="1" w:lineRule="exact"/>
        <w:rPr>
          <w:sz w:val="20"/>
          <w:szCs w:val="20"/>
          <w:color w:val="auto"/>
        </w:rPr>
      </w:pPr>
    </w:p>
    <w:p>
      <w:pPr>
        <w:ind w:right="120"/>
        <w:spacing w:after="0" w:line="211" w:lineRule="auto"/>
        <w:rPr>
          <w:sz w:val="20"/>
          <w:szCs w:val="20"/>
          <w:color w:val="auto"/>
        </w:rPr>
      </w:pPr>
      <w:r>
        <w:rPr>
          <w:rFonts w:ascii="Times New Roman" w:cs="Times New Roman" w:eastAsia="Times New Roman" w:hAnsi="Times New Roman"/>
          <w:sz w:val="18"/>
          <w:szCs w:val="18"/>
          <w:color w:val="auto"/>
        </w:rPr>
        <w:t>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3" w:name="page54"/>
    <w:bookmarkEnd w:id="53"/>
    <w:p>
      <w:pPr>
        <w:ind w:right="60" w:firstLine="509"/>
        <w:spacing w:after="0" w:line="22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may be materially and adversely affected.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0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59" w:lineRule="exact"/>
        <w:rPr>
          <w:sz w:val="20"/>
          <w:szCs w:val="20"/>
          <w:color w:val="auto"/>
        </w:rPr>
      </w:pPr>
    </w:p>
    <w:p>
      <w:pPr>
        <w:ind w:right="240" w:firstLine="509"/>
        <w:spacing w:after="0" w:line="232"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3"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9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Generation Bio Co., Agios Pharmaceuticals, Inc., SOM Biotech SL, Jnana Therapeutics and other discovery stage companies have developed or are developing product candidates for the treatment of PKU. Allena Pharmaceuticals, Inc, Novome Biotechnologies, Inc., Federation Bio, Inc., Oxidien Pharmaceuticals L.L.C. and others are developing product candidates for enteric hyperoxaluria.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4" w:name="page55"/>
    <w:bookmarkEnd w:id="54"/>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4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69"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1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7" w:lineRule="exact"/>
        <w:rPr>
          <w:sz w:val="20"/>
          <w:szCs w:val="20"/>
          <w:color w:val="auto"/>
        </w:rPr>
      </w:pPr>
    </w:p>
    <w:p>
      <w:pPr>
        <w:ind w:left="1020" w:right="5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5" w:name="page56"/>
    <w:bookmarkEnd w:id="55"/>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0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198"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4" w:lineRule="exact"/>
        <w:rPr>
          <w:sz w:val="20"/>
          <w:szCs w:val="20"/>
          <w:color w:val="auto"/>
        </w:rPr>
      </w:pPr>
    </w:p>
    <w:p>
      <w:pPr>
        <w:ind w:right="60" w:firstLine="509"/>
        <w:spacing w:after="0" w:line="231"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5" w:lineRule="exact"/>
        <w:rPr>
          <w:sz w:val="20"/>
          <w:szCs w:val="20"/>
          <w:color w:val="auto"/>
        </w:rPr>
      </w:pPr>
    </w:p>
    <w:p>
      <w:pPr>
        <w:ind w:right="140" w:firstLine="509"/>
        <w:spacing w:after="0" w:line="229"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85" w:lineRule="exact"/>
        <w:rPr>
          <w:sz w:val="20"/>
          <w:szCs w:val="20"/>
          <w:color w:val="auto"/>
        </w:rPr>
      </w:pPr>
    </w:p>
    <w:p>
      <w:pPr>
        <w:ind w:right="60" w:firstLine="509"/>
        <w:spacing w:after="0" w:line="230"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8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ind w:right="80" w:firstLine="509"/>
        <w:spacing w:after="0" w:line="23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5" w:lineRule="exact"/>
        <w:rPr>
          <w:sz w:val="20"/>
          <w:szCs w:val="20"/>
          <w:color w:val="auto"/>
        </w:rPr>
      </w:pPr>
    </w:p>
    <w:p>
      <w:pPr>
        <w:ind w:right="260" w:firstLine="509"/>
        <w:spacing w:after="0" w:line="233"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0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7"/>
          <w:szCs w:val="17"/>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61"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0" w:lineRule="exact"/>
        <w:rPr>
          <w:sz w:val="20"/>
          <w:szCs w:val="20"/>
          <w:color w:val="auto"/>
        </w:rPr>
      </w:pPr>
    </w:p>
    <w:p>
      <w:pPr>
        <w:ind w:firstLine="509"/>
        <w:spacing w:after="0" w:line="22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9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36"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August 4, 2022, our executive officers and directors, together with holders of 5% or more of our common stock outstanding and their respective affiliates, beneficially own approximately 48.6%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9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August 4, 2022, there were a total of 70,229,592 shares of our common stock outstanding.</w:t>
      </w:r>
    </w:p>
    <w:p>
      <w:pPr>
        <w:spacing w:after="0" w:line="26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90"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9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7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90"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4"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58" w:name="page59"/>
    <w:bookmarkEnd w:id="58"/>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03"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64" w:lineRule="exact"/>
        <w:rPr>
          <w:sz w:val="20"/>
          <w:szCs w:val="20"/>
          <w:color w:val="auto"/>
        </w:rPr>
      </w:pPr>
    </w:p>
    <w:p>
      <w:pPr>
        <w:ind w:right="20" w:firstLine="509"/>
        <w:spacing w:after="0" w:line="227"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75"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7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0" w:lineRule="exact"/>
        <w:rPr>
          <w:sz w:val="20"/>
          <w:szCs w:val="20"/>
          <w:color w:val="auto"/>
        </w:rPr>
      </w:pPr>
    </w:p>
    <w:p>
      <w:pPr>
        <w:ind w:right="40" w:firstLine="509"/>
        <w:spacing w:after="0" w:line="23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5"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0"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2"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5"/>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0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9"/>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91"/>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2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14(a).</w:t>
            </w: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5"/>
              </w:rPr>
              <w:t>15d-14(a).</w:t>
            </w:r>
          </w:p>
        </w:tc>
        <w:tc>
          <w:tcPr>
            <w:tcW w:w="20" w:type="dxa"/>
            <w:vAlign w:val="bottom"/>
            <w:tcBorders>
              <w:top w:val="single" w:sz="8" w:color="0000FF"/>
              <w:bottom w:val="single" w:sz="8" w:color="0000EE"/>
            </w:tcBorders>
          </w:tcPr>
          <w:p>
            <w:pPr>
              <w:spacing w:after="0"/>
              <w:rPr>
                <w:sz w:val="12"/>
                <w:szCs w:val="12"/>
                <w:color w:val="auto"/>
              </w:rPr>
            </w:pPr>
          </w:p>
        </w:tc>
        <w:tc>
          <w:tcPr>
            <w:tcW w:w="4720" w:type="dxa"/>
            <w:vAlign w:val="bottom"/>
            <w:tcBorders>
              <w:top w:val="single" w:sz="8" w:color="0000FF"/>
            </w:tcBorders>
            <w:gridSpan w:val="4"/>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20" w:type="dxa"/>
            <w:vAlign w:val="bottom"/>
            <w:tcBorders>
              <w:top w:val="single" w:sz="8" w:color="0000FF"/>
              <w:bottom w:val="single" w:sz="8" w:color="0000EE"/>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20" w:type="dxa"/>
            <w:vAlign w:val="bottom"/>
            <w:tcBorders>
              <w:top w:val="single" w:sz="8" w:color="0000FF"/>
              <w:bottom w:val="single" w:sz="8" w:color="0000EE"/>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auto"/>
              </w:rPr>
              <w:t>Interactive Date File because XBRL tags are embedded within the Inline XBRL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document.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6686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48" w:lineRule="exact"/>
        <w:rPr>
          <w:sz w:val="20"/>
          <w:szCs w:val="20"/>
          <w:color w:val="auto"/>
        </w:rPr>
      </w:pPr>
    </w:p>
    <w:p>
      <w:pPr>
        <w:ind w:right="80" w:firstLine="8"/>
        <w:spacing w:after="0" w:line="263" w:lineRule="auto"/>
        <w:tabs>
          <w:tab w:leader="none" w:pos="22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61" w:name="page62"/>
    <w:bookmarkEnd w:id="61"/>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19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SYNLOGIC, INC.</w:t>
      </w:r>
    </w:p>
    <w:p>
      <w:pPr>
        <w:spacing w:after="0" w:line="266"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Aoife Brennan</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Michael Jensen</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line="231" w:lineRule="auto"/>
        <w:rPr>
          <w:sz w:val="20"/>
          <w:szCs w:val="20"/>
          <w:color w:val="auto"/>
        </w:rPr>
      </w:pPr>
      <w:r>
        <w:rPr>
          <w:rFonts w:ascii="Times New Roman" w:cs="Times New Roman" w:eastAsia="Times New Roman" w:hAnsi="Times New Roman"/>
          <w:sz w:val="18"/>
          <w:szCs w:val="18"/>
          <w:color w:val="auto"/>
        </w:rPr>
        <w:t>(Principal Financial Officer and Principal</w:t>
      </w:r>
    </w:p>
    <w:p>
      <w:pPr>
        <w:ind w:left="73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20" w:right="7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Aoife Brennan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Jensen, certify that:</w:t>
      </w:r>
    </w:p>
    <w:p>
      <w:pPr>
        <w:spacing w:after="0" w:line="21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Jensen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June 30, 2022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82"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Aoife Brennan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June 30, 2022 as filed with the Securities and Exchange Commission on the date hereof (the “Report”), I, Michael Jensen, Chief Financial Officer of the Company, certify, pursuant to 18 U.S.C. Section 1350, as adopted pursuant to Section 906 of the Sarbanes-Oxley Act of 2002, to my knowledge that:</w:t>
      </w:r>
    </w:p>
    <w:p>
      <w:pPr>
        <w:spacing w:after="0" w:line="8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Jensen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1)"/>
      <w:numFmt w:val="decimal"/>
      <w:start w:val="11"/>
    </w:lvl>
  </w:abstractNum>
  <w:abstractNum w:abstractNumId="14">
    <w:nsid w:val="7C3DBD3D"/>
    <w:multiLevelType w:val="hybridMultilevel"/>
    <w:lvl w:ilvl="0">
      <w:lvlJc w:val="left"/>
      <w:lvlText w:val="(%1)"/>
      <w:numFmt w:val="decimal"/>
      <w:start w:val="12"/>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2022-08-11T05:46:34Z</dcterms:created>
  <dcterms:modified xsi:type="dcterms:W3CDTF">2022-08-11T05:46:34Z</dcterms:modified>
</cp:coreProperties>
</file>