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960" w:hanging="3912"/>
        <w:spacing w:after="0" w:line="305" w:lineRule="auto"/>
        <w:tabs>
          <w:tab w:leader="none" w:pos="50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ind w:left="500" w:hanging="492"/>
        <w:spacing w:after="0" w:line="199" w:lineRule="auto"/>
        <w:tabs>
          <w:tab w:leader="none" w:pos="500" w:val="left"/>
        </w:tabs>
        <w:numPr>
          <w:ilvl w:val="0"/>
          <w:numId w:val="2"/>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TRANSITION REPORT PURSUANT TO SECTION 13 OR 15(d) OF THE SECURITIES EXCHANGE ACT OF 1934 FOR THE</w:t>
      </w:r>
    </w:p>
    <w:p>
      <w:pPr>
        <w:spacing w:after="0" w:line="203" w:lineRule="exact"/>
        <w:rPr>
          <w:sz w:val="24"/>
          <w:szCs w:val="24"/>
          <w:color w:val="auto"/>
        </w:rPr>
      </w:pPr>
    </w:p>
    <w:p>
      <w:pPr>
        <w:ind w:left="500"/>
        <w:spacing w:after="0"/>
        <w:tabs>
          <w:tab w:leader="none" w:pos="39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1" w:lineRule="exact"/>
        <w:rPr>
          <w:sz w:val="24"/>
          <w:szCs w:val="24"/>
          <w:color w:val="auto"/>
        </w:rPr>
      </w:pPr>
    </w:p>
    <w:tbl>
      <w:tblPr>
        <w:tblLayout w:type="fixed"/>
        <w:tblInd w:w="1780" w:type="dxa"/>
        <w:tblCellMar>
          <w:top w:w="0" w:type="dxa"/>
          <w:left w:w="0" w:type="dxa"/>
          <w:bottom w:w="0" w:type="dxa"/>
          <w:right w:w="0" w:type="dxa"/>
        </w:tblCellMar>
      </w:tblPr>
      <w:tr>
        <w:trPr>
          <w:trHeight w:val="434"/>
        </w:trPr>
        <w:tc>
          <w:tcPr>
            <w:tcW w:w="5920" w:type="dxa"/>
            <w:vAlign w:val="bottom"/>
            <w:gridSpan w:val="3"/>
          </w:tcPr>
          <w:p>
            <w:pPr>
              <w:jc w:val="center"/>
              <w:ind w:left="1675"/>
              <w:spacing w:after="0"/>
              <w:rPr>
                <w:sz w:val="20"/>
                <w:szCs w:val="20"/>
                <w:color w:val="auto"/>
              </w:rPr>
            </w:pPr>
            <w:r>
              <w:rPr>
                <w:rFonts w:ascii="Arial" w:cs="Arial" w:eastAsia="Arial" w:hAnsi="Arial"/>
                <w:sz w:val="36"/>
                <w:szCs w:val="36"/>
                <w:b w:val="1"/>
                <w:bCs w:val="1"/>
                <w:color w:val="auto"/>
              </w:rPr>
              <w:t>SYNLOGIC, INC.</w:t>
            </w:r>
          </w:p>
        </w:tc>
        <w:tc>
          <w:tcPr>
            <w:tcW w:w="1220" w:type="dxa"/>
            <w:vAlign w:val="bottom"/>
          </w:tcPr>
          <w:p>
            <w:pPr>
              <w:spacing w:after="0"/>
              <w:rPr>
                <w:sz w:val="24"/>
                <w:szCs w:val="24"/>
                <w:color w:val="auto"/>
              </w:rPr>
            </w:pPr>
          </w:p>
        </w:tc>
      </w:tr>
      <w:tr>
        <w:trPr>
          <w:trHeight w:val="186"/>
        </w:trPr>
        <w:tc>
          <w:tcPr>
            <w:tcW w:w="5920" w:type="dxa"/>
            <w:vAlign w:val="bottom"/>
            <w:gridSpan w:val="3"/>
          </w:tcPr>
          <w:p>
            <w:pPr>
              <w:jc w:val="center"/>
              <w:ind w:left="1695"/>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220" w:type="dxa"/>
            <w:vAlign w:val="bottom"/>
          </w:tcPr>
          <w:p>
            <w:pPr>
              <w:spacing w:after="0"/>
              <w:rPr>
                <w:sz w:val="16"/>
                <w:szCs w:val="16"/>
                <w:color w:val="auto"/>
              </w:rPr>
            </w:pPr>
          </w:p>
        </w:tc>
      </w:tr>
      <w:tr>
        <w:trPr>
          <w:trHeight w:val="66"/>
        </w:trPr>
        <w:tc>
          <w:tcPr>
            <w:tcW w:w="2720" w:type="dxa"/>
            <w:vAlign w:val="bottom"/>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45"/>
        </w:trPr>
        <w:tc>
          <w:tcPr>
            <w:tcW w:w="592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3"/>
              </w:rPr>
              <w:t>Delaware</w:t>
            </w:r>
          </w:p>
        </w:tc>
        <w:tc>
          <w:tcPr>
            <w:tcW w:w="1220" w:type="dxa"/>
            <w:vAlign w:val="bottom"/>
          </w:tcPr>
          <w:p>
            <w:pPr>
              <w:jc w:val="right"/>
              <w:ind w:right="30"/>
              <w:spacing w:after="0"/>
              <w:rPr>
                <w:sz w:val="20"/>
                <w:szCs w:val="20"/>
                <w:color w:val="auto"/>
              </w:rPr>
            </w:pPr>
            <w:r>
              <w:rPr>
                <w:rFonts w:ascii="Arial" w:cs="Arial" w:eastAsia="Arial" w:hAnsi="Arial"/>
                <w:sz w:val="16"/>
                <w:szCs w:val="16"/>
                <w:b w:val="1"/>
                <w:bCs w:val="1"/>
                <w:color w:val="auto"/>
              </w:rPr>
              <w:t>26-1824804</w:t>
            </w:r>
          </w:p>
        </w:tc>
      </w:tr>
      <w:tr>
        <w:trPr>
          <w:trHeight w:val="135"/>
        </w:trPr>
        <w:tc>
          <w:tcPr>
            <w:tcW w:w="5920" w:type="dxa"/>
            <w:vAlign w:val="bottom"/>
            <w:gridSpan w:val="3"/>
          </w:tcPr>
          <w:p>
            <w:pPr>
              <w:jc w:val="center"/>
              <w:ind w:right="3860"/>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1220" w:type="dxa"/>
            <w:vAlign w:val="bottom"/>
          </w:tcPr>
          <w:p>
            <w:pPr>
              <w:jc w:val="center"/>
              <w:ind w:left="1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5920" w:type="dxa"/>
            <w:vAlign w:val="bottom"/>
            <w:gridSpan w:val="3"/>
          </w:tcPr>
          <w:p>
            <w:pPr>
              <w:jc w:val="center"/>
              <w:ind w:right="3840"/>
              <w:spacing w:after="0"/>
              <w:rPr>
                <w:sz w:val="20"/>
                <w:szCs w:val="20"/>
                <w:color w:val="auto"/>
              </w:rPr>
            </w:pPr>
            <w:r>
              <w:rPr>
                <w:rFonts w:ascii="Arial" w:cs="Arial" w:eastAsia="Arial" w:hAnsi="Arial"/>
                <w:sz w:val="13"/>
                <w:szCs w:val="13"/>
                <w:b w:val="1"/>
                <w:bCs w:val="1"/>
                <w:color w:val="auto"/>
                <w:w w:val="88"/>
              </w:rPr>
              <w:t>incorporation or organization)</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89"/>
              </w:rPr>
              <w:t>Identification No.)</w:t>
            </w:r>
          </w:p>
        </w:tc>
      </w:tr>
      <w:tr>
        <w:trPr>
          <w:trHeight w:val="245"/>
        </w:trPr>
        <w:tc>
          <w:tcPr>
            <w:tcW w:w="5920" w:type="dxa"/>
            <w:vAlign w:val="bottom"/>
            <w:gridSpan w:val="3"/>
          </w:tcPr>
          <w:p>
            <w:pPr>
              <w:jc w:val="center"/>
              <w:ind w:right="3840"/>
              <w:spacing w:after="0"/>
              <w:rPr>
                <w:sz w:val="20"/>
                <w:szCs w:val="20"/>
                <w:color w:val="auto"/>
              </w:rPr>
            </w:pPr>
            <w:r>
              <w:rPr>
                <w:rFonts w:ascii="Arial" w:cs="Arial" w:eastAsia="Arial" w:hAnsi="Arial"/>
                <w:sz w:val="16"/>
                <w:szCs w:val="16"/>
                <w:b w:val="1"/>
                <w:bCs w:val="1"/>
                <w:color w:val="auto"/>
                <w:w w:val="91"/>
              </w:rPr>
              <w:t>301 Binney St., Suite 402</w:t>
            </w:r>
          </w:p>
        </w:tc>
        <w:tc>
          <w:tcPr>
            <w:tcW w:w="1220" w:type="dxa"/>
            <w:vAlign w:val="bottom"/>
          </w:tcPr>
          <w:p>
            <w:pPr>
              <w:spacing w:after="0"/>
              <w:rPr>
                <w:sz w:val="21"/>
                <w:szCs w:val="21"/>
                <w:color w:val="auto"/>
              </w:rPr>
            </w:pPr>
          </w:p>
        </w:tc>
      </w:tr>
      <w:tr>
        <w:trPr>
          <w:trHeight w:val="212"/>
        </w:trPr>
        <w:tc>
          <w:tcPr>
            <w:tcW w:w="592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7"/>
              </w:rPr>
              <w:t>Cambridge, MA</w:t>
            </w:r>
          </w:p>
        </w:tc>
        <w:tc>
          <w:tcPr>
            <w:tcW w:w="1220" w:type="dxa"/>
            <w:vAlign w:val="bottom"/>
          </w:tcPr>
          <w:p>
            <w:pPr>
              <w:jc w:val="right"/>
              <w:ind w:right="210"/>
              <w:spacing w:after="0"/>
              <w:rPr>
                <w:sz w:val="20"/>
                <w:szCs w:val="20"/>
                <w:color w:val="auto"/>
              </w:rPr>
            </w:pPr>
            <w:r>
              <w:rPr>
                <w:rFonts w:ascii="Arial" w:cs="Arial" w:eastAsia="Arial" w:hAnsi="Arial"/>
                <w:sz w:val="16"/>
                <w:szCs w:val="16"/>
                <w:b w:val="1"/>
                <w:bCs w:val="1"/>
                <w:color w:val="auto"/>
              </w:rPr>
              <w:t>02142</w:t>
            </w:r>
          </w:p>
        </w:tc>
      </w:tr>
      <w:tr>
        <w:trPr>
          <w:trHeight w:val="164"/>
        </w:trPr>
        <w:tc>
          <w:tcPr>
            <w:tcW w:w="5920" w:type="dxa"/>
            <w:vAlign w:val="bottom"/>
            <w:gridSpan w:val="3"/>
          </w:tcPr>
          <w:p>
            <w:pPr>
              <w:jc w:val="center"/>
              <w:ind w:right="384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220" w:type="dxa"/>
            <w:vAlign w:val="bottom"/>
          </w:tcPr>
          <w:p>
            <w:pPr>
              <w:jc w:val="center"/>
              <w:ind w:left="170"/>
              <w:spacing w:after="0"/>
              <w:rPr>
                <w:sz w:val="20"/>
                <w:szCs w:val="20"/>
                <w:color w:val="auto"/>
              </w:rPr>
            </w:pPr>
            <w:r>
              <w:rPr>
                <w:rFonts w:ascii="Arial" w:cs="Arial" w:eastAsia="Arial" w:hAnsi="Arial"/>
                <w:sz w:val="13"/>
                <w:szCs w:val="13"/>
                <w:b w:val="1"/>
                <w:bCs w:val="1"/>
                <w:color w:val="auto"/>
                <w:w w:val="90"/>
              </w:rPr>
              <w:t>(Zip Code)</w:t>
            </w:r>
          </w:p>
        </w:tc>
      </w:tr>
      <w:tr>
        <w:trPr>
          <w:trHeight w:val="240"/>
        </w:trPr>
        <w:tc>
          <w:tcPr>
            <w:tcW w:w="4960" w:type="dxa"/>
            <w:vAlign w:val="bottom"/>
            <w:gridSpan w:val="2"/>
          </w:tcPr>
          <w:p>
            <w:pPr>
              <w:jc w:val="center"/>
              <w:ind w:left="2655"/>
              <w:spacing w:after="0"/>
              <w:rPr>
                <w:sz w:val="20"/>
                <w:szCs w:val="20"/>
                <w:color w:val="auto"/>
              </w:rPr>
            </w:pPr>
            <w:r>
              <w:rPr>
                <w:rFonts w:ascii="Arial" w:cs="Arial" w:eastAsia="Arial" w:hAnsi="Arial"/>
                <w:sz w:val="16"/>
                <w:szCs w:val="16"/>
                <w:b w:val="1"/>
                <w:bCs w:val="1"/>
                <w:color w:val="auto"/>
                <w:w w:val="93"/>
              </w:rPr>
              <w:t>(617) 401-9975</w:t>
            </w: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6"/>
        </w:trPr>
        <w:tc>
          <w:tcPr>
            <w:tcW w:w="5920" w:type="dxa"/>
            <w:vAlign w:val="bottom"/>
            <w:gridSpan w:val="3"/>
          </w:tcPr>
          <w:p>
            <w:pPr>
              <w:jc w:val="center"/>
              <w:ind w:left="1695"/>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220" w:type="dxa"/>
            <w:vAlign w:val="bottom"/>
          </w:tcPr>
          <w:p>
            <w:pPr>
              <w:spacing w:after="0"/>
              <w:rPr>
                <w:sz w:val="22"/>
                <w:szCs w:val="22"/>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460" w:type="dxa"/>
            <w:vAlign w:val="bottom"/>
            <w:tcBorders>
              <w:top w:val="single" w:sz="8" w:color="auto"/>
              <w:left w:val="single" w:sz="8" w:color="auto"/>
              <w:bottom w:val="single" w:sz="8" w:color="auto"/>
            </w:tcBorders>
          </w:tcPr>
          <w:p>
            <w:pPr>
              <w:jc w:val="center"/>
              <w:ind w:left="224"/>
              <w:spacing w:after="0"/>
              <w:rPr>
                <w:sz w:val="20"/>
                <w:szCs w:val="20"/>
                <w:color w:val="auto"/>
              </w:rPr>
            </w:pPr>
            <w:r>
              <w:rPr>
                <w:rFonts w:ascii="Arial" w:cs="Arial" w:eastAsia="Arial" w:hAnsi="Arial"/>
                <w:sz w:val="16"/>
                <w:szCs w:val="16"/>
                <w:color w:val="auto"/>
                <w:w w:val="90"/>
              </w:rPr>
              <w:t>Title of each class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4"/>
              </w:rPr>
              <w:t>Trading Symbol</w:t>
            </w:r>
          </w:p>
        </w:tc>
        <w:tc>
          <w:tcPr>
            <w:tcW w:w="3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right w:val="single" w:sz="8" w:color="auto"/>
            </w:tcBorders>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460" w:type="dxa"/>
            <w:vAlign w:val="bottom"/>
            <w:tcBorders>
              <w:left w:val="single" w:sz="8" w:color="auto"/>
              <w:bottom w:val="single" w:sz="8" w:color="auto"/>
            </w:tcBorders>
          </w:tcPr>
          <w:p>
            <w:pPr>
              <w:jc w:val="center"/>
              <w:ind w:left="224"/>
              <w:spacing w:after="0"/>
              <w:rPr>
                <w:sz w:val="20"/>
                <w:szCs w:val="20"/>
                <w:color w:val="auto"/>
              </w:rPr>
            </w:pPr>
            <w:r>
              <w:rPr>
                <w:rFonts w:ascii="Arial" w:cs="Arial" w:eastAsia="Arial" w:hAnsi="Arial"/>
                <w:sz w:val="16"/>
                <w:szCs w:val="16"/>
                <w:color w:val="auto"/>
                <w:w w:val="90"/>
              </w:rPr>
              <w:t>Common Stock, par value $0.001 per share</w:t>
            </w:r>
          </w:p>
        </w:tc>
        <w:tc>
          <w:tcPr>
            <w:tcW w:w="3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color w:val="auto"/>
              </w:rPr>
              <w:t>SYBX</w:t>
            </w: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r>
        <w:trPr>
          <w:trHeight w:val="308"/>
        </w:trPr>
        <w:tc>
          <w:tcPr>
            <w:tcW w:w="3460" w:type="dxa"/>
            <w:vAlign w:val="bottom"/>
          </w:tcPr>
          <w:p>
            <w:pPr>
              <w:spacing w:after="0"/>
              <w:rPr>
                <w:sz w:val="24"/>
                <w:szCs w:val="24"/>
                <w:color w:val="auto"/>
              </w:rPr>
            </w:pPr>
          </w:p>
        </w:tc>
        <w:tc>
          <w:tcPr>
            <w:tcW w:w="7780" w:type="dxa"/>
            <w:vAlign w:val="bottom"/>
            <w:gridSpan w:val="8"/>
          </w:tcPr>
          <w:p>
            <w:pPr>
              <w:jc w:val="center"/>
              <w:ind w:right="3382"/>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None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500" w:type="dxa"/>
            <w:vAlign w:val="bottom"/>
            <w:gridSpan w:val="3"/>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0" w:type="dxa"/>
            <w:vAlign w:val="bottom"/>
          </w:tcPr>
          <w:p>
            <w:pPr>
              <w:spacing w:after="0"/>
              <w:rPr>
                <w:sz w:val="6"/>
                <w:szCs w:val="6"/>
                <w:color w:val="auto"/>
              </w:rPr>
            </w:pPr>
          </w:p>
        </w:tc>
        <w:tc>
          <w:tcPr>
            <w:tcW w:w="374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1"/>
        </w:trPr>
        <w:tc>
          <w:tcPr>
            <w:tcW w:w="688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00" w:type="dxa"/>
            <w:vAlign w:val="bottom"/>
          </w:tcPr>
          <w:p>
            <w:pPr>
              <w:ind w:left="20"/>
              <w:spacing w:after="0"/>
              <w:rPr>
                <w:sz w:val="20"/>
                <w:szCs w:val="20"/>
                <w:color w:val="auto"/>
              </w:rPr>
            </w:pPr>
            <w:r>
              <w:rPr>
                <w:rFonts w:ascii="Arial" w:cs="Arial" w:eastAsia="Arial" w:hAnsi="Arial"/>
                <w:sz w:val="14"/>
                <w:szCs w:val="14"/>
                <w:color w:val="auto"/>
                <w:w w:val="92"/>
              </w:rPr>
              <w:t>YES</w:t>
            </w:r>
          </w:p>
        </w:tc>
        <w:tc>
          <w:tcPr>
            <w:tcW w:w="2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88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60" w:type="dxa"/>
            <w:vAlign w:val="bottom"/>
          </w:tcPr>
          <w:p>
            <w:pPr>
              <w:jc w:val="center"/>
              <w:spacing w:after="0"/>
              <w:rPr>
                <w:sz w:val="20"/>
                <w:szCs w:val="20"/>
                <w:color w:val="auto"/>
              </w:rPr>
            </w:pPr>
            <w:r>
              <w:rPr>
                <w:rFonts w:ascii="Arial" w:cs="Arial" w:eastAsia="Arial" w:hAnsi="Arial"/>
                <w:sz w:val="14"/>
                <w:szCs w:val="14"/>
                <w:color w:val="auto"/>
                <w:w w:val="95"/>
              </w:rPr>
              <w:t>NO</w:t>
            </w:r>
          </w:p>
        </w:tc>
        <w:tc>
          <w:tcPr>
            <w:tcW w:w="3800" w:type="dxa"/>
            <w:vAlign w:val="bottom"/>
            <w:gridSpan w:val="2"/>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8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140"/>
              <w:spacing w:after="0"/>
              <w:rPr>
                <w:sz w:val="20"/>
                <w:szCs w:val="20"/>
                <w:color w:val="auto"/>
              </w:rPr>
            </w:pPr>
            <w:r>
              <w:rPr>
                <w:rFonts w:ascii="Arial" w:cs="Arial" w:eastAsia="Arial" w:hAnsi="Arial"/>
                <w:sz w:val="14"/>
                <w:szCs w:val="14"/>
                <w:color w:val="auto"/>
              </w:rPr>
              <w:t>Small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5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ind w:right="320"/>
        <w:spacing w:after="0" w:line="246" w:lineRule="auto"/>
        <w:rPr>
          <w:sz w:val="20"/>
          <w:szCs w:val="20"/>
          <w:color w:val="auto"/>
        </w:rPr>
      </w:pPr>
      <w:r>
        <w:rPr>
          <w:rFonts w:ascii="Arial" w:cs="Arial" w:eastAsia="Arial" w:hAnsi="Arial"/>
          <w:sz w:val="14"/>
          <w:szCs w:val="14"/>
          <w:color w:val="auto"/>
        </w:rPr>
        <w:t>The aggregate market value of common stock held by non-affiliates of the registrant as of June 30, 2021, the last business day of the registrant’s most recently completed second quarter, was $122.2 million, computed based on the closing price of $3.89 per share on June 30, 2021.</w:t>
      </w:r>
    </w:p>
    <w:p>
      <w:pPr>
        <w:spacing w:after="0" w:line="1" w:lineRule="exact"/>
        <w:rPr>
          <w:sz w:val="24"/>
          <w:szCs w:val="24"/>
          <w:color w:val="auto"/>
        </w:rPr>
      </w:pPr>
    </w:p>
    <w:p>
      <w:pPr>
        <w:jc w:val="right"/>
        <w:ind w:right="3960"/>
        <w:spacing w:after="0" w:line="286" w:lineRule="auto"/>
        <w:rPr>
          <w:sz w:val="20"/>
          <w:szCs w:val="20"/>
          <w:color w:val="auto"/>
        </w:rPr>
      </w:pPr>
      <w:r>
        <w:rPr>
          <w:rFonts w:ascii="Arial" w:cs="Arial" w:eastAsia="Arial" w:hAnsi="Arial"/>
          <w:sz w:val="14"/>
          <w:szCs w:val="14"/>
          <w:color w:val="auto"/>
        </w:rPr>
        <w:t xml:space="preserve">As of March 10, 2022 there were 70,228,487 shares of the registrant’s common stock, par value $0.001 per share, outstanding.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jc w:val="both"/>
        <w:ind w:right="80"/>
        <w:spacing w:after="0" w:line="227" w:lineRule="auto"/>
        <w:rPr>
          <w:sz w:val="20"/>
          <w:szCs w:val="20"/>
          <w:color w:val="auto"/>
        </w:rPr>
      </w:pPr>
      <w:r>
        <w:rPr>
          <w:rFonts w:ascii="Arial" w:cs="Arial" w:eastAsia="Arial" w:hAnsi="Arial"/>
          <w:sz w:val="14"/>
          <w:szCs w:val="14"/>
          <w:color w:val="auto"/>
        </w:rPr>
        <w:t>The following documents (or parts thereof) are incorporated by reference into the following parts of this Form 10-K: Certain information required in Part III of this Annual Report on Form 10-K is incorporated from the registrant’s definitive proxy statement for the 2022 annual meeting of stockholders to be filed pursuant to Regulation 14A with the Securities and Exchange Commission within 120 days of the registrant’s fiscal year ended December 31, 2021.</w:t>
      </w:r>
    </w:p>
    <w:p>
      <w:pPr>
        <w:spacing w:after="0" w:line="1" w:lineRule="exact"/>
        <w:rPr>
          <w:sz w:val="24"/>
          <w:szCs w:val="24"/>
          <w:color w:val="auto"/>
        </w:rPr>
      </w:pPr>
    </w:p>
    <w:p>
      <w:pPr>
        <w:spacing w:after="0"/>
        <w:tabs>
          <w:tab w:leader="none" w:pos="1380" w:val="left"/>
          <w:tab w:leader="none" w:pos="3260" w:val="left"/>
          <w:tab w:leader="none" w:pos="4640" w:val="left"/>
          <w:tab w:leader="none" w:pos="6880" w:val="left"/>
          <w:tab w:leader="none" w:pos="83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185</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2"/>
          <w:szCs w:val="12"/>
          <w:color w:val="auto"/>
        </w:rPr>
        <w:t>Boston, Massachusetts,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40" w:type="dxa"/>
            <w:vAlign w:val="bottom"/>
            <w:gridSpan w:val="9"/>
          </w:tcPr>
          <w:p>
            <w:pPr>
              <w:ind w:left="7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2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32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20" w:type="dxa"/>
            <w:vAlign w:val="bottom"/>
            <w:gridSpan w:val="20"/>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9060" w:type="dxa"/>
            <w:vAlign w:val="bottom"/>
            <w:gridSpan w:val="17"/>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Unresolved Staff Comments</w:t>
              </w:r>
            </w:hyperlink>
          </w:p>
        </w:tc>
        <w:tc>
          <w:tcPr>
            <w:tcW w:w="7920" w:type="dxa"/>
            <w:vAlign w:val="bottom"/>
            <w:gridSpan w:val="12"/>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996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Properties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96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96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4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71">
              <w:r>
                <w:rPr>
                  <w:rFonts w:ascii="Arial" w:cs="Arial" w:eastAsia="Arial" w:hAnsi="Arial"/>
                  <w:sz w:val="18"/>
                  <w:szCs w:val="18"/>
                  <w:b w:val="1"/>
                  <w:bCs w:val="1"/>
                  <w:color w:val="0000EE"/>
                  <w:w w:val="99"/>
                </w:rPr>
                <w:t>PART II</w:t>
              </w:r>
            </w:hyperlink>
          </w:p>
        </w:tc>
        <w:tc>
          <w:tcPr>
            <w:tcW w:w="26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5.</w:t>
            </w:r>
          </w:p>
        </w:tc>
        <w:tc>
          <w:tcPr>
            <w:tcW w:w="996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Market for Registrant’s Common Equity, Related Stockholder Matters and Issuer Purchases of Equity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[Reserved]</w:t>
              </w:r>
            </w:hyperlink>
          </w:p>
        </w:tc>
        <w:tc>
          <w:tcPr>
            <w:tcW w:w="1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960" w:type="dxa"/>
            <w:vAlign w:val="bottom"/>
            <w:gridSpan w:val="21"/>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Quantitative and Qualitative Disclosures About Market Risk</w:t>
              </w:r>
            </w:hyperlink>
          </w:p>
        </w:tc>
        <w:tc>
          <w:tcPr>
            <w:tcW w:w="3520" w:type="dxa"/>
            <w:vAlign w:val="bottom"/>
            <w:gridSpan w:val="4"/>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Financial Statements and Supplementary Data</w:t>
              </w:r>
            </w:hyperlink>
          </w:p>
        </w:tc>
        <w:tc>
          <w:tcPr>
            <w:tcW w:w="5620" w:type="dxa"/>
            <w:vAlign w:val="bottom"/>
            <w:gridSpan w:val="7"/>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960" w:type="dxa"/>
            <w:vAlign w:val="bottom"/>
            <w:gridSpan w:val="2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3460" w:type="dxa"/>
            <w:vAlign w:val="bottom"/>
            <w:gridSpan w:val="3"/>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8200" w:type="dxa"/>
            <w:vAlign w:val="bottom"/>
            <w:gridSpan w:val="14"/>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9C.</w:t>
            </w:r>
          </w:p>
        </w:tc>
        <w:tc>
          <w:tcPr>
            <w:tcW w:w="9960" w:type="dxa"/>
            <w:vAlign w:val="bottom"/>
            <w:gridSpan w:val="21"/>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Disclosure Regarding Foreign Jurisdictions that Prevent Inspections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45"/>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96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880" w:type="dxa"/>
            <w:vAlign w:val="bottom"/>
            <w:gridSpan w:val="8"/>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960" w:type="dxa"/>
            <w:vAlign w:val="bottom"/>
            <w:gridSpan w:val="21"/>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Security Ownership of Certain Beneficial Owners and Management and Related Stockholder Matters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Accounting Fees and Services</w:t>
              </w:r>
            </w:hyperlink>
          </w:p>
        </w:tc>
        <w:tc>
          <w:tcPr>
            <w:tcW w:w="4520" w:type="dxa"/>
            <w:vAlign w:val="bottom"/>
            <w:gridSpan w:val="5"/>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4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88">
              <w:r>
                <w:rPr>
                  <w:rFonts w:ascii="Arial" w:cs="Arial" w:eastAsia="Arial" w:hAnsi="Arial"/>
                  <w:sz w:val="18"/>
                  <w:szCs w:val="18"/>
                  <w:b w:val="1"/>
                  <w:bCs w:val="1"/>
                  <w:color w:val="0000EE"/>
                  <w:w w:val="98"/>
                </w:rPr>
                <w:t>PART IV</w:t>
              </w:r>
            </w:hyperlink>
          </w:p>
        </w:tc>
        <w:tc>
          <w:tcPr>
            <w:tcW w:w="2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Exhibits, Financial Statement Schedules</w:t>
              </w:r>
            </w:hyperlink>
          </w:p>
        </w:tc>
        <w:tc>
          <w:tcPr>
            <w:tcW w:w="7060" w:type="dxa"/>
            <w:vAlign w:val="bottom"/>
            <w:gridSpan w:val="10"/>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920" w:type="dxa"/>
            <w:vAlign w:val="bottom"/>
            <w:gridSpan w:val="5"/>
          </w:tcPr>
          <w:p>
            <w:pPr>
              <w:ind w:left="140"/>
              <w:spacing w:after="0"/>
              <w:rPr>
                <w:sz w:val="20"/>
                <w:szCs w:val="20"/>
                <w:color w:val="auto"/>
              </w:rPr>
            </w:pPr>
            <w:r>
              <w:rPr>
                <w:rFonts w:ascii="Arial" w:cs="Arial" w:eastAsia="Arial" w:hAnsi="Arial"/>
                <w:sz w:val="18"/>
                <w:szCs w:val="18"/>
                <w:color w:val="auto"/>
              </w:rPr>
              <w:t>Item 16.</w:t>
            </w:r>
          </w:p>
        </w:tc>
        <w:tc>
          <w:tcPr>
            <w:tcW w:w="9960" w:type="dxa"/>
            <w:vAlign w:val="bottom"/>
            <w:gridSpan w:val="21"/>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Form 10-K Summary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53"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coronavirus outbreak (COVID-19) or by other health epidemics or pandemics;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7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This Annual Report on Form 10-K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80" w:firstLine="510"/>
        <w:spacing w:after="0" w:line="296" w:lineRule="auto"/>
        <w:rPr>
          <w:sz w:val="20"/>
          <w:szCs w:val="20"/>
          <w:color w:val="auto"/>
        </w:rPr>
      </w:pPr>
      <w:r>
        <w:rPr>
          <w:rFonts w:ascii="Arial" w:cs="Arial" w:eastAsia="Arial" w:hAnsi="Arial"/>
          <w:sz w:val="16"/>
          <w:szCs w:val="16"/>
          <w:color w:val="auto"/>
        </w:rPr>
        <w:t>We are a clinical-stage biotechnology company advancing a new paradigm of biotherapeutics through our unique and proprietary approach to synthetic biology. Synthetic biology leverages engineering principles to enable the design of new biological systems, genetic circuits and molecular components. We are delivering the power of synthetic biology to medicine, combining the precision of engineering with rational drug development to develop what we call Synthetic Biotics. Our Synthetic Biotics are a novel drug modality that that uses programmable, precision genetic engineering of well-characterized probiotics to exert localized activity for therapeutic benefit, with a focus on metabolic and immunologic diseases.</w:t>
      </w:r>
    </w:p>
    <w:p>
      <w:pPr>
        <w:spacing w:after="0" w:line="215"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target validated biology in metabolic and immunological diseases, and we believe our approach is suitable for both rare and more common therapeutic categories. Our lead program in phenylketonuria (PKU) has demonstrated proof of concept, and we plan to start a pivotal, Phase 3 study in the second half of 2022. We also have novel drug candidates designed to treat homocystinuria (HCU), a rare metabolic disease, and enteric hyperoxaluria, a leading cause of recurrent kidney stones. Our preclinical research targets additional known disease metabolites, including a growing portfolio of assets focused on immunological opportunities such as inflammatory bowel disease (IBD).</w:t>
      </w:r>
    </w:p>
    <w:p>
      <w:pPr>
        <w:spacing w:after="0" w:line="2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 xml:space="preserve">The rapid advancement of these potential biotherapeutics, called Synthetic Biotics, has been enabled by our proprietary, reproducible, target-specific approach to drug design. We use precision genetic engineering of well-characterized probiotics as a chassis to exert localized activity for therapeutic benefit. Our current pipeline includes drug candidates that use the probiotic chassis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which has more than one hundred years of human dosing experience.</w:t>
      </w:r>
    </w:p>
    <w:p>
      <w:pPr>
        <w:spacing w:after="0" w:line="24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also work with partners to complement our strengths. We have partnered with F. Hoffmann-La Roche Ltd (Roche Basel) and Hoffmann-La Roche Inc. (Roche US, and together with Roche Basel, Roche) in a collaboration focused on the discovery of a novel Synthetic Biotic for the treatment of inflammatory bowel disease and with Ginkgo Bioworks, Inc. (Ginkgo) to discover additional preclinical assets, combining our approach to Synthetic Biotics with Ginkgo’s Codebase and Foundry services.</w:t>
      </w:r>
    </w:p>
    <w:p>
      <w:pPr>
        <w:spacing w:after="0" w:line="241" w:lineRule="exact"/>
        <w:rPr>
          <w:sz w:val="20"/>
          <w:szCs w:val="20"/>
          <w:color w:val="auto"/>
        </w:rPr>
      </w:pPr>
    </w:p>
    <w:p>
      <w:pPr>
        <w:jc w:val="both"/>
        <w:ind w:right="100" w:firstLine="510"/>
        <w:spacing w:after="0" w:line="259" w:lineRule="auto"/>
        <w:rPr>
          <w:sz w:val="20"/>
          <w:szCs w:val="20"/>
          <w:color w:val="auto"/>
        </w:rPr>
      </w:pPr>
      <w:r>
        <w:rPr>
          <w:rFonts w:ascii="Arial" w:cs="Arial" w:eastAsia="Arial" w:hAnsi="Arial"/>
          <w:sz w:val="18"/>
          <w:szCs w:val="18"/>
          <w:color w:val="auto"/>
        </w:rPr>
        <w:t>We intend to become a differentiated, global biopharmaceutical company by discovering, developing and commercializing novel Synthetic Biotics. To accomplish this, we plan to focus in the near term on advancing our lead program for PKU through registrational clinical trials as well as continuing to develop our other clinical and preclinical assets. Additionally, we continue to advance our approach to drug discovery, development and manufacturing. Critical components of our strategy include:</w:t>
      </w:r>
    </w:p>
    <w:p>
      <w:pPr>
        <w:spacing w:after="0" w:line="88" w:lineRule="exact"/>
        <w:rPr>
          <w:sz w:val="20"/>
          <w:szCs w:val="20"/>
          <w:color w:val="auto"/>
        </w:rPr>
      </w:pPr>
    </w:p>
    <w:p>
      <w:pPr>
        <w:ind w:left="1260" w:right="20" w:hanging="510"/>
        <w:spacing w:after="0" w:line="29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Advancing our PKU program through registrational clinical development and commercialization</w:t>
      </w:r>
      <w:r>
        <w:rPr>
          <w:rFonts w:ascii="Arial" w:cs="Arial" w:eastAsia="Arial" w:hAnsi="Arial"/>
          <w:sz w:val="16"/>
          <w:szCs w:val="16"/>
          <w:color w:val="auto"/>
        </w:rPr>
        <w:t>: Our lead program is a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 for PKU, a rare metabolic disease in which the amino acid phenylalanine (Phe) accumulates in the body to neurotoxic levels. In September 2021, we reported that SYNB1618, our drug candidate for PKU, demonstrated a statistically significant reduction in Phe levels in adult patients with PKU in an interim analysis of our Phase 2 SynPheny-1 study. In parallel, we reported that SYNB1934, an evolved, next generation drug candidate, showed potential for greater potency for Phe reduction in both animal models and healthy volunteers. We are continuing to test both SYNB1618 and SYNB1934 in the Phase 2 SynPheny-1 study. We expect to report data in the first half of 2022 and initiate a Phase 3 program with one of these two candidates in the second half of 2022.</w:t>
      </w:r>
    </w:p>
    <w:p>
      <w:pPr>
        <w:spacing w:after="0" w:line="66" w:lineRule="exact"/>
        <w:rPr>
          <w:rFonts w:ascii="Arial" w:cs="Arial" w:eastAsia="Arial" w:hAnsi="Arial"/>
          <w:sz w:val="16"/>
          <w:szCs w:val="16"/>
          <w:color w:val="auto"/>
        </w:rPr>
      </w:pPr>
    </w:p>
    <w:p>
      <w:pPr>
        <w:ind w:left="1260" w:right="60" w:hanging="510"/>
        <w:spacing w:after="0" w:line="289"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HCU and enteric hyperoxaluria programs into and through clinical development: </w:t>
      </w:r>
      <w:r>
        <w:rPr>
          <w:rFonts w:ascii="Arial" w:cs="Arial" w:eastAsia="Arial" w:hAnsi="Arial"/>
          <w:sz w:val="16"/>
          <w:szCs w:val="16"/>
          <w:color w:val="auto"/>
        </w:rPr>
        <w:t>In November 2021, we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another drug candidate, SYNB1353, which is a potential treatment for HCU, a rare metabolic disease in which the amino acid methionine accumulates in the body to toxic levels. SYNB1353 is designed to consume methionine in the gastrointestinal tract and was created through our research collaboration with Ginkgo. Like PKU, HCU is an inherited inborn error of metabolism that results in significant disease burden due to the limitations of present treatment options. SYNB1353 is currently in IND-enabling studies and we plan to begin clinical development and complete a Phase 1 study in healthy volunteers in the second half of 2022. Our other clinical-stage metabolic program is SYNB8802, a drug candidate in development for the treatment of enteric hyperoxaluria, a progressive, chronic disease characterized by recurrent kidney stones and progressive kidney damage due to excessive levels of oxalate. In April 2021, we reported proof-of-mechanism for SYNB8802 by demonstrating dose-dependent urinary oxalate lowering. Data from a proof-of-concept study assessing the lowering of urinary oxalate in patients who have undergone Roux-en-Y gastric bypass surgery is expected in 2022.</w:t>
      </w:r>
    </w:p>
    <w:p>
      <w:pPr>
        <w:spacing w:after="0" w:line="66" w:lineRule="exact"/>
        <w:rPr>
          <w:rFonts w:ascii="Arial" w:cs="Arial" w:eastAsia="Arial" w:hAnsi="Arial"/>
          <w:sz w:val="16"/>
          <w:szCs w:val="16"/>
          <w:color w:val="auto"/>
        </w:rPr>
      </w:pPr>
    </w:p>
    <w:p>
      <w:pPr>
        <w:ind w:left="1260" w:hanging="510"/>
        <w:spacing w:after="0" w:line="266"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Expanding the potential of our Synthetic Biotics to address unmet needs: </w:t>
      </w:r>
      <w:r>
        <w:rPr>
          <w:rFonts w:ascii="Arial" w:cs="Arial" w:eastAsia="Arial" w:hAnsi="Arial"/>
          <w:sz w:val="18"/>
          <w:szCs w:val="18"/>
          <w:color w:val="auto"/>
        </w:rPr>
        <w:t>As a leader in the development of engineered live</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we intend to build on our expertise in design, optimization, and manufacturing of Synthetic Biotics to further improve our reproducible and scalable discovery engine for generating a pipeline of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ind w:left="1260" w:right="140"/>
        <w:spacing w:after="0" w:line="263" w:lineRule="auto"/>
        <w:rPr>
          <w:sz w:val="20"/>
          <w:szCs w:val="20"/>
          <w:color w:val="auto"/>
        </w:rPr>
      </w:pPr>
      <w:r>
        <w:rPr>
          <w:rFonts w:ascii="Arial" w:cs="Arial" w:eastAsia="Arial" w:hAnsi="Arial"/>
          <w:sz w:val="18"/>
          <w:szCs w:val="18"/>
          <w:color w:val="auto"/>
        </w:rPr>
        <w:t>product candidates to address a broad range of diseases. We have active research programs to identify targets and advance candidates for both metabolic and immunologic diseases. We will continue to pursue this internally, and through select collaborations such as the one currently in place with Ginkgo.</w:t>
      </w:r>
    </w:p>
    <w:p>
      <w:pPr>
        <w:spacing w:after="0" w:line="85" w:lineRule="exact"/>
        <w:rPr>
          <w:sz w:val="20"/>
          <w:szCs w:val="20"/>
          <w:color w:val="auto"/>
        </w:rPr>
      </w:pPr>
    </w:p>
    <w:p>
      <w:pPr>
        <w:ind w:left="1260" w:hanging="510"/>
        <w:spacing w:after="0" w:line="254"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Selectively entering into collaborations to maximize the potential of our pipeline and our Synthetic Biotic product engine</w:t>
      </w:r>
      <w:r>
        <w:rPr>
          <w:rFonts w:ascii="Arial" w:cs="Arial" w:eastAsia="Arial" w:hAnsi="Arial"/>
          <w:sz w:val="18"/>
          <w:szCs w:val="18"/>
          <w:color w:val="auto"/>
        </w:rPr>
        <w:t>: In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2021, we entered into a Pilot Collaboration and Option Agreement with Roche for the discovery of a novel Synthetic Biotic for an undisclosed novel target in IBD. During the year ended December 31, 2021, we received the upfront, nonrefundable technology access fee due under the terms of the agreement, and we achieved the first milestone payment for the completion of the research and development services for the first phase of the research plan. Given our potential to generate novel product candidates addressing a wide variety of inflammatory and rare diseases, we may opportunistically enter into collaborations around certain targets, product candidates or disease areas. These collaborations could advance and accelerate our development programs to maximize their market potential and expand our capabilities.</w:t>
      </w:r>
    </w:p>
    <w:p>
      <w:pPr>
        <w:spacing w:after="0" w:line="250"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We are supported by our Board of Directors and our Scientific Advisory Board, each of which offers complementary experience in drug discovery and development, as well as expertise in building public companies, management, commercialization, and business development. Our founding science came from the laboratories of Professors James Collins and Timothy Lu from the Massachusetts Institute of Technology (MIT), who remain highly engaged in guiding development and application of our product engine as members of our Scientific Advisory Board.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 Pipeline</w:t>
      </w:r>
    </w:p>
    <w:p>
      <w:pPr>
        <w:spacing w:after="0" w:line="13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Synthetic biology brings engineering principles to the design of new biological systems, genetic circuits and molecular components. We are delivering the power of synthetic biology to medicine, combining the precision of engineering with rational drug development to develop Synthetic Biotics. Our Synthetic Biotics are potential biotherapeutics that leverage this reproducible, modular approach to the generation of drug candidates that can address significant medical needs in entirely new ways.</w:t>
      </w:r>
    </w:p>
    <w:p>
      <w:pPr>
        <w:spacing w:after="0" w:line="241"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Our pipeline includes our lead program in PKU, which has demonstrated proof of concept with plans to initiate a pivotal, Phase 3 study in the second half of 2022, and additional novel drug candidates designed to treat HCU and enteric hyperoxaluria.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125730</wp:posOffset>
            </wp:positionV>
            <wp:extent cx="5383530" cy="1920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Metabolic Disease</w:t>
      </w:r>
    </w:p>
    <w:p>
      <w:pPr>
        <w:spacing w:after="0" w:line="13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There are a number of metabolic diseases in which the lack of certain enzymes disrupts the metabolization of commonly occurring byproducts of digestion. The absence of these enzymes is caused by either a genetic mutation characterized by a dysfunctional metabolic pathway, such as PKU or HCU, or organ dysfunction, such as enteric hyperoxaluria. In patients with these diseases, the absence of certain enzymes causes metabolites to accumulate in the gut and systemically throughout the body. In patients with PKU and HCU, these metabolites build up to toxic levels resulting in serious health consequences, including irreversible neurological dysfunction.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PKU</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 xml:space="preserve">Our PKU program includes two development candidates, SYNB1618 and SYNB1934. SYNB1618 and SYNB1934 are orally administered, non-systemically absorbed drug candidates being studied as potential treatments for PKU, a genetic disease caused by potentially neurotoxic levels of the amino acid Phe. Treatment options for PKU are currently limited due to efficacy and safety, with a large majority of U.S. patients remaining in need of treatment, and many of those who are treated in need of additional Phe-lowering. We designed our drug candidates to reduce levels of Phe in people with PKU using precision genetic engineering of the well-characterized probiotic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Findings to date support the potential for an efficacious, safe, convenient, and flexible treatment option for PKU, and SYNB1618 has received both Orphan Drug and Fast Track designations by the FDA. Both SYNB1618 and SYNB1934 are being studied in the Phase 2 SynPheny-1 study, with data expected in the first half of 2022, and initiation of the Phase 3 program expected to begin in the second half of 2022.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of PKU</w:t>
      </w:r>
    </w:p>
    <w:p>
      <w:pPr>
        <w:spacing w:after="0" w:line="13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PKU is a rare inherited metabolic disease that causes Phe to build up in the body. Phe, which is found mostly in foods that contain protein — including all meat, dairy, most beans, grains and potatoes, as well as some artificial sweeteners — enters the body through dietary intake and is metabolized in the liver by a liver enzyme, phenylalanine hydroxylase (PAH) and the cofactor tetrahydrobiopterin (BH4). PKU is characterized by absence or deficiency of PAH, which is responsible for processing Phe. When not metabolized, Phe accumulates in the blood and brain where it is neurotoxic and can lead to neurological deficits.</w:t>
      </w:r>
    </w:p>
    <w:p>
      <w:pPr>
        <w:spacing w:after="0" w:line="24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disease course of PKU typically involves worsening neurological function that begins in infancy or early childhood. For the rest of their lives, people living with PKU need to follow an extremely restrictive diet that limits Phe. Strict adherence to this diet and supplemental nutrition through medical foods is required to avoid permanent, significant intellectual disability. However, it is challenging for most PKU patients to adhere to the restricted diet to the level that provides the necessary control of Phe levels even with the efforts of supportive family and social networks. Particular challenges arise during times of increasing independence during adolescence and access to low protein foods can pose difficulties as they are costlier and less nutritious than their higher protein, non-modified counterparts.</w:t>
      </w:r>
    </w:p>
    <w:p>
      <w:pPr>
        <w:spacing w:after="0" w:line="246" w:lineRule="exact"/>
        <w:rPr>
          <w:sz w:val="20"/>
          <w:szCs w:val="20"/>
          <w:color w:val="auto"/>
        </w:rPr>
      </w:pPr>
    </w:p>
    <w:p>
      <w:pPr>
        <w:ind w:right="480" w:firstLine="510"/>
        <w:spacing w:after="0" w:line="279" w:lineRule="auto"/>
        <w:rPr>
          <w:sz w:val="20"/>
          <w:szCs w:val="20"/>
          <w:color w:val="auto"/>
        </w:rPr>
      </w:pPr>
      <w:r>
        <w:rPr>
          <w:rFonts w:ascii="Arial" w:cs="Arial" w:eastAsia="Arial" w:hAnsi="Arial"/>
          <w:sz w:val="17"/>
          <w:szCs w:val="17"/>
          <w:color w:val="auto"/>
        </w:rPr>
        <w:t>There are an estimated 17,000 people in the U.S. with PKU. Of these, more than 70% remain untreated, reflecting limitations of current FDA-approved treatment options. About 15% are currently treated on Kuvan (sapropterin), with another approximately 10% of patients on Palynziq. The opportunity for Synlogic’s potential biotherapeutic for PKU would be both for patients who are currently untreated as a monotherapy as well as an adjunctive option for the sapropterin-treated patient population who remain in need of additional Phe reduction.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Treatments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are currently two approved medications for treatment of PKU:</w:t>
      </w:r>
    </w:p>
    <w:p>
      <w:pPr>
        <w:spacing w:after="0" w:line="131" w:lineRule="exact"/>
        <w:rPr>
          <w:sz w:val="20"/>
          <w:szCs w:val="20"/>
          <w:color w:val="auto"/>
        </w:rPr>
      </w:pPr>
    </w:p>
    <w:p>
      <w:pPr>
        <w:ind w:left="1120" w:right="220" w:hanging="559"/>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Sapropterin dihydrochloride (KUVAN) Tablets, an oral medication that is indicated for a subgroup of PKU patients who are considered responsive, but which does not eliminate the need for ongoing dietary management in most patients. It was the first drug approved for the treatment of PKU in 2007, as is now available as a generic in the U.S. and other markets.</w:t>
      </w:r>
    </w:p>
    <w:p>
      <w:pPr>
        <w:spacing w:after="0" w:line="197" w:lineRule="exact"/>
        <w:rPr>
          <w:rFonts w:ascii="Arial" w:cs="Arial" w:eastAsia="Arial" w:hAnsi="Arial"/>
          <w:sz w:val="18"/>
          <w:szCs w:val="18"/>
          <w:color w:val="auto"/>
        </w:rPr>
      </w:pPr>
    </w:p>
    <w:p>
      <w:pPr>
        <w:ind w:left="1120" w:right="20" w:hanging="559"/>
        <w:spacing w:after="0" w:line="296"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Pegvaliase-pqpz (PALYNZIQ) Injection, a pegylated form of recombinant Phenylalanine ammonia lyase (PAL), an enzyme that metabolizes phenylalanine, was approved by the FDA in 2018 for adult patients with PKU and uncontrolled blood Phe. While daily Palynziq injections have been proven to lower Phe levels, allergic and potential anaphylactic reaction risk to the drug is such that FDA labeling includes a boxed warning and restrictive Risk Evaluation and Mitigation Strategy (REMS) program that requires patients to carry auto-injectable epinephrine at all times while they are taking the medication. Palynziq is currently only indicated for adult patients.</w:t>
      </w:r>
    </w:p>
    <w:p>
      <w:pPr>
        <w:spacing w:after="0" w:line="20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Both therapies have limitations, leaving a large majority of those living with PKU untreated. Other investigational approaches in early development include gene therapy, modified cell therapies and a modified orally delivered enzyme replacement therapy.</w:t>
      </w:r>
    </w:p>
    <w:p>
      <w:pPr>
        <w:spacing w:after="0" w:line="224"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Despite the FDA approval of these medications for PKU, patients continue to suffer from poor outcomes. Even patients who are diagnosed and treated early have increased risk of neurocognitive abnormalities and psychiatric complications and are burdened by the life-long struggle to comply with strict dietary modifications. We believe a safe, orally dosed product that provides sustained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8"/>
          <w:szCs w:val="18"/>
          <w:color w:val="auto"/>
        </w:rPr>
        <w:t>reductions in blood Phe levels, while enabling a normal or only moderately restricted diet would be a transformative therapy, and that our Synthetic Biotic approach could meet that need.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3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Both SYNB1618 and SYNB1934 were designed using strains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engineered to metabolize Phe in patients with PKU following oral administration, by compensating for the missing enzyme function to reduce phenylalanine levels in the gastrointestinal (GI) tract and, as a consequence, in the systemic circulation.</w:t>
      </w:r>
    </w:p>
    <w:p>
      <w:pPr>
        <w:spacing w:after="0" w:line="23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designing both strains, we integrated genes, including those that code for a form of PAL that converts Phe to the non-toxic byproduct trans cinnamic acid (TCA), which is then converted in the liver to hippuric acid (HA) and excreted in the urine. Animal models demonstrated that SYNB1618 can decrease Phe levels by degradation of recirculating phenylalanine, as well as dietary Phe. A detailed description of the engineering of SYNB1618 and data from preclinical studies in an animal model of disease and healthy non-human primates was published in September 2018 (Nat. Biotechnol. 36, 857– 864 (2018)).</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PKU Clinical Development Plan</w:t>
      </w:r>
    </w:p>
    <w:p>
      <w:pPr>
        <w:spacing w:after="0" w:line="13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Phase 1 studies of healthy volunteers, SYNB1618 was safe and tolerated at doses up to 2x10</w:t>
      </w:r>
      <w:r>
        <w:rPr>
          <w:rFonts w:ascii="Arial" w:cs="Arial" w:eastAsia="Arial" w:hAnsi="Arial"/>
          <w:sz w:val="14"/>
          <w:szCs w:val="14"/>
          <w:color w:val="auto"/>
        </w:rPr>
        <w:t>12</w:t>
      </w:r>
      <w:r>
        <w:rPr>
          <w:rFonts w:ascii="Arial" w:cs="Arial" w:eastAsia="Arial" w:hAnsi="Arial"/>
          <w:sz w:val="17"/>
          <w:szCs w:val="17"/>
          <w:color w:val="auto"/>
        </w:rPr>
        <w:t xml:space="preserve"> live cells administered three times a day for seven days. Higher doses were associated with mild to moderate gastrointestinal symptoms, mainly nausea and vomiting. The data also demonstrated proof-of-mechanism. In July 2019, we announced data that demonstrated that SYNB1618 was safe and well-tolerated and achieved proof-of-mechanism of strain activity in both healthy volunteers and patients with PKU. Improved tolerability of the lyophilized SYNB1618 over the early liquid formulation enabled us to determine a maximally tolerated dose (MTD) to take forward to test in patients.</w:t>
      </w:r>
    </w:p>
    <w:p>
      <w:pPr>
        <w:spacing w:after="0" w:line="2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We initiated a Phase 2 clinical trial, called SynPheny-1, with SYNB1618 in the third quarter of 2020, and announced positive interim analysis data from that study in September 2021. The Phase 2 SynPheny-1 study is designed to evaluate safety and tolerability of SYNB1618 as a lyophilized powder as well as its potential to lower blood Phe levels in adult PKU patients. The Phase 2 SynPheny-1 Study is designed to be flexible, with subjects physically coming to the clinic or participating from the patient's home utilizing home healthcare services.</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parallel, in September 2021, we advanced the development of a next-generation drug candidate for PKU, SYNB1934, with the potential for greater Phe-reduction through enhanced productivity of its PAL enzyme. Phase 1 results in healthy volunteers and predictive modeling indicate SYNB1934 may have greater potency. As a result, we added an additional arm to the Phase 2 SynPheny-1 study to include SYNB1934 in addition to the ongoing assessment of SYNB1618. Results from both drug candidates evaluated in this Phase 2 study are expected in the first half of 2022 and will inform candidate selection for the initiation of a planned Phase 3 trial in 2022.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HCU</w:t>
      </w:r>
    </w:p>
    <w:p>
      <w:pPr>
        <w:spacing w:after="0" w:line="13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 November 2021 we announced the nomination of SYNB1353, a novel, orally administered, non-systemically absorbed drug candidate designed to consume methionine in the gastrointestinal tract thereby lowering homocysteine levels in patients with HCU.</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of HCU</w:t>
      </w:r>
    </w:p>
    <w:p>
      <w:pPr>
        <w:spacing w:after="0" w:line="13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20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Newborns are screened for HCU in some geographies, but even where newborn screening is available, not all HCU patients are detected at birth. Children are often diagnosed following dislocation of the optic lens, by which time they may have learning difficulties. Excessive methionine restriction may impair growth and neurodevelopmental progress in children. Adults are usually diagnosed after a thromboembolic event. Treatment aims to lower the homocysteine concentration in the blood to a safe level while maintaining normal nutrition. There is currently no cure for HCU and current treatment options are limited. Patients must follow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 w:name="page8"/>
    <w:bookmarkEnd w:id="7"/>
    <w:p>
      <w:pPr>
        <w:ind w:right="460"/>
        <w:spacing w:after="0" w:line="277" w:lineRule="auto"/>
        <w:rPr>
          <w:sz w:val="20"/>
          <w:szCs w:val="20"/>
          <w:color w:val="auto"/>
        </w:rPr>
      </w:pPr>
      <w:r>
        <w:rPr>
          <w:rFonts w:ascii="Arial" w:cs="Arial" w:eastAsia="Arial" w:hAnsi="Arial"/>
          <w:sz w:val="18"/>
          <w:szCs w:val="18"/>
          <w:color w:val="auto"/>
        </w:rPr>
        <w:t>rigid diet low in protein so as to avoid dietary methionine intake. Other therapeutic approaches include vitamin supplements to minimize some of the disease side effects.</w:t>
      </w:r>
    </w:p>
    <w:p>
      <w:pPr>
        <w:spacing w:after="0" w:line="211"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Approved pharmacological treatment options for HCU are limited due to efficacy and tolerability. People with more mild phenotypes of HCU typically respond effectively to, and are sufficiently managed by, taking Vitamin B6 (also known as pyridoxine-responsive). Non-responders require a combination of betaine and a moderate to severe dietary methionine restriction. The severely protein-restricted diet is complex and challenging to adhere to. Compliance with treatment often deteriorates, particularly in adolescence, as in other disorders requiring dietary adherence. Patients report significant challenges with the burden of the low protein diet, intake of amino acid mixtures, and the palatability of protein substitutes. Reaching treatment targets in patients with pyridoxine unresponsive disease remains a challenge despite existing pharmacotherapies. There is an unmet need for novel therapies that enable patients to manage homocysteine levels adequately.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SYNB1353 for HCU</w:t>
      </w:r>
    </w:p>
    <w:p>
      <w:pPr>
        <w:spacing w:after="0" w:line="13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SYNB1353 is an orally administered, non-systemically absorbed live biotherapeutic drug candidate engineered to consume methionine in the GI tract thereby lowering tHcy in HCU patients and potentially allowing an increase in natural protein intake. SYNB1353 is currently in IND-enabling studies and was developed as part of a research collaboration with Ginkgo. We hold worldwide development and commercialization rights to SYNB1353, which is expected to begin clinical development and report Phase 1 data in healthy volunteers in the second half of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Enteric Hyperoxaluria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 xml:space="preserve">SYNB8802 is a novel, orally administered, non-systemically absorbed drug candidate being developed for the treatment of enteric hyperoxaluria, a chronic, progressive disease characterized by high levels of urinary oxalate, the leading cause of recurrent kidney stones. Enteric hyperoxaluria often occurs as a result of a primary insult to the bowel, such as inflammatory bowel disease or Crohn’s disease, short bowel syndrome, or surgical procedures such as Roux-en-Y bariatric weight-loss surgery. Oxalate crystals can damage kidneys, leading to chronic kidney disease and end-stage renal disease (ESRD). There are no approved treatments. SYNB8802 was designed using precision genetic engineering of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to lower urinary oxalate levels by consuming oxalate throughout the GI tract. In 2021, we reported positive proof-of-mechanism for SYNB8802 from a Phase 1b study that demonstrated lowering of urinary and fecal oxalate levels in healthy volunteers with diet-induced hyperoxaluria. Data from a proof-of-concept study assessing the lowering of urinary oxalate in patients who have undergone Roux-en-Y gastric bypass surgery is expected in 2022.</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 of Enteric Hyperoxaluria</w:t>
      </w:r>
    </w:p>
    <w:p>
      <w:pPr>
        <w:spacing w:after="0" w:line="171"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Hyperoxaluria is a disease which results from excessive levels of oxalate in the body. Oxalate can be found naturally in the body or in foods with high oxalate levels such as leafy greens, potatoes, almonds, coffee and beans. Humans do not have an inherent physiological need for oxalate and it is normally excreted through the kidney. Excessive levels of oxalate, when present in the urine, bind with calcium in the kidney and lead to nephrolithiasis (kidney stone formation), nephrocalcinosis, chronic kidney complications and renal disease.</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There are two types of hyperoxaluria: primary hyperoxaluria and enteric hyperoxaluria. Primary hyperoxaluria is a rare genetic disease wherein the body produces excessive levels of oxalate. Approved treatments for primary hyperoxaluria, which address the genetic causes of primary hyperoxaluria, are not beneficial to patients with enteric hyperoxaluria. Enteric hyperoxaluria results from a gastrointestinal problem which causes malabsorption of oxalate from the diet. Conditions that commonly result in enteric hyperoxaluria include inflammatory bowel disease, certain kinds of bariatric surgery, short bowel syndrome, cystic fibrosis and celiac disease.</w:t>
      </w:r>
    </w:p>
    <w:p>
      <w:pPr>
        <w:spacing w:after="0" w:line="228"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Patients with enteric hyperoxaluria normally present to the healthcare system with kidney stones. Kidney stones, of which 80% have been found to contain oxalate crystals, are extremely painful and have an estimated economic burden of over ~$5 billion on the U.S. healthcare system. Patients with kidney stones are sometimes treated with opioids to control the pain and the stones are either passed naturally or treated with shockwave lithotripsy to break apart the stone or removal by surgery. There is a 60-80% recurrence rate after a patient has had one kidney stone. Recurrent kidney stones have been shown to lead to kidney damage, ESRD, and the need for a kidney transplant.</w:t>
      </w:r>
    </w:p>
    <w:p>
      <w:pPr>
        <w:spacing w:after="0" w:line="23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There is a direct link between elevated urinary oxalate and increased probability of kidney stone events or other renal adverse outcomes in patients with enteric hyperoxaluria. Even modest reductions in urinary oxalate can reduce the odds of developing a</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 w:name="page9"/>
    <w:bookmarkEnd w:id="8"/>
    <w:p>
      <w:pPr>
        <w:ind w:right="240"/>
        <w:spacing w:after="0" w:line="308" w:lineRule="auto"/>
        <w:rPr>
          <w:sz w:val="20"/>
          <w:szCs w:val="20"/>
          <w:color w:val="auto"/>
        </w:rPr>
      </w:pPr>
      <w:r>
        <w:rPr>
          <w:rFonts w:ascii="Arial" w:cs="Arial" w:eastAsia="Arial" w:hAnsi="Arial"/>
          <w:sz w:val="17"/>
          <w:szCs w:val="17"/>
          <w:color w:val="auto"/>
        </w:rPr>
        <w:t>kidney stone. A recent epidemiological study conducted in 297 patients with enteric hyperoxaluria demonstrated that a 20% reduction in urinary oxalate resulted in as much as a 25% reduction in risk of having a kidney stone in the subsequent year (D’Costa, Nephrol Dial Transplant 2020).</w:t>
      </w:r>
    </w:p>
    <w:p>
      <w:pPr>
        <w:spacing w:after="0" w:line="18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There are an estimated 200,000 to 250,000 patients with enteric hyperoxaluria in the United States, including more than 80,000 patients who experience recurrent kidney stones due to hyperoxaluria. Currently there are no approved pharmacological therapies for the reduction of oxalate levels in the urine in patients with enteric hyperoxaluria. Existing treatment options are generally non-specific and include high fluid intake to increase urine output to more than two to three liters per day, a diet low in salt and oxalate, oral citrate and/or calcium and/or magnesium supplementation.</w:t>
      </w:r>
    </w:p>
    <w:p>
      <w:pPr>
        <w:spacing w:after="0" w:line="211" w:lineRule="exact"/>
        <w:rPr>
          <w:sz w:val="20"/>
          <w:szCs w:val="20"/>
          <w:color w:val="auto"/>
        </w:rPr>
      </w:pPr>
    </w:p>
    <w:p>
      <w:pPr>
        <w:jc w:val="both"/>
        <w:ind w:right="140" w:firstLine="510"/>
        <w:spacing w:after="0" w:line="342" w:lineRule="auto"/>
        <w:rPr>
          <w:sz w:val="20"/>
          <w:szCs w:val="20"/>
          <w:color w:val="auto"/>
        </w:rPr>
      </w:pPr>
      <w:r>
        <w:rPr>
          <w:rFonts w:ascii="Arial" w:cs="Arial" w:eastAsia="Arial" w:hAnsi="Arial"/>
          <w:sz w:val="16"/>
          <w:szCs w:val="16"/>
          <w:color w:val="auto"/>
        </w:rPr>
        <w:t>We believe a clear need exists for therapies that lower dangerously high levels of urinary oxalate in enteric hyperoxaluria patients. We also believe that a targeted chronic oral therapy that results in lower urinary oxalate levels would provide a substantial benefit for this underserved patient population.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Enteric Hyperoxaluria Development Plan</w:t>
      </w:r>
    </w:p>
    <w:p>
      <w:pPr>
        <w:spacing w:after="0" w:line="158"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 xml:space="preserve">In May 2020, we announced the nomination of a clinical candidate for enteric hyperoxaluria, SYNB8802, which was designed using precision genetic engineering of </w:t>
      </w:r>
      <w:r>
        <w:rPr>
          <w:rFonts w:ascii="Arial" w:cs="Arial" w:eastAsia="Arial" w:hAnsi="Arial"/>
          <w:sz w:val="18"/>
          <w:szCs w:val="18"/>
          <w:i w:val="1"/>
          <w:iCs w:val="1"/>
          <w:color w:val="auto"/>
        </w:rPr>
        <w:t>E. coli</w:t>
      </w:r>
      <w:r>
        <w:rPr>
          <w:rFonts w:ascii="Arial" w:cs="Arial" w:eastAsia="Arial" w:hAnsi="Arial"/>
          <w:sz w:val="18"/>
          <w:szCs w:val="18"/>
          <w:color w:val="auto"/>
        </w:rPr>
        <w:t xml:space="preserve"> Nissle to lower urinary oxalate levels by consuming oxalate throughout the GI tract.</w:t>
      </w:r>
    </w:p>
    <w:p>
      <w:pPr>
        <w:spacing w:after="0" w:line="22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vivo studies in both mouse and non-human primate studies demonstrated that SYNB8802 decreased urinary oxalate levels in an acute model of hyperoxaluria induced by dietary intervention in vivo. A detailed description of the engineering of SYNB8802 and data from preclinical studies in an animal model of disease and healthy non-human primates was presented at the American Society of Nephrology Kidney Week 2020 conference (Renaud et al, poster number PO0650).</w:t>
      </w:r>
    </w:p>
    <w:p>
      <w:pPr>
        <w:spacing w:after="0" w:line="241"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2021, we reported positive proof-of-mechanism for SYNB8802 from a Phase 1a study that demonstrated lowering of urinary and fecal oxalate levels in healthy volunteers with diet-induced hyperoxaluria. Data from a proof-of-concept study assessing the lowering of urinary oxalate in patients who have undergone Roux-en-Y gastric bypass surgery is expected in 2022.</w:t>
      </w:r>
    </w:p>
    <w:p>
      <w:pPr>
        <w:spacing w:after="0" w:line="224"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Enteric hyperoxaluria is associated with progressive renal disease, including chronic kidney disease and ESRD, in addition to recurrent kidney stones. Given the lack of a currently approved treatment, and opportunities for exploration regarding the underlying pathophysiology, there are multiple potential paths for clinical development, including biomarker or clinical endpoints, with different potential indications.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Pipeline Programs in Metabolic &amp; Immunological Diseases</w:t>
      </w:r>
    </w:p>
    <w:p>
      <w:pPr>
        <w:spacing w:after="0" w:line="175"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The Synthetic Biotic approach is particularly well-suited for addressing known disease targets that have been associated with validated biological pathways in metabolic and immunological diseases. For metabolic diseases, we are applying our learnings from PKU, HCU and enteric hyperoxaluria to new areas, including hyperuricemia and gout, and we expect to disclose additional details on these and other programs as they move through preclinical development.</w:t>
      </w:r>
    </w:p>
    <w:p>
      <w:pPr>
        <w:spacing w:after="0" w:line="22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to execute these functions, including the metabolic production of factors such as short chain fatty acids to enhance barrier function, and secreting proteins, such as immunomodulatory cytokines.</w:t>
      </w:r>
    </w:p>
    <w:p>
      <w:pPr>
        <w:spacing w:after="0" w:line="23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Current approaches to treat IBD are focused on therapeutics that modulate the immune system and suppress inflammation. These therapies include steroids, such as prednisone, and tumor necrosis factor inhibitors, such as Humira</w:t>
      </w:r>
      <w:r>
        <w:rPr>
          <w:rFonts w:ascii="Arial" w:cs="Arial" w:eastAsia="Arial" w:hAnsi="Arial"/>
          <w:sz w:val="15"/>
          <w:szCs w:val="15"/>
          <w:color w:val="auto"/>
        </w:rPr>
        <w:t>®</w:t>
      </w:r>
      <w:r>
        <w:rPr>
          <w:rFonts w:ascii="Arial" w:cs="Arial" w:eastAsia="Arial" w:hAnsi="Arial"/>
          <w:sz w:val="18"/>
          <w:szCs w:val="18"/>
          <w:color w:val="auto"/>
        </w:rPr>
        <w:t xml:space="preserve"> (adalimumab). However, these approaches are associated with systemic immunosuppression, which includes greater susceptibility to infectious diseases and cancer. According to the CDC, in 2015 an estimated three million adults in the United States are reported as being diagnosed with</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IBD. In June of 2021 we entered into a research collaboration agreement with Roche for the discovery of a novel Synthetic Biotic for the treatment of IBD.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continue to advance additional, wholly-owned preclinical research efforts in IBD.</w:t>
      </w:r>
    </w:p>
    <w:p>
      <w:pPr>
        <w:spacing w:after="0" w:line="25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4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November 2021, we announced that we are not planning further studies for immuno-oncology, allowing us to focus on advancing a portfolio of investigational Synthetic Biotics that are orally administrated, and developed for diseases which, similar to PKU and enteric hyperoxaluria, have a toxic metabolite found in the GI tract.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Engine: Designing and Developing Synthetic Biotics</w:t>
      </w:r>
    </w:p>
    <w:p>
      <w:pPr>
        <w:spacing w:after="0" w:line="135"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Synthetic Biotics have unique advantages as potentially safe, effective, orally administered biotherapeutics. Engineered microbes can be programmed to carry out functions that cannot be performed by conventional drug treatments, such as small molecules or antibodies. Unlike other targeted approaches such as gene therapy or RNA-targeted therapies, Synthetic Biotics are reversible, as they are engineered to be non-colonizing and are rapidly cleared via excretion. They have a reduced risk of systemic adverse event risks due to the lack of systemic absorption.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Leveraging Synthetic Biology and Metabolic Engineering of Non-Pathogenic Bacteria to Produce Synthetic Biotics</w:t>
      </w:r>
    </w:p>
    <w:p>
      <w:pPr>
        <w:spacing w:after="0" w:line="131"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 xml:space="preserve">Bacteria have evolved over millions of years to adapt, survive, and actively metabolize to consume or produce metabolites in the human body. They are also amenable to genetic manipulation. To confer a therapeutic effect, we use basic biological properties of bacteria and the tools of synthetic biology to develop Synthetic Biotics from non-pathogenic microbes, focusing initially on a single strain of the bacteria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Using Synthetic Biology to Generate Synthetic Biotics</w:t>
      </w:r>
    </w:p>
    <w:p>
      <w:pPr>
        <w:spacing w:after="0" w:line="27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scientists genetically engineer this non-pathogenic bacterium with “wiring” or biological circuits to direct cellular biological processes in a manner analogous to designing electrical circuits. We aim to precisely and appropriately control the amount, location and activity of our Synthetic Biotics to address specific diseases.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0" w:name="page11"/>
    <w:bookmarkEnd w:id="10"/>
    <w:p>
      <w:pPr>
        <w:ind w:right="40" w:firstLine="510"/>
        <w:spacing w:after="0" w:line="311" w:lineRule="auto"/>
        <w:rPr>
          <w:sz w:val="20"/>
          <w:szCs w:val="20"/>
          <w:color w:val="auto"/>
        </w:rPr>
      </w:pPr>
      <w:r>
        <w:rPr>
          <w:rFonts w:ascii="Arial" w:cs="Arial" w:eastAsia="Arial" w:hAnsi="Arial"/>
          <w:sz w:val="16"/>
          <w:szCs w:val="16"/>
          <w:color w:val="auto"/>
        </w:rPr>
        <w:t>The critical parts of an engineered Synthetic Biotic medicine include (1) the “chassis,” or non-pathogenic bacterium, (2) the effector module, which is a gene or pathway encoding the core biological activity that provides the therapeutic function, and (3) tunable switches to precisely determine the circumstances under which the effector module will be active, as well as the potency, performance and output of the effectors themselves.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112395</wp:posOffset>
            </wp:positionV>
            <wp:extent cx="5092065" cy="3077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92065" cy="307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hanging="368"/>
        <w:spacing w:after="0" w:line="272" w:lineRule="auto"/>
        <w:tabs>
          <w:tab w:leader="none" w:pos="7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The Chassis</w:t>
      </w:r>
      <w:r>
        <w:rPr>
          <w:rFonts w:ascii="Arial" w:cs="Arial" w:eastAsia="Arial" w:hAnsi="Arial"/>
          <w:sz w:val="17"/>
          <w:szCs w:val="17"/>
          <w:color w:val="auto"/>
        </w:rPr>
        <w:t>: Our Synthetic Biotic platform starts with a well-characterized probiotic to serve as the chassis upon which we build our living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medicines. Our initial programs use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which is one of many non-pathogenic probiotics isolated from the human microbiota.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is non-colonizing and has been used as a probiotic bacterial supplement for many years to promote gut health. Clinical studies have demonstrated that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is rapidly cleared from most individuals with no significant safety issues (Clin. Transl. Sci. (2017) 00, 1—8). We also observed similar rates of clearance from subjects in our recent Phase 1 clinical trial of SYNB1020 in healthy volunteers (Sci. Transl. Med. 2019: Vol. 11, Issue 475, eaau7975). We believe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s widespread use as a probiotic is evidence of its utility as a safe background chassis to apply synthetic biology to confer a therapeutic benefit. There are a number of additional features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organism that makes it an attractive chassis for our platform:</w:t>
      </w:r>
    </w:p>
    <w:p>
      <w:pPr>
        <w:spacing w:after="0" w:line="189" w:lineRule="exact"/>
        <w:rPr>
          <w:rFonts w:ascii="Arial" w:cs="Arial" w:eastAsia="Arial" w:hAnsi="Arial"/>
          <w:sz w:val="17"/>
          <w:szCs w:val="17"/>
          <w:b w:val="1"/>
          <w:bCs w:val="1"/>
          <w:color w:val="auto"/>
        </w:rPr>
      </w:pPr>
    </w:p>
    <w:p>
      <w:pPr>
        <w:ind w:left="1620" w:right="540" w:hanging="492"/>
        <w:spacing w:after="0" w:line="308" w:lineRule="auto"/>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 coli </w:t>
      </w:r>
      <w:r>
        <w:rPr>
          <w:rFonts w:ascii="Arial" w:cs="Arial" w:eastAsia="Arial" w:hAnsi="Arial"/>
          <w:sz w:val="17"/>
          <w:szCs w:val="17"/>
          <w:color w:val="auto"/>
        </w:rPr>
        <w:t>Nissle’s genetic and metabolic machinery are well understood and provide a robust cellular context into which genetic</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can be introduced with high efficiency and little or no damage to the fitness of the bacterium.</w:t>
      </w:r>
    </w:p>
    <w:p>
      <w:pPr>
        <w:spacing w:after="0" w:line="51" w:lineRule="exact"/>
        <w:rPr>
          <w:rFonts w:ascii="Arial" w:cs="Arial" w:eastAsia="Arial" w:hAnsi="Arial"/>
          <w:sz w:val="17"/>
          <w:szCs w:val="17"/>
          <w:color w:val="auto"/>
        </w:rPr>
      </w:pPr>
    </w:p>
    <w:p>
      <w:pPr>
        <w:ind w:left="1620" w:right="80" w:hanging="492"/>
        <w:spacing w:after="0" w:line="308" w:lineRule="auto"/>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The advanced nature of the synthetic biology toolkit available for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enables rapid iterative design, assembly, and testing of prototype product candidates and remains unique among other bacterial and cellular engineering approaches.</w:t>
      </w:r>
    </w:p>
    <w:p>
      <w:pPr>
        <w:spacing w:after="0" w:line="51" w:lineRule="exact"/>
        <w:rPr>
          <w:rFonts w:ascii="Arial" w:cs="Arial" w:eastAsia="Arial" w:hAnsi="Arial"/>
          <w:sz w:val="17"/>
          <w:szCs w:val="17"/>
          <w:color w:val="auto"/>
        </w:rPr>
      </w:pPr>
    </w:p>
    <w:p>
      <w:pPr>
        <w:ind w:left="1620" w:hanging="492"/>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 coli </w:t>
      </w:r>
      <w:r>
        <w:rPr>
          <w:rFonts w:ascii="Arial" w:cs="Arial" w:eastAsia="Arial" w:hAnsi="Arial"/>
          <w:sz w:val="18"/>
          <w:szCs w:val="18"/>
          <w:color w:val="auto"/>
        </w:rPr>
        <w:t>Nissle is relatively easy to manufacture at large scale compared to other bacteria.</w:t>
      </w:r>
    </w:p>
    <w:p>
      <w:pPr>
        <w:spacing w:after="0" w:line="130" w:lineRule="exact"/>
        <w:rPr>
          <w:rFonts w:ascii="Arial" w:cs="Arial" w:eastAsia="Arial" w:hAnsi="Arial"/>
          <w:sz w:val="18"/>
          <w:szCs w:val="18"/>
          <w:color w:val="auto"/>
        </w:rPr>
      </w:pPr>
    </w:p>
    <w:p>
      <w:pPr>
        <w:ind w:left="1620" w:hanging="492"/>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As a Gram-negative bacterium, with a protective outer wall, </w:t>
      </w:r>
      <w:r>
        <w:rPr>
          <w:rFonts w:ascii="Arial" w:cs="Arial" w:eastAsia="Arial" w:hAnsi="Arial"/>
          <w:sz w:val="18"/>
          <w:szCs w:val="18"/>
          <w:i w:val="1"/>
          <w:iCs w:val="1"/>
          <w:color w:val="auto"/>
        </w:rPr>
        <w:t>E.coli</w:t>
      </w:r>
      <w:r>
        <w:rPr>
          <w:rFonts w:ascii="Arial" w:cs="Arial" w:eastAsia="Arial" w:hAnsi="Arial"/>
          <w:sz w:val="18"/>
          <w:szCs w:val="18"/>
          <w:color w:val="auto"/>
        </w:rPr>
        <w:t xml:space="preserve"> Nissle survives well in the human GI tract.</w:t>
      </w:r>
    </w:p>
    <w:p>
      <w:pPr>
        <w:spacing w:after="0" w:line="153" w:lineRule="exact"/>
        <w:rPr>
          <w:rFonts w:ascii="Arial" w:cs="Arial" w:eastAsia="Arial" w:hAnsi="Arial"/>
          <w:sz w:val="18"/>
          <w:szCs w:val="18"/>
          <w:color w:val="auto"/>
        </w:rPr>
      </w:pPr>
    </w:p>
    <w:p>
      <w:pPr>
        <w:ind w:left="740" w:right="40" w:hanging="368"/>
        <w:spacing w:after="0" w:line="273" w:lineRule="auto"/>
        <w:tabs>
          <w:tab w:leader="none" w:pos="7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The Effector Module or Circuit: </w:t>
      </w:r>
      <w:r>
        <w:rPr>
          <w:rFonts w:ascii="Arial" w:cs="Arial" w:eastAsia="Arial" w:hAnsi="Arial"/>
          <w:sz w:val="17"/>
          <w:szCs w:val="17"/>
          <w:color w:val="auto"/>
        </w:rPr>
        <w:t>Synthetic Biotics have the advantage that they can be designed with multiple pathway components.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engineered integration systems to direct stable insertion of multiple genetic circuits and pathways into optimal chromosomal locations, or “landing pads,” of </w:t>
      </w:r>
      <w:r>
        <w:rPr>
          <w:rFonts w:ascii="Arial" w:cs="Arial" w:eastAsia="Arial" w:hAnsi="Arial"/>
          <w:sz w:val="17"/>
          <w:szCs w:val="17"/>
          <w:i w:val="1"/>
          <w:iCs w:val="1"/>
          <w:color w:val="auto"/>
        </w:rPr>
        <w:t>E.coli</w:t>
      </w:r>
      <w:r>
        <w:rPr>
          <w:rFonts w:ascii="Arial" w:cs="Arial" w:eastAsia="Arial" w:hAnsi="Arial"/>
          <w:sz w:val="17"/>
          <w:szCs w:val="17"/>
          <w:color w:val="auto"/>
        </w:rPr>
        <w:t xml:space="preserve"> Nissle. This enables efficient and stable expression of multiple genes encoding enzymes and other proteins. These activities may be further improved for therapeutic effect when combined or when under the control of tunable switches that determine when the mechanisms should be activated. Our approach allows us to engineer two types of mechanistic activities into our Synthetic Biotics: 1) we can engineer Synthetic Biotics capable of metabolic transformations that can substitute or compensate for missing or defective pathways in a patient, and 2) we can engineer Synthetic Biotics to produce therapeutically beneficial molecules.</w:t>
      </w: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1" w:name="page12"/>
    <w:bookmarkEnd w:id="11"/>
    <w:p>
      <w:pPr>
        <w:ind w:left="760" w:right="80"/>
        <w:spacing w:after="0" w:line="296" w:lineRule="auto"/>
        <w:rPr>
          <w:sz w:val="20"/>
          <w:szCs w:val="20"/>
          <w:color w:val="auto"/>
        </w:rPr>
      </w:pPr>
      <w:r>
        <w:rPr>
          <w:rFonts w:ascii="Arial" w:cs="Arial" w:eastAsia="Arial" w:hAnsi="Arial"/>
          <w:sz w:val="16"/>
          <w:szCs w:val="16"/>
          <w:color w:val="auto"/>
        </w:rPr>
        <w:t xml:space="preserve">The enzymatic pathways needed to produce or consume molecules are protected from the harsh GI environment by their location within the cell cytoplasm of </w:t>
      </w:r>
      <w:r>
        <w:rPr>
          <w:rFonts w:ascii="Arial" w:cs="Arial" w:eastAsia="Arial" w:hAnsi="Arial"/>
          <w:sz w:val="16"/>
          <w:szCs w:val="16"/>
          <w:i w:val="1"/>
          <w:iCs w:val="1"/>
          <w:color w:val="auto"/>
        </w:rPr>
        <w:t>E. coli</w:t>
      </w:r>
      <w:r>
        <w:rPr>
          <w:rFonts w:ascii="Arial" w:cs="Arial" w:eastAsia="Arial" w:hAnsi="Arial"/>
          <w:sz w:val="16"/>
          <w:szCs w:val="16"/>
          <w:color w:val="auto"/>
        </w:rPr>
        <w:t xml:space="preserve"> Nissle, allowing them the potential to function throughout the GI tract. We have leveraged proprietary tools, know-how and intellectual property to build multiple Synthetic Biotics that produce therapeutically relevant effects in pre-clinical experiments. Progression of these product candidates in diseases with high unmet need is based on prioritizing those with feasible drug development paths in terms of availability of informative animal models and existence of biomarkers to guide efficient clinical development.</w:t>
      </w:r>
    </w:p>
    <w:p>
      <w:pPr>
        <w:spacing w:after="0" w:line="63" w:lineRule="exact"/>
        <w:rPr>
          <w:sz w:val="20"/>
          <w:szCs w:val="20"/>
          <w:color w:val="auto"/>
        </w:rPr>
      </w:pPr>
    </w:p>
    <w:p>
      <w:pPr>
        <w:ind w:left="740" w:hanging="368"/>
        <w:spacing w:after="0" w:line="274" w:lineRule="auto"/>
        <w:tabs>
          <w:tab w:leader="none" w:pos="7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Tunable Switches: </w:t>
      </w:r>
      <w:r>
        <w:rPr>
          <w:rFonts w:ascii="Arial" w:cs="Arial" w:eastAsia="Arial" w:hAnsi="Arial"/>
          <w:sz w:val="17"/>
          <w:szCs w:val="17"/>
          <w:color w:val="auto"/>
        </w:rPr>
        <w:t>We also design and engineer proprietary switches to mediate the activity of the new pathways we introduce into our Synthetic</w:t>
      </w:r>
      <w:r>
        <w:rPr>
          <w:rFonts w:ascii="Arial" w:cs="Arial" w:eastAsia="Arial" w:hAnsi="Arial"/>
          <w:sz w:val="17"/>
          <w:szCs w:val="17"/>
          <w:b w:val="1"/>
          <w:bCs w:val="1"/>
          <w:color w:val="auto"/>
        </w:rPr>
        <w:t xml:space="preserve"> </w:t>
      </w:r>
      <w:r>
        <w:rPr>
          <w:rFonts w:ascii="Arial" w:cs="Arial" w:eastAsia="Arial" w:hAnsi="Arial"/>
          <w:sz w:val="17"/>
          <w:szCs w:val="17"/>
          <w:color w:val="auto"/>
        </w:rPr>
        <w:t>Biotics, with the goal of controlling the engineered circuit or its therapeutic output. To optimize the fitness of a Synthetic Biotic, it is critical that the effector is activated only at the appropriate time and place. The switches are based on engineering DNA elements called “inducible promoters” that are designed to respond to disease states, specific environmental signals, or exogenously added inducing molecules. Our goal is to design and develop Synthetic Biotics programmed with switches to produce therapeutic effects at precisely the right time and location such as the anaerobic environment of the gut, or in the context of local inflammation or other pathogenic factors.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Synthetic Biotic Biotherapeutics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Synthetic Biotics will provide safe and effective therapies given the following attributes:</w:t>
      </w:r>
    </w:p>
    <w:p>
      <w:pPr>
        <w:spacing w:after="0" w:line="262" w:lineRule="exact"/>
        <w:rPr>
          <w:sz w:val="20"/>
          <w:szCs w:val="20"/>
          <w:color w:val="auto"/>
        </w:rPr>
      </w:pPr>
    </w:p>
    <w:p>
      <w:pPr>
        <w:ind w:left="1120" w:hanging="370"/>
        <w:spacing w:after="0"/>
        <w:tabs>
          <w:tab w:leader="none" w:pos="11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Synthetic Biotics Have Potential to Address Unmet Needs Not Possible with Other Modalities</w:t>
      </w:r>
    </w:p>
    <w:p>
      <w:pPr>
        <w:spacing w:after="0" w:line="148" w:lineRule="exact"/>
        <w:rPr>
          <w:rFonts w:ascii="Arial" w:cs="Arial" w:eastAsia="Arial" w:hAnsi="Arial"/>
          <w:sz w:val="18"/>
          <w:szCs w:val="18"/>
          <w:b w:val="1"/>
          <w:bCs w:val="1"/>
          <w:color w:val="auto"/>
        </w:rPr>
      </w:pPr>
    </w:p>
    <w:p>
      <w:pPr>
        <w:ind w:left="1140" w:right="20"/>
        <w:spacing w:after="0" w:line="291"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Consuming Toxins:</w:t>
      </w:r>
      <w:r>
        <w:rPr>
          <w:rFonts w:ascii="Arial" w:cs="Arial" w:eastAsia="Arial" w:hAnsi="Arial"/>
          <w:sz w:val="16"/>
          <w:szCs w:val="16"/>
          <w:color w:val="auto"/>
        </w:rPr>
        <w:t xml:space="preserve"> Unlike other therapeutic approaches, Synthetic Biotics can be programmed with a unique mechanistic activity. In our initial internal metabolic programs, we are engineering Synthetic Biotics with entire pathways designed to degrade or “consume” toxic metabolites. We believe using a consumption pathway is advantageous compared to gene, RNA or enzyme replacement therapies that are limited to targeting a single gene or protein defect and may require several unique drug products to address genetically heterogeneous patient populations. Compensating with an entire pathway delivered in bacteria Synthetic Biotics may provide a safe, therapeutic solution to broader disease populations as a single engineered therapeutic. For example, SYNB8802, is designed to consume oxalate and the experience and lessons learned from this program are being applied to additional preclinical programs.</w:t>
      </w:r>
    </w:p>
    <w:p>
      <w:pPr>
        <w:spacing w:after="0" w:line="179" w:lineRule="exact"/>
        <w:rPr>
          <w:rFonts w:ascii="Arial" w:cs="Arial" w:eastAsia="Arial" w:hAnsi="Arial"/>
          <w:sz w:val="18"/>
          <w:szCs w:val="18"/>
          <w:b w:val="1"/>
          <w:bCs w:val="1"/>
          <w:color w:val="auto"/>
        </w:rPr>
      </w:pPr>
    </w:p>
    <w:p>
      <w:pPr>
        <w:ind w:left="1140" w:right="1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Production of Therapeutic Molecules:</w:t>
      </w:r>
      <w:r>
        <w:rPr>
          <w:rFonts w:ascii="Arial" w:cs="Arial" w:eastAsia="Arial" w:hAnsi="Arial"/>
          <w:sz w:val="18"/>
          <w:szCs w:val="18"/>
          <w:color w:val="auto"/>
        </w:rPr>
        <w:t xml:space="preserve"> Synthetic Biotics can also be programmed to produce beneficial molecules, such as the PAL enzyme in the case of our PKU drug candidates, SYNB1618 and SYNB1934.</w:t>
      </w:r>
    </w:p>
    <w:p>
      <w:pPr>
        <w:spacing w:after="0" w:line="183" w:lineRule="exact"/>
        <w:rPr>
          <w:rFonts w:ascii="Arial" w:cs="Arial" w:eastAsia="Arial" w:hAnsi="Arial"/>
          <w:sz w:val="18"/>
          <w:szCs w:val="18"/>
          <w:b w:val="1"/>
          <w:bCs w:val="1"/>
          <w:color w:val="auto"/>
        </w:rPr>
      </w:pPr>
    </w:p>
    <w:p>
      <w:pPr>
        <w:ind w:left="1140" w:right="240"/>
        <w:spacing w:after="0" w:line="263"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Combinations of Mechanisms:</w:t>
      </w:r>
      <w:r>
        <w:rPr>
          <w:rFonts w:ascii="Arial" w:cs="Arial" w:eastAsia="Arial" w:hAnsi="Arial"/>
          <w:sz w:val="18"/>
          <w:szCs w:val="18"/>
          <w:color w:val="auto"/>
        </w:rPr>
        <w:t xml:space="preserve"> By incorporating multiple effectors or enzymes into a single strain, Synthetic Biotics have the potential to more effectively address multifactorial disease biology. For example, Synthetic Biotics can be engineered with multiple enzymes which consume toxic metabolites more effectively than a single effector could otherwise provide.</w:t>
      </w:r>
    </w:p>
    <w:p>
      <w:pPr>
        <w:spacing w:after="0" w:line="328" w:lineRule="exact"/>
        <w:rPr>
          <w:rFonts w:ascii="Arial" w:cs="Arial" w:eastAsia="Arial" w:hAnsi="Arial"/>
          <w:sz w:val="18"/>
          <w:szCs w:val="18"/>
          <w:b w:val="1"/>
          <w:bCs w:val="1"/>
          <w:color w:val="auto"/>
        </w:rPr>
      </w:pPr>
    </w:p>
    <w:p>
      <w:pPr>
        <w:ind w:left="1120" w:hanging="370"/>
        <w:spacing w:after="0"/>
        <w:tabs>
          <w:tab w:leader="none" w:pos="11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Synthetic Biotics Have Potential to Reduce Safety Risks by Providing Local Therapeutic Delivery</w:t>
      </w:r>
    </w:p>
    <w:p>
      <w:pPr>
        <w:spacing w:after="0" w:line="148" w:lineRule="exact"/>
        <w:rPr>
          <w:rFonts w:ascii="Arial" w:cs="Arial" w:eastAsia="Arial" w:hAnsi="Arial"/>
          <w:sz w:val="18"/>
          <w:szCs w:val="18"/>
          <w:b w:val="1"/>
          <w:bCs w:val="1"/>
          <w:color w:val="auto"/>
        </w:rPr>
      </w:pPr>
    </w:p>
    <w:p>
      <w:pPr>
        <w:ind w:left="1140" w:right="4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believe that when delivered locally, Synthetic Biotics have the potential to avoid the risks often associated with systemic therapies, especially when combinations of systemic therapies are required. Our Synthetic Biotic drug candidates are orally administered, and act locally while transiting through the gut and, consequently, decrease toxic metabolite levels in the blood, thereby providing a systemic therapeutic benefit to the patient. Given the potential for chronic oral dosing, Synthetic Biotics may have benefits in terms of dose prediction and reversibility of activity.</w:t>
      </w:r>
    </w:p>
    <w:p>
      <w:pPr>
        <w:spacing w:after="0" w:line="332" w:lineRule="exact"/>
        <w:rPr>
          <w:rFonts w:ascii="Arial" w:cs="Arial" w:eastAsia="Arial" w:hAnsi="Arial"/>
          <w:sz w:val="18"/>
          <w:szCs w:val="18"/>
          <w:b w:val="1"/>
          <w:bCs w:val="1"/>
          <w:color w:val="auto"/>
        </w:rPr>
      </w:pPr>
    </w:p>
    <w:p>
      <w:pPr>
        <w:ind w:left="1120" w:hanging="370"/>
        <w:spacing w:after="0"/>
        <w:tabs>
          <w:tab w:leader="none" w:pos="11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Synthetic Biotic Approach is a Favorable Engine for Pharmacology</w:t>
      </w:r>
    </w:p>
    <w:p>
      <w:pPr>
        <w:spacing w:after="0" w:line="148" w:lineRule="exact"/>
        <w:rPr>
          <w:rFonts w:ascii="Arial" w:cs="Arial" w:eastAsia="Arial" w:hAnsi="Arial"/>
          <w:sz w:val="18"/>
          <w:szCs w:val="18"/>
          <w:b w:val="1"/>
          <w:bCs w:val="1"/>
          <w:color w:val="auto"/>
        </w:rPr>
      </w:pPr>
    </w:p>
    <w:p>
      <w:pPr>
        <w:ind w:left="114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Features of our Synthetic Biotic product engine enable a highly efficient drug discovery and development process and have the potential to advance product candidates more rapidly and efficiently than is typically possible. We have demonstrated the ability to move a program from concept to clinical development within a year. Reasons for this include:</w:t>
      </w:r>
    </w:p>
    <w:p>
      <w:pPr>
        <w:spacing w:after="0" w:line="76" w:lineRule="exact"/>
        <w:rPr>
          <w:sz w:val="20"/>
          <w:szCs w:val="20"/>
          <w:color w:val="auto"/>
        </w:rPr>
      </w:pPr>
    </w:p>
    <w:p>
      <w:pPr>
        <w:ind w:left="2240" w:right="120" w:hanging="504"/>
        <w:spacing w:after="0" w:line="289" w:lineRule="auto"/>
        <w:tabs>
          <w:tab w:leader="none" w:pos="2240" w:val="left"/>
        </w:tabs>
        <w:numPr>
          <w:ilvl w:val="0"/>
          <w:numId w:val="10"/>
        </w:numPr>
        <w:rPr>
          <w:rFonts w:ascii="Courier New" w:cs="Courier New" w:eastAsia="Courier New" w:hAnsi="Courier New"/>
          <w:sz w:val="16"/>
          <w:szCs w:val="16"/>
          <w:color w:val="auto"/>
        </w:rPr>
      </w:pPr>
      <w:r>
        <w:rPr>
          <w:rFonts w:ascii="Arial" w:cs="Arial" w:eastAsia="Arial" w:hAnsi="Arial"/>
          <w:sz w:val="16"/>
          <w:szCs w:val="16"/>
          <w:color w:val="auto"/>
        </w:rPr>
        <w:t>E. coli Nissle Used as Chassis Across Programs. Because our lead programs are based on E. coli Nissle, experience can be leveraged broadly across the portfolio, further optimizing the efficiency and reproducibility of discovery, development and manufacturing efforts. Next, the non-colonizing nature of E. coli Nissle can be combined with engineering approaches to optimize safety in terms of impact on the patient and the environment. E. coli Nissle can be engineered to require a specific exogenous nutrient supplement for growth, which limits the ability to replicate in the human body and environment. By controlling replication, we can control the number of cells being administered to a patient, which limits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left="2240" w:right="280"/>
        <w:spacing w:after="0" w:line="263" w:lineRule="auto"/>
        <w:rPr>
          <w:sz w:val="20"/>
          <w:szCs w:val="20"/>
          <w:color w:val="auto"/>
        </w:rPr>
      </w:pPr>
      <w:r>
        <w:rPr>
          <w:rFonts w:ascii="Arial" w:cs="Arial" w:eastAsia="Arial" w:hAnsi="Arial"/>
          <w:sz w:val="18"/>
          <w:szCs w:val="18"/>
          <w:color w:val="auto"/>
        </w:rPr>
        <w:t>patient-to-patient variability. Also, dependence on an essential nutritional supplement not available in the environment reduces biocontainment risk. Moreover, the risk of a Synthetic Biotic to the environment is further limited given that it is disadvantaged in terms of fitness due to its modifications.</w:t>
      </w:r>
    </w:p>
    <w:p>
      <w:pPr>
        <w:spacing w:after="0" w:line="89" w:lineRule="exact"/>
        <w:rPr>
          <w:sz w:val="20"/>
          <w:szCs w:val="20"/>
          <w:color w:val="auto"/>
        </w:rPr>
      </w:pPr>
    </w:p>
    <w:p>
      <w:pPr>
        <w:ind w:left="2180" w:right="60" w:hanging="498"/>
        <w:spacing w:after="0" w:line="252" w:lineRule="auto"/>
        <w:tabs>
          <w:tab w:leader="none" w:pos="21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Predictive Pharmacology and Biomarkers. Synthetic Biotic programs are designed to achieve a target activity and support an iterative design-build-test cycle to improve performance for achieving this target. For example, Synthetic Biotic programs can be optimized by including multiple copies or regulated control of certain genes, by adding transporters for particular substrates or by optimizing enzymes for basic bacterial metabolism. These tools enable rational and iterative engineering cycles in the discovery phase.</w:t>
      </w:r>
    </w:p>
    <w:p>
      <w:pPr>
        <w:spacing w:after="0" w:line="206" w:lineRule="exact"/>
        <w:rPr>
          <w:rFonts w:ascii="Courier New" w:cs="Courier New" w:eastAsia="Courier New" w:hAnsi="Courier New"/>
          <w:sz w:val="18"/>
          <w:szCs w:val="18"/>
          <w:color w:val="auto"/>
        </w:rPr>
      </w:pPr>
    </w:p>
    <w:p>
      <w:pPr>
        <w:ind w:left="2180" w:right="80" w:hanging="498"/>
        <w:spacing w:after="0" w:line="252" w:lineRule="auto"/>
        <w:tabs>
          <w:tab w:leader="none" w:pos="218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color w:val="auto"/>
        </w:rPr>
        <w:t>Biomarkers as indicators of mechanistic and clinical activity may also be engineered into Synthetic Biotics from the beginning to drive optimization and decision-making. By assessing the activities of our Synthetic Biotic programs in in vitro and in vivo preclinical models, we can model activity in humans. As we progress through clinical studies, we expect our predictive pharmacology models will be further refined to inform dosing and development decisions for our additional programs.</w:t>
      </w:r>
    </w:p>
    <w:p>
      <w:pPr>
        <w:spacing w:after="0" w:line="98" w:lineRule="exact"/>
        <w:rPr>
          <w:rFonts w:ascii="Courier New" w:cs="Courier New" w:eastAsia="Courier New" w:hAnsi="Courier New"/>
          <w:sz w:val="18"/>
          <w:szCs w:val="18"/>
          <w:color w:val="auto"/>
        </w:rPr>
      </w:pPr>
    </w:p>
    <w:p>
      <w:pPr>
        <w:ind w:left="2180" w:right="240" w:hanging="498"/>
        <w:spacing w:after="0" w:line="294" w:lineRule="auto"/>
        <w:tabs>
          <w:tab w:leader="none" w:pos="218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Stability and Manufacturing. Our lead Synthetic Biotic programs have advanced the platform by defining manufacturing processes that can be used for the entire portfolio. Our use of synthetic biology switches permits the precise control of engineered metabolic pathway activation. We use switches to suppress effector activity during manufacturing, enabling development of reproducible processes for generation of biomass and robust, cost-efficient scale up of product candidates.</w:t>
      </w:r>
    </w:p>
    <w:p>
      <w:pPr>
        <w:spacing w:after="0" w:line="174" w:lineRule="exact"/>
        <w:rPr>
          <w:rFonts w:ascii="Courier New" w:cs="Courier New" w:eastAsia="Courier New" w:hAnsi="Courier New"/>
          <w:sz w:val="16"/>
          <w:szCs w:val="16"/>
          <w:color w:val="auto"/>
        </w:rPr>
      </w:pPr>
    </w:p>
    <w:p>
      <w:pPr>
        <w:ind w:left="2180" w:right="20" w:hanging="498"/>
        <w:spacing w:after="0" w:line="270" w:lineRule="auto"/>
        <w:tabs>
          <w:tab w:leader="none" w:pos="218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color w:val="auto"/>
        </w:rPr>
        <w:t>Manufacturing efforts have demonstrated reproducibility, yield and stability during small, medium and Phase 1 clinical-scale campaigns where we have developed and executed processes to manufacture 3,000 to 5,000 doses of active drug. In December 2018, we entered into an agreement to lease current good manufacturing practices (cGMP) clean-room space from the Azzur Group, LLC. The agreement, along with subsequent amendments, has expanded our manufacturing capabilities to enable in-house manufacturing of liquid and solid formulations for late-stage clinical trials.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To accelerate the development and commercialization of Synthetic Biotics to patients, we have formed, and intend to seek, other opportunities to form strategic alliances with collaborators that can expand our pipeline of therapeutic development and product candidates. We also intend to seek additional opportunities to work with multiple academic, research and translational medicine organizations and entities to deepen our understanding and development of living medicines with the potential to treat disease and disorders.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7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June 2021, we entered into a Pilot Collaboration and Option Agreement (the Roche Collaboration and Option Agreement) with F. Hoffmann-La Roche Ltd (Roche Basel) and Hoffmann-La Roche Inc. (Roche US, and together with Roche Basel, Roche). Under the terms of the Roche Collaboration and Option Agreement, we and Roche will seek to collaborate to research and pre-clinically develop Synthetic Biotic medicines for addressing an undisclosed novel target for the treatment of inflammatory bowel disease (the Product Candidate).</w:t>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the Roche Collaboration and Option Agreement, Roche agreed to pay us, an upfront, nonrefundable technology access fee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 million, which we received in July 2021. In addition, we are eligible to receive up to $5.0 million in milestone payments upon the achievement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certain success criteria. Following the research period, Roche holds an exclusive option right (the Option) to negotiate a definitive Collaboration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(CLA) for further development and commercialization of the Product Candidate.</w:t>
      </w:r>
    </w:p>
    <w:p>
      <w:pPr>
        <w:spacing w:after="0" w:line="25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(JRC) to oversee and manage the execution of the underlying study plan for the Roche Collaboration and Option Agreement.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140" w:firstLine="510"/>
        <w:spacing w:after="0" w:line="259" w:lineRule="auto"/>
        <w:rPr>
          <w:sz w:val="20"/>
          <w:szCs w:val="20"/>
          <w:color w:val="auto"/>
        </w:rPr>
      </w:pPr>
      <w:r>
        <w:rPr>
          <w:rFonts w:ascii="Arial" w:cs="Arial" w:eastAsia="Arial" w:hAnsi="Arial"/>
          <w:sz w:val="18"/>
          <w:szCs w:val="18"/>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us. Either party may terminate the Roche Collaboration and Option Agreement in the event of an uncured material breach of the other party.</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perform the research and development under the Roche Collaboration and Option Agreement for</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approximately 12 to 18 months according to three phases of research as defined in the research plan. We are eligible to receive milestone payments from Roche upon the achievement of success criteria for respective milestones.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Bioworks, Inc.</w:t>
      </w:r>
    </w:p>
    <w:p>
      <w:pPr>
        <w:spacing w:after="0" w:line="17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June 2019, we entered into an agreement with Ginkgo. The agreement provided an $80 million equity investment at a premium in Synlogic by Ginkgo and entry into a long-term strategic platform collaboration to expand and accelerate the development of Synlogic’s pipeline of Synthetic Biotics. We are using Ginkgo’s cell programming platform to build and test thousands of microbial strains to accelerate progression of early preclinical leads to drug candidates optimized for further clinical development.</w:t>
      </w:r>
    </w:p>
    <w:p>
      <w:pPr>
        <w:spacing w:after="0" w:line="24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As part of the agreement, Ginkgo purchased 6,340,771 shares of our common stock and accompanying Pre-Funded Warrants (the Pre-Funded Warrants) to purchase up to 2,548,117 shares of our common stock, at a combined price of $9.00 per share and Pre-Funded Warrant. Gross proceeds were approximately $80 million. Under the agreement, we made a prepayment to Ginkgo of $30 million for its foundry services that are being provided to us over an initial term of five years which can be extended. Upon the expiration of such initial term and, if applicable, such additional period, any portion of our prepayment that has not been used to purchase services from Ginkgo will be retained by Ginkgo. We have exclusive rights to any Synthetic Biotics that we develop as part of the collaboration and to intellectual property covering such products.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July 2015, we entered into a license agreement with our subsidiary Synlogic IBDCo, Inc. (IBDCo) and an Agreement and Plan of Merger with AbbVie (together, the AbbVie Agreements) to collaborate on the discovery and development of Synthetic Biotic medicines for the treatment of IBD. In May 2020, we announced the termination of this collaboration with AbbVie.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Future Collaborations</w:t>
      </w:r>
    </w:p>
    <w:p>
      <w:pPr>
        <w:spacing w:after="0" w:line="17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believe strategic alliances can be important drivers for accelerating our goal of developing Synthetic Biotics, and we will continue to seek collaborators who can help fund, develop and commercialize our novel therapeutic development and product candidates, particularly in large metabolic and immunological indications. As the potential application of our Synthetic Biotics platform is extremely broad, we also plan to continue to identify academic, research and translational medicine organizations and entities that can contribute expertise and resources to our programs, to allow us to expand our impact more rapidly to broader patient populations.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Technology Licenses</w:t>
      </w:r>
    </w:p>
    <w:p>
      <w:pPr>
        <w:spacing w:after="0" w:line="135"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certain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synthetic biology. We additionally rely on data exclusivity, market exclusivity, and patent term extensions when available, and plan to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by third parties; to defend and enforce our proprietary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rights, including our patents; and to operate without infringing on the valid and enforceable patents and other proprietary rights of third parties.</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we are well positioned in terms of intellectual property because we:</w:t>
      </w:r>
    </w:p>
    <w:p>
      <w:pPr>
        <w:spacing w:after="0" w:line="131" w:lineRule="exact"/>
        <w:rPr>
          <w:sz w:val="20"/>
          <w:szCs w:val="20"/>
          <w:color w:val="auto"/>
        </w:rPr>
      </w:pPr>
    </w:p>
    <w:p>
      <w:pPr>
        <w:ind w:left="1260" w:right="120" w:hanging="510"/>
        <w:spacing w:after="0" w:line="263"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built and expanded, and intend to continue expansion in, a broad worldwide portfolio of intellectual property, including patents and patent applications, in areas relevant to the development, manufacturing and formulation of human therapeutic products using live biotherapeutics based on synthetic biology; and</w:t>
      </w:r>
    </w:p>
    <w:p>
      <w:pPr>
        <w:spacing w:after="0" w:line="183" w:lineRule="exact"/>
        <w:rPr>
          <w:rFonts w:ascii="Arial" w:cs="Arial" w:eastAsia="Arial" w:hAnsi="Arial"/>
          <w:sz w:val="18"/>
          <w:szCs w:val="18"/>
          <w:color w:val="auto"/>
        </w:rPr>
      </w:pPr>
    </w:p>
    <w:p>
      <w:pPr>
        <w:ind w:left="1260" w:right="220" w:hanging="510"/>
        <w:spacing w:after="0" w:line="263"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intend to take additional steps, where appropriate, to further protect our intellectual property rights, including, for example, through the use of copyright and trademark protection, as well as regulatory protection available via orphan drug designations, data exclusivity, market exclusivity and patent term extensions.</w:t>
      </w:r>
    </w:p>
    <w:p>
      <w:pPr>
        <w:spacing w:after="0" w:line="22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believe our intellectual property portfolio provides broad coverage of our Synthetic Biotic platform and applicable disease-related technologies, which are directed to diseases and conditions associated with hyperphenylalaninemia, other rare metabolic diseases and metabolic disorders, autoimmune and other inflammatory disorders. As of March 10, 2022, we had 171 Synlogic-owned patents and patent applications in U.S. and foreign jurisdictions, of which 31 have been issued or allowed.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Synlogic Intellectual Property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Disease-related applications</w:t>
      </w:r>
    </w:p>
    <w:p>
      <w:pPr>
        <w:spacing w:after="0" w:line="13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The disease-related applications in our intellectual property portfolio relate to certain pathological conditions including, but not limited to, hyperammonemia, hyperphenylalaninemia, certain inherited metabolic diseases and conditions, metabolic disorders, diseases and conditions associated with an inflammatory state, diseases associated with gut inflammation, compromised gut mucosal barrier (leaky gut), and various autoimmune disorders and provide coverage for engineered bacteria having genetic circuitry designed to specifically address those conditions and the associated disease states. The intellectual property portfolio provides coverage for engineered bacterial strain compositions, related formulations, methods of making the bacterial strains, methods of measuring strain activity, and methods for treating diseases. Currently, intellectual property relating to this technology includes pending applications in U.S. and foreign jurisdictions, as well as several issued U.S. patents directed to composition of matter and pharmaceutical composition claims covering our clinical candidates. The patent term for our current patents and patent applications have expiration dates ranging from December 2035 to December 2042, depending on the indication and excluding any patent term adjustments or extensions.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 Applications</w:t>
      </w:r>
    </w:p>
    <w:p>
      <w:pPr>
        <w:spacing w:after="0" w:line="131"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In addition to the disease-related technology, our intellectual property portfolio also includes applications directed to platform technologies developed internally by us. Exemplary platform technologies include bacterial chassis-related and genetic circuitry-related technological developments, including, for example, improvements in inducible gene regulation, control of bacterial cell growth, including autoregulation thereof, and systems for importing metabolites, as well as production of therapeutic effectors. These platform technologies, and our intellectual property coverage thereof, are broadly applicable to our therapeutic Synthetic Biotics.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Considerations</w:t>
      </w:r>
    </w:p>
    <w:p>
      <w:pPr>
        <w:spacing w:after="0" w:line="13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non-provisional filing date. In addition, in certain instances, a patent term can be extended to account for delays in prosecution at the U.S. Patent and Trademark Office (USPTO) and/or to recapture a portion of the term effectively lost as a result of the FDA regulatory review period. For regulatory delays,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non-provisional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22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patent positions of companies like us are generally uncertain and involve complex legal and factual questions. No consistent policy regarding the scope of claims allowable in patents in the field of synthetic biology has emerged in the United States. The patent situation outside of the United States is even more uncertain. With respect to both licensed and company-owned intellectual property, we cannot be sure that patents will be granted with respect to any of our pending patent applications or with respect to any patent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 w:name="page16"/>
    <w:bookmarkEnd w:id="15"/>
    <w:p>
      <w:pPr>
        <w:ind w:right="300"/>
        <w:spacing w:after="0" w:line="263" w:lineRule="auto"/>
        <w:rPr>
          <w:sz w:val="20"/>
          <w:szCs w:val="20"/>
          <w:color w:val="auto"/>
        </w:rPr>
      </w:pPr>
      <w:r>
        <w:rPr>
          <w:rFonts w:ascii="Arial" w:cs="Arial" w:eastAsia="Arial" w:hAnsi="Arial"/>
          <w:sz w:val="18"/>
          <w:szCs w:val="18"/>
          <w:color w:val="auto"/>
        </w:rPr>
        <w:t>applications filed by us in the future, nor can we be sure that any of our existing patents or any patents that may be granted to us the future will be commercially useful in protecting our products and the methods used to manufacture those products. For additional risks, please see the section entitled “Risk Factors—Risks Related to Intellectual Property.”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registered trademark portfolio currently contains 23 registered trademarks, 7 published, and 14 pending applications.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Generally, we seek to protect our technology and product candidates, in part, by entering into confidentiality agreements with those who have access to our confidential information, including employees, contractors, consultants, collaborators, and advisors. In some circumstances, we may rely on trade secrets to protect our technology. We seek to preserve the integrity and confidentiality of our proprietary technology, trade secrets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company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entitled “Risk Factors—Risks Related to Intellectual Property.”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13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testing, manufacture, quality control, approval, labeling, packaging, storage, record keeping, promotion, advertising, distribution, marketing and export and import of products such as those we are developing. A new drug must be approved by the FDA through the New Drug Application (NDA) process and a new biologic must be approved by the FDA through the Biologics License Application (BLA), process before such products may be legally marketed in the United States.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the United States, the FDA regulates drugs and biologics under the Federal Food, Drug, and Cosmetic Act (FDCA) and in the case of biologics, also under the Public Health Service Act (PHSA) and implementing regulations. Our product candidates will be regulated by the FDA as biologics. The process of obtaining regulatory approvals and the subsequent compliance with applicable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license revocation,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biologic may be marketed in the United States generally involves the following:</w:t>
      </w:r>
    </w:p>
    <w:p>
      <w:pPr>
        <w:spacing w:after="0" w:line="194" w:lineRule="exact"/>
        <w:rPr>
          <w:sz w:val="20"/>
          <w:szCs w:val="20"/>
          <w:color w:val="auto"/>
        </w:rPr>
      </w:pPr>
    </w:p>
    <w:p>
      <w:pPr>
        <w:ind w:left="1620" w:right="480" w:hanging="492"/>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required preclinical laboratory tests, animal studies and formulation studies performed in accordance with Good Laboratory Practice (GLP) and other applicable regulations;</w:t>
      </w:r>
    </w:p>
    <w:p>
      <w:pPr>
        <w:spacing w:after="0" w:line="75" w:lineRule="exact"/>
        <w:rPr>
          <w:rFonts w:ascii="Arial" w:cs="Arial" w:eastAsia="Arial" w:hAnsi="Arial"/>
          <w:sz w:val="18"/>
          <w:szCs w:val="18"/>
          <w:color w:val="auto"/>
        </w:rPr>
      </w:pPr>
    </w:p>
    <w:p>
      <w:pPr>
        <w:ind w:left="1620" w:right="800" w:hanging="492"/>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shipment of investigational product for human clinical trials may begin;</w:t>
      </w:r>
    </w:p>
    <w:p>
      <w:pPr>
        <w:spacing w:after="0" w:line="75" w:lineRule="exact"/>
        <w:rPr>
          <w:rFonts w:ascii="Arial" w:cs="Arial" w:eastAsia="Arial" w:hAnsi="Arial"/>
          <w:sz w:val="18"/>
          <w:szCs w:val="18"/>
          <w:color w:val="auto"/>
        </w:rPr>
      </w:pPr>
    </w:p>
    <w:p>
      <w:pPr>
        <w:ind w:left="1620" w:right="240" w:hanging="492"/>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trial site before each clinical trial may be initiated;</w:t>
      </w:r>
    </w:p>
    <w:p>
      <w:pPr>
        <w:spacing w:after="0" w:line="170" w:lineRule="exact"/>
        <w:rPr>
          <w:rFonts w:ascii="Arial" w:cs="Arial" w:eastAsia="Arial" w:hAnsi="Arial"/>
          <w:sz w:val="18"/>
          <w:szCs w:val="18"/>
          <w:color w:val="auto"/>
        </w:rPr>
      </w:pPr>
    </w:p>
    <w:p>
      <w:pPr>
        <w:jc w:val="both"/>
        <w:ind w:left="1620" w:right="160" w:hanging="492"/>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performed in accordance with applicable IND regulations, Good Clinical Practice (GCP), and other clinical-trial related regulations to evaluate the safety and efficacy of the investigational product for each proposed indication;</w:t>
      </w:r>
    </w:p>
    <w:p>
      <w:pPr>
        <w:spacing w:after="0" w:line="89" w:lineRule="exact"/>
        <w:rPr>
          <w:rFonts w:ascii="Arial" w:cs="Arial" w:eastAsia="Arial" w:hAnsi="Arial"/>
          <w:sz w:val="18"/>
          <w:szCs w:val="18"/>
          <w:color w:val="auto"/>
        </w:rPr>
      </w:pPr>
    </w:p>
    <w:p>
      <w:pPr>
        <w:ind w:left="1620" w:right="160" w:hanging="492"/>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and approval of a companion diagnostic device, if the FDA or the sponsor believes that its use is essential for the safe and effective use of a corresponding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6" w:name="page17"/>
    <w:bookmarkEnd w:id="16"/>
    <w:p>
      <w:pPr>
        <w:ind w:left="1620" w:hanging="49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including payment of application user fees;</w:t>
      </w:r>
    </w:p>
    <w:p>
      <w:pPr>
        <w:spacing w:after="0" w:line="130" w:lineRule="exact"/>
        <w:rPr>
          <w:rFonts w:ascii="Arial" w:cs="Arial" w:eastAsia="Arial" w:hAnsi="Arial"/>
          <w:sz w:val="18"/>
          <w:szCs w:val="18"/>
          <w:color w:val="auto"/>
        </w:rPr>
      </w:pPr>
    </w:p>
    <w:p>
      <w:pPr>
        <w:ind w:left="1620" w:right="260" w:hanging="492"/>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biologic is produced to assess compliance with current Good Manufacturing Practice (cGMP) regulations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620" w:right="580" w:hanging="492"/>
        <w:spacing w:after="0" w:line="277"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FDA audit of the clinical trial sites to assure compliance with GCP and the integrity of the clinical data submitted in support of the BLA; and</w:t>
      </w:r>
    </w:p>
    <w:p>
      <w:pPr>
        <w:spacing w:after="0" w:line="75" w:lineRule="exact"/>
        <w:rPr>
          <w:rFonts w:ascii="Arial" w:cs="Arial" w:eastAsia="Arial" w:hAnsi="Arial"/>
          <w:sz w:val="18"/>
          <w:szCs w:val="18"/>
          <w:color w:val="auto"/>
        </w:rPr>
      </w:pPr>
    </w:p>
    <w:p>
      <w:pPr>
        <w:ind w:left="1620" w:right="500" w:hanging="492"/>
        <w:spacing w:after="0" w:line="342" w:lineRule="auto"/>
        <w:tabs>
          <w:tab w:leader="none" w:pos="1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FDA review and approval of the BLA, including satisfactory completion of an FDA advisory committee review of the product candidate, where appropriate or if applicable, prior to any commercial marketing or sale of the product in the United States.</w:t>
      </w:r>
    </w:p>
    <w:p>
      <w:pPr>
        <w:spacing w:after="0" w:line="17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Once a pharmaceutical candidate is identified for development, it enters the preclinical testing stage. Preclinical tests include laboratory evaluations of product chemistry and formulation, animal toxicity and pharmacology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22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An IND sponsor must submit the results of the preclinical tests, together with manufacturing information and analytical data, to the FDA as part of the IND. In June 2016, the FDA issued an updated guidance for the industry entitled “Early Clinical Trials with Live Biotherapeutic Products: Chemistry, Manufacturing and Control Information,” which included recommendations from the FDA regarding the chemistry, manufacturing and control information that should be included in an IND for early clinical trials with live biotherapeutic products. This guidance reflects the FDA’s thinking on the topic at the time the guidance was issued and although it is not binding on the FDA or a sponsor, it provided us with additional information about what should be included in INDs for our Synthetic Biotic product candidates. The sponsor will also include in the IND a protocol detailing, among other things, the objectives of the clinical trial, the parameters to be used in monitoring safety, and the effectiveness criteria to be evaluated, if a first phase study lends itself to an efficacy evaluation. Some long-term preclinical testing, such as animal tests of reproductive adverse events and carcinogenicity, may continue after an IND for an investigational product candidate is submitted to the FDA and human clinical trials have been initiated.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spacing w:after="0" w:line="22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All clinical trials must be conducted under the supervision of one or more qualified investigators, and in accordance with GCP requirements. They must be conducted under protocols detailing the objectives of the trial, dosing procedures, subject selection and exclusion criteria and the safety and effectiveness criteria to be evaluated. Each protocol must be submitted to the FDA as part of the IND,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rules and regulations. Study subjects must sign the IRB-approved informed consent form in order to participate in the clinical trial.</w:t>
      </w:r>
    </w:p>
    <w:p>
      <w:pPr>
        <w:spacing w:after="0" w:line="23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an IRB representing each institution that is participating in the clinical trial must review and approve the plan for any clinical trial before it commences at that institution, and the IRB must conduct a continuing review and reapprove the trial at least annually. The IRB must review and approve, among other things, the trial protocol and informed consent information to be provided to clinical trial subjects. An IRB must operate in compliance with FDA regulations.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300" w:right="160" w:hanging="496"/>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1: The product candidate is initially introduced into healthy human subjects and tested for safety, dosage tolerance, absorption, metabolism, distribution and excretion. In the case of some products for severe or life-threatening diseases, such as cancer, especially when the product candidate may be too inherently toxic to ethically administer to healthy volunteers, the initial human testing is usually conducted in patients.</w:t>
      </w:r>
    </w:p>
    <w:p>
      <w:pPr>
        <w:spacing w:after="0" w:line="92" w:lineRule="exact"/>
        <w:rPr>
          <w:rFonts w:ascii="Arial" w:cs="Arial" w:eastAsia="Arial" w:hAnsi="Arial"/>
          <w:sz w:val="18"/>
          <w:szCs w:val="18"/>
          <w:color w:val="auto"/>
        </w:rPr>
      </w:pPr>
    </w:p>
    <w:p>
      <w:pPr>
        <w:ind w:left="1300" w:right="160" w:hanging="496"/>
        <w:spacing w:after="0" w:line="263"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2: This phase involves clinical trials in a limited patient population to identify possible adverse effects and safety risks, to preliminarily evaluate the efficacy of the product candidate for specific targeted diseases and to determine dosage tolerance and optimal dosage.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 w:name="page18"/>
    <w:bookmarkEnd w:id="17"/>
    <w:p>
      <w:pPr>
        <w:ind w:left="1300" w:hanging="496"/>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Phase 3: Larger clinical trials are undertaken to further evaluate dosage, clinical efficacy and safety in an expanded patient population,</w:t>
      </w:r>
    </w:p>
    <w:p>
      <w:pPr>
        <w:spacing w:after="0" w:line="46" w:lineRule="exact"/>
        <w:rPr>
          <w:rFonts w:ascii="Arial" w:cs="Arial" w:eastAsia="Arial" w:hAnsi="Arial"/>
          <w:sz w:val="16"/>
          <w:szCs w:val="16"/>
          <w:color w:val="auto"/>
        </w:rPr>
      </w:pPr>
    </w:p>
    <w:p>
      <w:pPr>
        <w:ind w:left="1300"/>
        <w:spacing w:after="0" w:line="302" w:lineRule="auto"/>
        <w:rPr>
          <w:rFonts w:ascii="Arial" w:cs="Arial" w:eastAsia="Arial" w:hAnsi="Arial"/>
          <w:sz w:val="16"/>
          <w:szCs w:val="16"/>
          <w:color w:val="auto"/>
        </w:rPr>
      </w:pPr>
      <w:r>
        <w:rPr>
          <w:rFonts w:ascii="Arial" w:cs="Arial" w:eastAsia="Arial" w:hAnsi="Arial"/>
          <w:sz w:val="16"/>
          <w:szCs w:val="16"/>
          <w:color w:val="auto"/>
        </w:rPr>
        <w:t>often at geographically dispersed clinical study sites. These clinical trials are intended to establish the overall risk: benefit ratio of the product candidate and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209"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Post-approval trials, sometimes referred to as Phase 4,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5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cGMP or IRB requirements or if the product candidate has been associated with unexpected serious harm to patients. Additionally,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Phase 1, Phase 2, and Phase 3 clinical testing may not be completed successfully within any specified period, if at all.</w:t>
      </w:r>
    </w:p>
    <w:p>
      <w:pPr>
        <w:spacing w:after="0" w:line="168"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During the development of a new biologic, sponsors have the opportunity to meet with the FDA at certain points. These points may be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with the FDA and to present their plans for the pivotal Phase 3 clinical trial that they believe will support approval of the investigational biologic. If this type of discussion occurs, a sponsor may be able to request a Special Protocol Assessment (SPA), the purpose of which is to reach agreement with the FDA on the design of the Phase 3 clinical trial protocol design and analysis that will form the primary basis of an efficacy claim.</w:t>
      </w:r>
    </w:p>
    <w:p>
      <w:pPr>
        <w:spacing w:after="0" w:line="16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Concurrent with clinical trials, companies usually complete the additional animal studies that may be required for approval and must also develop additional information about the chemistry and physical characteristics of the biologic and finalize a process for manufacturing the product in commercial quantities in accordance with cGMP requirements. The manufacturing process must be capable of consistently producing acceptable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While the IND is active and before approval, progress reports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The annual report is customarily submitted in the form of a Development Safety Update Report (DSUR) which is accepted as being equivalent to an IND Annual Report and also meets requirements of the EU (European Union) and International Conference on Harmonization (ICH).</w:t>
      </w:r>
    </w:p>
    <w:p>
      <w:pPr>
        <w:spacing w:after="0" w:line="24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There are also requirements governing the reporting of ongoing clinical trials and completed trial results to public registries. Sponsors of most clinical trials of FDA-regulated products are required to register and disclose specified clinical trial information, which is publicly available atClinicalTrials.gov. Information related to the product, patient population, phase of investigation, trial sites and investigators and other aspects of the clinical trial is then made public as part of the registration. Sponsors are also obligated to submit the results of their clinical trials after completion, but disclosure of the results can be delayed in some cases for up to two years after the date of completion of the trial. Competitors may use this publicly available information to gain knowledge regarding the progress of development programs.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NIH and FDA recently began enforcing those requirements against non-compliant clinical trial sponsors.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31"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Assuming successful completion of the required clinical testing, the results of the nonclinical studies and clinical trials, along with detailed information relating to the product’s chemistry, manufacturing, and controls, stability, quality control and product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8" w:name="page19"/>
    <w:bookmarkEnd w:id="18"/>
    <w:p>
      <w:pPr>
        <w:spacing w:after="0" w:line="273" w:lineRule="auto"/>
        <w:rPr>
          <w:sz w:val="20"/>
          <w:szCs w:val="20"/>
          <w:color w:val="auto"/>
        </w:rPr>
      </w:pPr>
      <w:r>
        <w:rPr>
          <w:rFonts w:ascii="Arial" w:cs="Arial" w:eastAsia="Arial" w:hAnsi="Arial"/>
          <w:sz w:val="17"/>
          <w:szCs w:val="17"/>
          <w:color w:val="auto"/>
        </w:rPr>
        <w:t>release procedures, proposed labeling, and other relevant information are submitted to the FDA as part of a BLA, requesting approval to market the product for one or more indications. The submission of a BLA is subject to the payment of a significant user fee (for example, for FY2022 this application fee exceeds $3.1 million); although a waiver of such fee may be obtained under certain limited circumstances, including where the biologic has been designated as an orphan drug. The sponsor of an approved BLA is also subject to an annual program fee, currently more than $360,000 per program. These fees are typically increased annually, but exemptions and waivers may be available under certain circumstances (such as a waiver for the first human drug application submitted by a qualifying small business and exemptions for orphan products).</w:t>
      </w:r>
    </w:p>
    <w:p>
      <w:pPr>
        <w:spacing w:after="0" w:line="191"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FDA reviews all BLAs submitted to ensure that they are sufficiently complete for substantive review before it accepts them for filing. The FDA may request additional information rather than accept a BLA for filing. In this event, the BLA must be resubmitted with the additional information. The resubmitted application also is subject to review before the FDA accepts it for filing. Once the submission is accepted for filing, the FDA begins an in-depth substantive review.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and a sponsor’s process to respond to such inquiries. Specifically,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194"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Before approving a BLA, the FDA will typically conduct a pre-approval inspection of the manufacturing facilities for the new product to determine whether the manufacturing processes and facilities comply with cGMPs. The FDA will not approve the product unless it determines that the manufacturing processes and facilities are in compliance with cGMP requirements and adequate to assure consistent production of the product within required specifications. These pre-approval inspections may cover all facilities associated with the BLA submission, including component manufacturing, finished product manufacturing, and control testing laboratories. The FDA also may inspect the sponsor and one or more clinical trial sites to assure compliance with GCP requirements and the integrity of the clinical data submitted to the FDA.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for example, determine the data generated by the clinical site should be excluded from the primary efficacy analyses provided in the BLA.</w:t>
      </w:r>
    </w:p>
    <w:p>
      <w:pPr>
        <w:spacing w:after="0" w:line="180"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FDA may refer any BLA including applications for novel biologic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if so, under what conditions. The FDA is not bound by the recommendation of an advisory committee, but it considers such recommendations when making final decisions on approval.</w:t>
      </w:r>
    </w:p>
    <w:p>
      <w:pPr>
        <w:spacing w:after="0" w:line="19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approval process is lengthy and often difficult, and the FDA may refuse to approve a BLA if the applicable regulatory criteria are not satisfied or may require additional clinical or other data and information. Even if such data and information are submitted, the FDA may ultimately decide that the BLA does not satisfy the criteria for approval. Data obtained from clinical trials are not always conclusive and the FDA may interpret data differently than we interpret the same data. After the FDA evaluates a BLA,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BLA identified by the FDA and may require additional clinical data, such as an additional pivotal Phase 3 trial or other significant and time-consuming requirements related to clinical trials, nonclinical studies or manufacturing. If a CRL is issued, the sponsor must resubmit the BLA, addressing all of the deficiencies identified in the letter, or withdraw the application. Even if such data and information are submitted, the FDA may decide that the BLA does not satisfy the criteria for approval. The FDA reviews a BLA to determine, among other things, whether the product is safe, pure, potent and effective and the facility in which it is manufactured, processed, packed or held meets standards designed to assure the product’s continued identity, strength, quality, potency and purity.</w:t>
      </w:r>
    </w:p>
    <w:p>
      <w:pPr>
        <w:spacing w:after="0" w:line="22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If a product receives regulatory approval, the approval is limited to the conditions of use (e.g., patient population, indication) described in the BLA, which could restrict the commercial value of the product. Further, depending on the specific risk(s) to be addressed, the FDA may require that contraindications, warnings or precautions be included in the product labeling, require a sponsor to conduct Phase 4 testing which involves clinical trials designed to further assess a drug’s safety and effectiveness after BLA approval and may require testing and surveillance programs to monitor the safety of approved products which have been commercialized. The FDA may also place other conditions on approval including the requirement for a REMS, to assure the safe use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60"/>
        <w:spacing w:after="0" w:line="257" w:lineRule="auto"/>
        <w:rPr>
          <w:sz w:val="20"/>
          <w:szCs w:val="20"/>
          <w:color w:val="auto"/>
        </w:rPr>
      </w:pPr>
      <w:r>
        <w:rPr>
          <w:rFonts w:ascii="Arial" w:cs="Arial" w:eastAsia="Arial" w:hAnsi="Arial"/>
          <w:sz w:val="18"/>
          <w:szCs w:val="18"/>
          <w:color w:val="auto"/>
        </w:rPr>
        <w:t>of the drug. If the FDA concludes a REMS is needed, the sponsor of the BLA must submit a proposed REMS. The FDA will not approve the BLA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201"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Under the Pediatric Research Equity Act (PREA), as amended, an initial BLA or certain supplements to a BLA for a novel product must contain data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pediatric data until after approval of the product for use in adults or full or partial waivers from the pediatric data requirement. Unless otherwise required by regulation, PREA does not typically apply to any therapeutic product for an indication for which orphan designation has been granted. The Food and Drug Administration Safety and Innovation Act (FDASIA), enacted in 2012, made permanent the PREA requirement that a sponsor who is planning to submit a marketing application for a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3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Depending upon the timing, duration and specifics of FDA approval of our drugs, some of our U.S. patents may be eligible for limited patent term extension under the Drug Price Competition and Patent Term Restoration Act of 1984 (referred to as the Hatch Waxman Amendments). The Hatch 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BLA, plus the time between the submission date of a BLA and the approval of that application. Only one patent applicable to an approved drug is eligible for the extension, and the extension must be applied for, prior to expiration of the patent. The USPTO, in consultation with the FDA, reviews and approves the application for any patent term extension or restoration. In the future, we intend to apply for restorations of patent term for some of its currently-owned or licensed patents to add patent life beyond their current expiration date, depending on the expected length of clinical trials and other factors involved in the filing of the relevant BLA.</w:t>
      </w:r>
    </w:p>
    <w:p>
      <w:pPr>
        <w:spacing w:after="0" w:line="22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Pediatric exclusivity is a type of non-patent marketing exclusivity available in the United States, and, if granted, it provides for the attachment of an additional six months of marketing protection to the term of any existing regulatory exclusivity or listed patents. This six-month exclusivity may be granted if an NDA sponsor submits clinical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the same biologic. The issuance of a written request does not require the sponsor to undertake the described clinical trials. To date, we have not received or requested any FDA written requests.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Price Competition and Innovation Act of 2009</w:t>
      </w:r>
    </w:p>
    <w:p>
      <w:pPr>
        <w:spacing w:after="0" w:line="13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(collectively, ACA), which included the Biologics Price Competition and Innovation Act (BPCIA), amended the PHSA to create an abbreviated approval pathway for biological products that are biosimilar to or interchangeable with an FDA-licensed reference biological product. A biosimilar product is defined as one that is highly similar to a reference product notwithstanding minor differences in clinically-inactive components and for which there are no clinically meaningful differences between the biological product and the reference product in terms of the safety, purity and potency of the product. An interchangeable product is a biosimilar product that can be expected to produce the same clinical results as the reference product in any given patient and, for products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line="259" w:lineRule="auto"/>
        <w:rPr>
          <w:sz w:val="20"/>
          <w:szCs w:val="20"/>
          <w:color w:val="auto"/>
        </w:rPr>
      </w:pPr>
      <w:r>
        <w:rPr>
          <w:rFonts w:ascii="Arial" w:cs="Arial" w:eastAsia="Arial" w:hAnsi="Arial"/>
          <w:sz w:val="18"/>
          <w:szCs w:val="18"/>
          <w:color w:val="auto"/>
        </w:rPr>
        <w:t>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 Upon licensure by the FDA, an interchangeable biosimilar may be substituted for the reference product without the intervention of the health care provider who prescribed the reference product.</w:t>
      </w:r>
    </w:p>
    <w:p>
      <w:pPr>
        <w:spacing w:after="0" w:line="241"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Under the BPCIA, a manufacturer may submit an abbreviated application for licensure of a biologic that is biosimilar to or interchangeable with an FDA-licensed reference biological product. This abbreviated approval pathway is intended to permit a biosimilar to come to market more quickly and less expensively than if a “full” BLA were submitted, by relying to some extent on the FDA’s previous review and approval of the reference biologic to which the proposed product is similar.</w:t>
      </w:r>
    </w:p>
    <w:p>
      <w:pPr>
        <w:spacing w:after="0" w:line="227"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Under the abbreviated approval pathway, the biosimilar applicant must demonstrate that the product is biosimilar based on data from (1) analytical studies showing that the biosimilar product is highly similar to the reference product; (2) animal studies (including toxicity); and (3) one or more clinical trials to demonstrate safety, purity and potency in one or more appropriate conditions of use for which the reference product is approved. In addition, the applicant must show that the biosimilar and reference products have the same mechanism of action for the conditions of use on the label, route of administration, dosage and strength, and the production facility must meet standards designed to assure product safety, purity and potency.</w:t>
      </w:r>
    </w:p>
    <w:p>
      <w:pPr>
        <w:spacing w:after="0" w:line="215" w:lineRule="exact"/>
        <w:rPr>
          <w:sz w:val="20"/>
          <w:szCs w:val="20"/>
          <w:color w:val="auto"/>
        </w:rPr>
      </w:pPr>
    </w:p>
    <w:p>
      <w:pPr>
        <w:ind w:right="460" w:firstLine="510"/>
        <w:spacing w:after="0" w:line="311" w:lineRule="auto"/>
        <w:rPr>
          <w:sz w:val="20"/>
          <w:szCs w:val="20"/>
          <w:color w:val="auto"/>
        </w:rPr>
      </w:pPr>
      <w:r>
        <w:rPr>
          <w:rFonts w:ascii="Arial" w:cs="Arial" w:eastAsia="Arial" w:hAnsi="Arial"/>
          <w:sz w:val="16"/>
          <w:szCs w:val="16"/>
          <w:color w:val="auto"/>
        </w:rPr>
        <w:t>A reference biological product is granted 12 years of data exclusivity from the time of first licensure of the product, and the first approved interchangeable biologic product will be granted an exclusivity period of up to one year after it is first commercially marketed. If pediatric studies are performed and accepted by the FDA as responsive to a Written Request, the 12-year exclusivity period will be extended for an additional six months.</w:t>
      </w:r>
    </w:p>
    <w:p>
      <w:pPr>
        <w:spacing w:after="0" w:line="203"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supplement for the reference product for a subsequent application filed by the same sponsor or manufacturer of the reference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26"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BPCIA is complex and is still being interpreted and implemented by the FDA. In addition, recent government proposals have sought to reduce the 12-year reference product exclusivity period. Other aspects of the BPCIA, some of which may impact the BPCIA exclusivity provisions, have also been the subject of recent litigation. As a result, the ultimate impact, implementation and meaning of the BPCIA is subject to significant uncertainty.</w:t>
      </w:r>
    </w:p>
    <w:p>
      <w:pPr>
        <w:spacing w:after="0" w:line="203"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To date, the FDA has approved a number of biosimilars, and numerous biosimilars have been approved in Europe. The FDA has also issued several guidance documents outlining its approach to reviewing and approving biosimilars and interchangeable biosimilars.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3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defined as a disease or condition that affects fewer than 200,000 individuals in the United States, or more than 200,000 individuals in the United States and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 BLA. After the FDA grants orphan drug designation, the identity of the therapeutic agent and its potential orphan use will be disclosed publicly by the FDA; the posting will also indicate whether a drug is no longer designated as an orphan drug. More than one product candidate may receive an orphan drug designation for the same indication. The benefits of orphan drug designation include research and development tax credits and exemption from FDA prescription drug user fees. Orphan drug designation, however, does not convey any advantage in or shorten the duration of the regulatory review and approval process.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20" w:firstLine="510"/>
        <w:spacing w:after="0" w:line="272" w:lineRule="auto"/>
        <w:rPr>
          <w:sz w:val="20"/>
          <w:szCs w:val="20"/>
          <w:color w:val="auto"/>
        </w:rPr>
      </w:pPr>
      <w:r>
        <w:rPr>
          <w:rFonts w:ascii="Arial" w:cs="Arial" w:eastAsia="Arial" w:hAnsi="Arial"/>
          <w:sz w:val="17"/>
          <w:szCs w:val="17"/>
          <w:color w:val="auto"/>
        </w:rPr>
        <w:t>Generally, if a product that receives orphan designation receives the first FDA approval for the orphan indication, the product is entitled to orphan drug exclusivity, which means that for seven years, the FDA is prohibited from approving any other applications to market the same drug or biological product for the same indication, except in limited circumstances described further below. Orphan exclusivity does not block the approval of a different drug or biologic for the same rare disease or condition, nor does it block the approval of the same drug or biologic for different conditions. As a result, even if one of our product candidates receive orphan exclusivity, the FDA can still approve different drugs or biologics for use in treating the same indication or disease, which could create a more competitive market for us. Additionally, if a drug or biologic designated as an orphan product receives marketing approval for an indication broader than what was designated, it may not be entitled to orphan drug exclusivity.</w:t>
      </w:r>
    </w:p>
    <w:p>
      <w:pPr>
        <w:spacing w:after="0" w:line="218"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Orphan exclusivity will not bar approval of another product with the same drug or biologic for the same condition under certain circumstances, including if a subsequent product with the same drug or biologic for the same condition is shown to be clinically superior to the approved product on the basis of greater efficacy or safety or a major contribution to patient care, or if the company with orphan drug exclusivity cannot assure the availability of sufficient quantities of the drug or biologic to meet the needs of persons with the disease or condition for which the drug or biologic was designated. Thus, orphan drug exclusivity could also block the approval of one of our products for seven years if a competitor obtains approval of the same drug, as defined by the FDA, and we are not able to show the clinical superiority of our drug or if our product candidate is determined to be contained within the competitor’s product for the same indication or disease.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October 2017, the FDA granted SYNB1618 orphan drug designation for the treatment of PKU.</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and Priority Review Designations</w:t>
      </w:r>
    </w:p>
    <w:p>
      <w:pPr>
        <w:spacing w:after="0" w:line="13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22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NDA or BLA. In addition, fast track designation may be withdrawn by the sponsor or rescinded by the FDA if the designation is no longer supported by data emerging in the clinical trial process.</w:t>
      </w:r>
    </w:p>
    <w:p>
      <w:pPr>
        <w:spacing w:after="0" w:line="2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addition, with the enactment of FDASIA in 2012, Congress created a new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intended to expedite the development and review of an application for approval of a breakthrough therapy.</w:t>
      </w:r>
    </w:p>
    <w:p>
      <w:pPr>
        <w:spacing w:after="0" w:line="246"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Finally, the FDA may designate a product for priority review if it is a drug or biologic that treats a serious condition and, if approved, would provide a significant improvement in safety or effectiveness. The FDA determines at the time that the 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original BLA or for an NDA for a new molecular entity from the date of filing.</w:t>
      </w:r>
    </w:p>
    <w:p>
      <w:pPr>
        <w:spacing w:after="0" w:line="219"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ind w:right="840"/>
        <w:spacing w:after="0" w:line="277" w:lineRule="auto"/>
        <w:rPr>
          <w:sz w:val="20"/>
          <w:szCs w:val="20"/>
          <w:color w:val="auto"/>
        </w:rPr>
      </w:pPr>
      <w:r>
        <w:rPr>
          <w:rFonts w:ascii="Arial" w:cs="Arial" w:eastAsia="Arial" w:hAnsi="Arial"/>
          <w:sz w:val="18"/>
          <w:szCs w:val="18"/>
          <w:color w:val="auto"/>
        </w:rPr>
        <w:t>designation, breakthrough therapy designation and priority review do not change the standards for approval and may not ultimately expedite the development or approval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April 2018, the FDA granted Fast Track designation for the use of SYNB1618 for the treatment of PKU.</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23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23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24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drug. All promotional materials for product candidates being considered and approved under the accelerated approval program are subject to prior review by the FDA.</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3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Following approval of a new product, the manufacturer and the approved product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biologics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3" w:name="page24"/>
    <w:bookmarkEnd w:id="23"/>
    <w:p>
      <w:pPr>
        <w:ind w:right="260"/>
        <w:spacing w:after="0" w:line="277" w:lineRule="auto"/>
        <w:rPr>
          <w:sz w:val="20"/>
          <w:szCs w:val="20"/>
          <w:color w:val="auto"/>
        </w:rPr>
      </w:pPr>
      <w:r>
        <w:rPr>
          <w:rFonts w:ascii="Arial" w:cs="Arial" w:eastAsia="Arial" w:hAnsi="Arial"/>
          <w:sz w:val="18"/>
          <w:szCs w:val="18"/>
          <w:color w:val="auto"/>
        </w:rPr>
        <w:t>promotion, distribution, prescription or dispensing of products. Product approvals may be withdrawn for non-compliance with regulatory standards or if problems occur following initial marketing.</w:t>
      </w:r>
    </w:p>
    <w:p>
      <w:pPr>
        <w:spacing w:after="0" w:line="22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finished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satisfy the FDA or comparable foreign regulatory authorities before any product is approved and our commercial products can be manufactured.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CMOs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BLA, including voluntary recall and regulatory sanctions as described below.</w:t>
      </w:r>
    </w:p>
    <w:p>
      <w:pPr>
        <w:spacing w:after="0" w:line="222"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Once an approval is granted, the FDA may withdraw the approval if compliance with regulatory standards is not maintained or if problems occur or are discovered after the product reaches the market. Later discovery of previously unknown problems with a product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77" w:lineRule="exact"/>
        <w:rPr>
          <w:sz w:val="20"/>
          <w:szCs w:val="20"/>
          <w:color w:val="auto"/>
        </w:rPr>
      </w:pPr>
    </w:p>
    <w:p>
      <w:pPr>
        <w:ind w:left="740" w:hanging="503"/>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740" w:hanging="503"/>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other enforcement-related letters or clinical holds on post-approval clinical trials;</w:t>
      </w:r>
    </w:p>
    <w:p>
      <w:pPr>
        <w:spacing w:after="0" w:line="130" w:lineRule="exact"/>
        <w:rPr>
          <w:rFonts w:ascii="Arial" w:cs="Arial" w:eastAsia="Arial" w:hAnsi="Arial"/>
          <w:sz w:val="18"/>
          <w:szCs w:val="18"/>
          <w:color w:val="auto"/>
        </w:rPr>
      </w:pPr>
    </w:p>
    <w:p>
      <w:pPr>
        <w:ind w:left="740" w:hanging="503"/>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refusal of the FDA to approve pending NDAs/BLAs or supplements to approved NDAs/BLAs, or suspension or revocation of product approvals;</w:t>
      </w:r>
    </w:p>
    <w:p>
      <w:pPr>
        <w:spacing w:after="0" w:line="153" w:lineRule="exact"/>
        <w:rPr>
          <w:rFonts w:ascii="Arial" w:cs="Arial" w:eastAsia="Arial" w:hAnsi="Arial"/>
          <w:sz w:val="16"/>
          <w:szCs w:val="16"/>
          <w:color w:val="auto"/>
        </w:rPr>
      </w:pPr>
    </w:p>
    <w:p>
      <w:pPr>
        <w:ind w:left="740" w:hanging="503"/>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740" w:hanging="503"/>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30" w:lineRule="exact"/>
        <w:rPr>
          <w:rFonts w:ascii="Arial" w:cs="Arial" w:eastAsia="Arial" w:hAnsi="Arial"/>
          <w:sz w:val="18"/>
          <w:szCs w:val="18"/>
          <w:color w:val="auto"/>
        </w:rPr>
      </w:pPr>
    </w:p>
    <w:p>
      <w:pPr>
        <w:ind w:left="740" w:right="600" w:hanging="503"/>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 care programs; or mandated modification of promotional materials and labeling and the issuance of corrective information.</w:t>
      </w:r>
    </w:p>
    <w:p>
      <w:pPr>
        <w:spacing w:after="0" w:line="224" w:lineRule="exact"/>
        <w:rPr>
          <w:sz w:val="20"/>
          <w:szCs w:val="20"/>
          <w:color w:val="auto"/>
        </w:rPr>
      </w:pPr>
    </w:p>
    <w:p>
      <w:pPr>
        <w:ind w:right="20" w:firstLine="510"/>
        <w:spacing w:after="0" w:line="218" w:lineRule="exact"/>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or DSCSA, was enacted with the aim of building an electronic system to identify and trace certain prescription drugs distributed in the United States, including most biological products. The DSCSA mandates phased-in and resource-intensive obligations for pharmaceutical manufacturers, wholesale distributors, and dispensers over a ten</w:t>
      </w:r>
      <w:r>
        <w:rPr>
          <w:rFonts w:ascii="MS PGothic" w:cs="MS PGothic" w:eastAsia="MS PGothic" w:hAnsi="MS PGothic"/>
          <w:sz w:val="18"/>
          <w:szCs w:val="18"/>
          <w:color w:val="auto"/>
        </w:rPr>
        <w:t>‑</w:t>
      </w:r>
      <w:r>
        <w:rPr>
          <w:rFonts w:ascii="Arial" w:cs="Arial" w:eastAsia="Arial" w:hAnsi="Arial"/>
          <w:sz w:val="18"/>
          <w:szCs w:val="18"/>
          <w:color w:val="auto"/>
        </w:rPr>
        <w:t>year period that is expected to culminate in November 2023.</w:t>
      </w:r>
    </w:p>
    <w:p>
      <w:pPr>
        <w:spacing w:after="0" w:line="261"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From time to time, new legislation is drafted, introduced and passed in Congress that could significantly change the statutory provisions governing the approval, manufacturing and marketing of products regulated by the FDA. It is impossible to predict whether further legislative changes will be enacted, or FDA regulations, guidance or interpretations will be changed or what the impact of such changes, if any, may be.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3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the performance of clinical trials outside the U.S. and commercial sales and distribution of our products outside of the United States. Whether or not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spacing w:after="0" w:line="293" w:lineRule="auto"/>
        <w:rPr>
          <w:sz w:val="20"/>
          <w:szCs w:val="20"/>
          <w:color w:val="auto"/>
        </w:rPr>
      </w:pPr>
      <w:r>
        <w:rPr>
          <w:rFonts w:ascii="Arial" w:cs="Arial" w:eastAsia="Arial" w:hAnsi="Arial"/>
          <w:sz w:val="16"/>
          <w:szCs w:val="16"/>
          <w:color w:val="auto"/>
        </w:rPr>
        <w:t>obtain FDA approval for a product candidate, we must obtain approval by the comparable regulatory authorities of foreign countries or economic areas, such as the European Union, before we may commence clinical trials or market products in those countries or areas.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Union drug development, review and approval</w:t>
      </w:r>
    </w:p>
    <w:p>
      <w:pPr>
        <w:spacing w:after="0" w:line="171"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In the European Union, our product candidates also may be subject to extensive regulatory requirements.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219"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new Clinical Trials Regulation, (EU) No 536/2014, which took effect on January 31, 2022, aims to simplify and streamline the approval of clinical trials in the European Union. The main characteristics of the regulation include: a streamlined application procedure via a single entry point, the “EU clinical trial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European Union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in the United States, similar requirements for posting clinical trial information are described in the European Union (EudraCT) website: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https://eudract.ema.europa.eu.</w:t>
      </w:r>
    </w:p>
    <w:p>
      <w:pPr>
        <w:spacing w:after="0" w:line="26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 either under the so-called centralized or national authorization procedures.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Centralized procedure</w:t>
      </w:r>
    </w:p>
    <w:p>
      <w:pPr>
        <w:spacing w:after="0" w:line="13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centralized procedure provides for the grant of a single marketing authorization following a favorable opinion by the European Medicines Agency, or EMA, that is valid in all EU member states, as well as Iceland, Liechtenstein and Norway. The centralized procedure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may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National authorization procedures</w:t>
      </w:r>
    </w:p>
    <w:p>
      <w:pPr>
        <w:spacing w:after="0" w:line="13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22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ind w:right="200" w:firstLine="510"/>
        <w:spacing w:after="0" w:line="263" w:lineRule="auto"/>
        <w:rPr>
          <w:sz w:val="20"/>
          <w:szCs w:val="20"/>
          <w:color w:val="auto"/>
        </w:rPr>
      </w:pPr>
      <w:r>
        <w:rPr>
          <w:rFonts w:ascii="Arial" w:cs="Arial" w:eastAsia="Arial" w:hAnsi="Arial"/>
          <w:sz w:val="18"/>
          <w:szCs w:val="18"/>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224"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Conditional approval</w:t>
      </w:r>
    </w:p>
    <w:p>
      <w:pPr>
        <w:spacing w:after="0" w:line="13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risk-benefit balance of the product candidate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Pediatric studies</w:t>
      </w:r>
    </w:p>
    <w:p>
      <w:pPr>
        <w:spacing w:after="0" w:line="13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Prior to obtaining a marketing authorization in the European Union, applicants have to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set forth in Regulation (EC) No 1901/2006, which is referred to as the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219"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Union regulatory exclusivity</w:t>
      </w:r>
    </w:p>
    <w:p>
      <w:pPr>
        <w:spacing w:after="0" w:line="13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the European Union, new products authorized for marketing (i.e.,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European Union during a period of eight years from the date on which the reference product was first authorized in the European Union.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Union orphan designation and exclusivity</w:t>
      </w:r>
    </w:p>
    <w:p>
      <w:pPr>
        <w:spacing w:after="0" w:line="158"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6" w:name="page27"/>
    <w:bookmarkEnd w:id="26"/>
    <w:p>
      <w:pPr>
        <w:ind w:right="20"/>
        <w:spacing w:after="0" w:line="289" w:lineRule="auto"/>
        <w:rPr>
          <w:sz w:val="20"/>
          <w:szCs w:val="20"/>
          <w:color w:val="auto"/>
        </w:rPr>
      </w:pPr>
      <w:r>
        <w:rPr>
          <w:rFonts w:ascii="Arial" w:cs="Arial" w:eastAsia="Arial" w:hAnsi="Arial"/>
          <w:sz w:val="16"/>
          <w:szCs w:val="16"/>
          <w:color w:val="auto"/>
        </w:rPr>
        <w:t>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207" w:lineRule="exact"/>
        <w:rPr>
          <w:sz w:val="20"/>
          <w:szCs w:val="20"/>
          <w:color w:val="auto"/>
        </w:rPr>
      </w:pPr>
    </w:p>
    <w:p>
      <w:pPr>
        <w:jc w:val="both"/>
        <w:ind w:right="220" w:firstLine="510"/>
        <w:spacing w:after="0" w:line="286" w:lineRule="auto"/>
        <w:rPr>
          <w:sz w:val="20"/>
          <w:szCs w:val="20"/>
          <w:color w:val="auto"/>
        </w:rPr>
      </w:pPr>
      <w:r>
        <w:rPr>
          <w:rFonts w:ascii="Arial" w:cs="Arial" w:eastAsia="Arial" w:hAnsi="Arial"/>
          <w:sz w:val="17"/>
          <w:szCs w:val="17"/>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71" w:lineRule="exact"/>
        <w:rPr>
          <w:sz w:val="20"/>
          <w:szCs w:val="20"/>
          <w:color w:val="auto"/>
        </w:rPr>
      </w:pPr>
    </w:p>
    <w:p>
      <w:pPr>
        <w:ind w:left="1120" w:hanging="50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auto"/>
        </w:rPr>
      </w:pPr>
    </w:p>
    <w:p>
      <w:pPr>
        <w:ind w:left="1120" w:hanging="50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120" w:hanging="505"/>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PRIME designation</w:t>
      </w:r>
    </w:p>
    <w:p>
      <w:pPr>
        <w:spacing w:after="0" w:line="13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The EMA grants access to the Priority Medicines, or PRIME, program to investigational medicines for which it determines there to be preliminary data available showing the potential to address an unmet medical need and bring a major therapeutic advantage to patients.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 and rapporteur from the Committee for Human Medicinal Products, or CHMP, or Committee for Advanced Therapies, or CAT,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4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Kingdom Regulation</w:t>
      </w:r>
    </w:p>
    <w:p>
      <w:pPr>
        <w:spacing w:after="0" w:line="131"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From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224"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In order to market medicines in the United Kingdom, manufacturers must hold a United Kingdom authorization. On January 1, 2021, all European Union marketing authorizations were converted to United Kingdom marketing authorizations subject to a manufacturer opt-out. For a transitional period, Great Britain will adopt decisions taken by the European Commission on the approval of new marketing authorizations in the community marketing authorization procedure. Such applications must include all information provided to the EMA during the relevant licensing procedure including the final CHMP opinion. The MHRA’s guidance states that the United Kingdom will have the power to take into account marketing authorizations made under the European Union decentralized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ind w:right="180"/>
        <w:spacing w:after="0" w:line="277" w:lineRule="auto"/>
        <w:rPr>
          <w:sz w:val="20"/>
          <w:szCs w:val="20"/>
          <w:color w:val="auto"/>
        </w:rPr>
      </w:pPr>
      <w:r>
        <w:rPr>
          <w:rFonts w:ascii="Arial" w:cs="Arial" w:eastAsia="Arial" w:hAnsi="Arial"/>
          <w:sz w:val="18"/>
          <w:szCs w:val="18"/>
          <w:color w:val="auto"/>
        </w:rPr>
        <w:t>mutual recognition procedures. In addition, the MHRA’s guidance has been updated to refer to new national licensing procedures including new routes of evaluation for novel and biotechnological products.</w:t>
      </w:r>
    </w:p>
    <w:p>
      <w:pPr>
        <w:spacing w:after="0" w:line="21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United Kingdom medicines legislation is subject to future regulatory change under the Medicines and Medical Devices Act 2021. This act sets out a new framework for the adoption of medicines regulation.</w:t>
      </w:r>
    </w:p>
    <w:p>
      <w:pPr>
        <w:spacing w:after="0" w:line="224"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Different rules will apply in Northern Ireland following implementation of the Northern Ireland Protocol. In Northern Ireland, European Union central marketing applications will continue to apply.</w:t>
      </w:r>
    </w:p>
    <w:p>
      <w:pPr>
        <w:spacing w:after="0" w:line="224"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Trade and Cooperation Agreement contains an Annex in relation to medicinal products with the objective of facilitating availability of medicines, promotion of public health and consumer protection in respect of medicinal products between the United Kingdom and the European Union. The Annex provides for mutual recognition of Good Manufacturing Practice (GMP)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United Kingdom importers and wholesales to recognize certain certification and regulatory standards. The European Commission has not adopted such recognition procedures.</w:t>
      </w:r>
    </w:p>
    <w:p>
      <w:pPr>
        <w:spacing w:after="0" w:line="2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It is expected that the establishment of a separate United Kingdom authorization system, albeit with transitional recognition procedures in the United Kingdom, will lead to additional regulatory costs. In addition, additional regulatory costs will be incurred with respect to the lack of mutual recognition of batch testing and related regulatory measures.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 of the world regulation</w:t>
      </w:r>
    </w:p>
    <w:p>
      <w:pPr>
        <w:spacing w:after="0" w:line="13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jurisdiction to jurisdiction. Additionally, the clinical trials must be conducted in accordance with cGCP requirements and the applicable regulatory requirements and the ethical principles that have their origin in the Declaration of Helsinki.</w:t>
      </w:r>
    </w:p>
    <w:p>
      <w:pPr>
        <w:spacing w:after="0" w:line="24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3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Sales of pharmaceutical products depend in significant part on the availability of third-party coverage and reimbursement. Third-party payors include government healthcare programs such as Medicare, managed care providers, private health insurers and other organizations. We anticipate third-party payors will provide reimbursement for our products. However, these third-party payors are increasingly challenging the price and examining the cost effectiveness of medical products and services.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often rely on Medicare coverage policy and payment limitations in setting their own reimbursement rates but also have their own methods to individually establish coverage and reimbursement policies. As a result, obtaining coverage and adequate reimbursement can be a time-consuming and costly process. Third-party payors may limit coverage to specific products on an approved list, or formulary, which might not include all of the approved products for a particular indication. We may need to conduct expensive pharmacoeconomic studies in order to demonstrate the medical necessity and cost effectiveness of our products.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Our product candidates may not be considered cost effective. It is time consuming and expensive for us to seek reimbursement from third-party payors. Reimbursement may not be available or sufficient to allow us to sell our products on a competitive and profitable basis.</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Medicare is a federal healthcare program administered by the federal government that covers individuals aged 65 and over as well as individuals with certain disabilities. Drugs may be covered under one or more sections of Medicare depending on the nature of the drug and the conditions associated with and site of administration. For example, under Part D, Medicare beneficiaries may enroll in prescription drug plans offered by private entities which provide coverage for outpatient prescription drugs. Part D plans include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ind w:right="80"/>
        <w:spacing w:after="0" w:line="263" w:lineRule="auto"/>
        <w:rPr>
          <w:sz w:val="20"/>
          <w:szCs w:val="20"/>
          <w:color w:val="auto"/>
        </w:rPr>
      </w:pPr>
      <w:r>
        <w:rPr>
          <w:rFonts w:ascii="Arial" w:cs="Arial" w:eastAsia="Arial" w:hAnsi="Arial"/>
          <w:sz w:val="18"/>
          <w:szCs w:val="18"/>
          <w:color w:val="auto"/>
        </w:rPr>
        <w:t>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w:t>
      </w:r>
    </w:p>
    <w:p>
      <w:pPr>
        <w:spacing w:after="0" w:line="224"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Medicare Part B covers most injectable drugs given in an in-patient setting and some drugs administered by a licensed medical provider in hospital outpatient departments and doctors’ offices. Medicare Part B is administered by Medicare Administrative Contractors, which generally have the responsibility of making coverage decisions. Subject to certain payment adjustments and limits, Medicare generally pays for a Part B-covered drug based on a percentage of manufacturer-reported average sales price, which is regularly updated. We believe that our product candidates that are intended to be administered intratumorally will be subject to the Medicare Part B rules.</w:t>
      </w:r>
    </w:p>
    <w:p>
      <w:pPr>
        <w:spacing w:after="0" w:line="24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expect that there will continue to be a number of federal and state proposals to implement governmental pricing controls and limit the growth of healthcare costs, including the cost of prescription drugs. For example, the ACA enacted in March 2010, was expected to have a significant impact on the health care industry. 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23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our profitability placing the medicinal product on the market. Other member states allow companies to fix their own prices for drug products but monitor and control prescription volumes and issue guidance to physicians to limit prescriptions. There can be no assurance that any country that has price controls or reimbursement limitations for pharmaceutical products will allow favorable reimbursement and pricing arrangements for any of our products. Historically, products launched in the European Union and other countries do not follow price structures of the United States and generally prices tend to be significantly lower.</w:t>
      </w:r>
    </w:p>
    <w:p>
      <w:pPr>
        <w:spacing w:after="0" w:line="222"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The downward pressure on health care costs in general, particularly prescription drugs, has become intense. As a result, increasingly high barriers are being erected to the entry of new products.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(arbitrage between low-priced and high-priced member states) can further reduce prices. Any country that has price controls or reimbursement limitations for drug products may not allow favorable reimbursement and pricing arrangements.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 Care Laws and Regulations</w:t>
      </w:r>
    </w:p>
    <w:p>
      <w:pPr>
        <w:spacing w:after="0" w:line="23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If our product candidates are approved in the United States, we will have to comply with various U.S. federal and state laws, rules and regulations pertaining to health care fraud and abuse, including anti-kickback laws and physician self-referral laws, rules and regulations. Violations of the fraud and abuse laws are punishable by criminal and civil sanctions, including, in some instances, exclusion from participation in federal and state health care programs, including Medicare and Medicaid. These laws include:</w:t>
      </w:r>
    </w:p>
    <w:p>
      <w:pPr>
        <w:spacing w:after="0" w:line="92" w:lineRule="exact"/>
        <w:rPr>
          <w:sz w:val="20"/>
          <w:szCs w:val="20"/>
          <w:color w:val="auto"/>
        </w:rPr>
      </w:pPr>
    </w:p>
    <w:p>
      <w:pPr>
        <w:ind w:left="880" w:right="180" w:hanging="508"/>
        <w:spacing w:after="0" w:line="27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spacing w:after="0" w:line="83" w:lineRule="exact"/>
        <w:rPr>
          <w:rFonts w:ascii="Arial" w:cs="Arial" w:eastAsia="Arial" w:hAnsi="Arial"/>
          <w:sz w:val="17"/>
          <w:szCs w:val="17"/>
          <w:color w:val="auto"/>
        </w:rPr>
      </w:pPr>
    </w:p>
    <w:p>
      <w:pPr>
        <w:ind w:left="880" w:right="40" w:hanging="508"/>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federal False Claims Act, which prohibit, among other things, individuals or entities from knowingly presenting, or causing to be presented, false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9" w:name="page30"/>
    <w:bookmarkEnd w:id="29"/>
    <w:p>
      <w:pPr>
        <w:ind w:left="880"/>
        <w:spacing w:after="0" w:line="293" w:lineRule="auto"/>
        <w:rPr>
          <w:sz w:val="20"/>
          <w:szCs w:val="20"/>
          <w:color w:val="auto"/>
        </w:rPr>
      </w:pPr>
      <w:r>
        <w:rPr>
          <w:rFonts w:ascii="Arial" w:cs="Arial" w:eastAsia="Arial" w:hAnsi="Arial"/>
          <w:sz w:val="16"/>
          <w:szCs w:val="16"/>
          <w:color w:val="auto"/>
        </w:rPr>
        <w:t>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sz w:val="20"/>
          <w:szCs w:val="20"/>
          <w:color w:val="auto"/>
        </w:rPr>
      </w:pPr>
    </w:p>
    <w:p>
      <w:pPr>
        <w:ind w:left="880" w:right="60" w:hanging="508"/>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 care benefit program or making false statements relating to health care matters;</w:t>
      </w:r>
    </w:p>
    <w:p>
      <w:pPr>
        <w:spacing w:after="0" w:line="170" w:lineRule="exact"/>
        <w:rPr>
          <w:rFonts w:ascii="Arial" w:cs="Arial" w:eastAsia="Arial" w:hAnsi="Arial"/>
          <w:sz w:val="18"/>
          <w:szCs w:val="18"/>
          <w:color w:val="auto"/>
        </w:rPr>
      </w:pPr>
    </w:p>
    <w:p>
      <w:pPr>
        <w:ind w:left="880" w:right="440" w:hanging="508"/>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its implementing regulations, also imposes obligations, including mandatory contractual terms, with respect to safeguarding the privacy, security and transmission of individually identifiable health information;</w:t>
      </w:r>
    </w:p>
    <w:p>
      <w:pPr>
        <w:spacing w:after="0" w:line="89" w:lineRule="exact"/>
        <w:rPr>
          <w:rFonts w:ascii="Arial" w:cs="Arial" w:eastAsia="Arial" w:hAnsi="Arial"/>
          <w:sz w:val="18"/>
          <w:szCs w:val="18"/>
          <w:color w:val="auto"/>
        </w:rPr>
      </w:pPr>
    </w:p>
    <w:p>
      <w:pPr>
        <w:ind w:left="880" w:right="60" w:hanging="508"/>
        <w:spacing w:after="0" w:line="272"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federal transparency requirements under the Physician Payments Sunshine Act require manufacturers of FDA-approved drugs, devices, biologics and medical supplies covered by Medicare or Medicaid to report, on an annual basis, to the Department of Health and Human Services (HHS) information related to payments and other transfers of value to physicians and teaching hospitals or to entities or individuals at the request of, or designated on behalf of, the physicians and teaching hospitals as well as certain ownership and investment interests held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anesthesiologist assistants, and certified nurse-midwives, and</w:t>
      </w:r>
    </w:p>
    <w:p>
      <w:pPr>
        <w:spacing w:after="0" w:line="82" w:lineRule="exact"/>
        <w:rPr>
          <w:rFonts w:ascii="Arial" w:cs="Arial" w:eastAsia="Arial" w:hAnsi="Arial"/>
          <w:sz w:val="17"/>
          <w:szCs w:val="17"/>
          <w:color w:val="auto"/>
        </w:rPr>
      </w:pPr>
    </w:p>
    <w:p>
      <w:pPr>
        <w:ind w:left="880" w:right="40" w:hanging="508"/>
        <w:spacing w:after="0" w:line="342"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178"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November 2020, HHS finalized significant changes to the regulations implementing the Anti-Kickback Statute, as well as the Physician Self-Referral Law (Stark Law) and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spacing w:after="0" w:line="227"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Finally, the majority of states also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 State and foreign laws also govern the privacy and security of health information in some circumstances, many of which differ from each other in significant ways and often are not preempted by HIPAA, thus complicating compliance efforts.</w:t>
      </w:r>
    </w:p>
    <w:p>
      <w:pPr>
        <w:spacing w:after="0" w:line="22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Because of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22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Health Care Reform in the US and Potential Changes to Health Care Laws</w:t>
      </w:r>
    </w:p>
    <w:p>
      <w:pPr>
        <w:spacing w:after="0" w:line="13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devices and to spur innovation, but its ultimate implementation is uncertain. In addition, in August 2017, the FDA Reauthorization Act was signed into law, which reauthorized the FDA’s user fee programs and included additional drug and device provisions that build on the Cures Act.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246" w:lineRule="exact"/>
        <w:rPr>
          <w:sz w:val="20"/>
          <w:szCs w:val="20"/>
          <w:color w:val="auto"/>
        </w:rPr>
      </w:pPr>
    </w:p>
    <w:p>
      <w:pPr>
        <w:ind w:right="200" w:firstLine="510"/>
        <w:spacing w:after="0" w:line="289" w:lineRule="auto"/>
        <w:rPr>
          <w:sz w:val="20"/>
          <w:szCs w:val="20"/>
          <w:color w:val="auto"/>
        </w:rPr>
      </w:pPr>
      <w:r>
        <w:rPr>
          <w:rFonts w:ascii="Arial" w:cs="Arial" w:eastAsia="Arial" w:hAnsi="Arial"/>
          <w:sz w:val="16"/>
          <w:szCs w:val="16"/>
          <w:color w:val="auto"/>
        </w:rPr>
        <w:t>As previously mentioned, the primary trend in the US health 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the US Centers for Medicare and Medicaid Services, or CMS, to test innovative payment and service delivery models to lower Medicare and Medicaid spending.</w:t>
      </w:r>
    </w:p>
    <w:p>
      <w:pPr>
        <w:spacing w:after="0" w:line="20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Members of the U.S. Congress have expressed intent to pass legislation or adopt executive orders to fundamentally change or repeal parts of the ACA, and since its enactment, there have been judicial and Congressional challenges to the law, and as a result certain sections have not been fully implemented or effectively repealed. However, following several years of litigation in the federal courts, in June 2021, the U.S. Supreme Court upheld the ACA when it dismissed a legal challenge to the ACA’s constitutionality. 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United States.</w:t>
      </w:r>
    </w:p>
    <w:p>
      <w:pPr>
        <w:spacing w:after="0" w:line="248"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that affect health care expenditures.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(the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Congress subsequently extended the sequester suspension period to June 30, 2022, with a 1% sequester in effect from April 1, 2022 to June 30, 2022.</w:t>
      </w:r>
    </w:p>
    <w:p>
      <w:pPr>
        <w:spacing w:after="0" w:line="22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on December 20, 2019, President Trump signed the Further Consolidated Appropriations Act for 2020 into law (P.L. 116-94) that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780"/>
        <w:spacing w:after="0" w:line="277" w:lineRule="auto"/>
        <w:rPr>
          <w:sz w:val="20"/>
          <w:szCs w:val="20"/>
          <w:color w:val="auto"/>
        </w:rPr>
      </w:pPr>
      <w:r>
        <w:rPr>
          <w:rFonts w:ascii="Arial" w:cs="Arial" w:eastAsia="Arial" w:hAnsi="Arial"/>
          <w:sz w:val="18"/>
          <w:szCs w:val="18"/>
          <w:color w:val="auto"/>
        </w:rPr>
        <w:t>generic and biosimilar product developments will use this new pathway, as well as the likely outcome of any legal challenges to provisions of the CREATES Act, remain highly uncertain and its potential effects on our future commercial products are unknown.</w:t>
      </w:r>
    </w:p>
    <w:p>
      <w:pPr>
        <w:spacing w:after="0" w:line="21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on May 30, 2018,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product candidates available to eligible patients as a result of the Right to Try Act. However, in 2020 the FDA published a notice of proposed rulemaking that would require manufacturers who do so to make annual reports of those programs to FDA, and the agency plans to publish the final rule in March 2022.</w:t>
      </w:r>
    </w:p>
    <w:p>
      <w:pPr>
        <w:spacing w:after="0" w:line="232"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219"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which could have an adverse effect on customers for our product candidates. Any reduction in reimbursement from Medicare or other government programs may result in a similar reduction in payments from private payors.</w:t>
      </w:r>
    </w:p>
    <w:p>
      <w:pPr>
        <w:spacing w:after="0" w:line="22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31"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These operations may involve the use of hazardous and flammable materials, including chemicals and biological materials. Our operations may also produce hazardous waste products. We contract with third parties for the disposal of these materials and wastes. Our products are defined as Genetically Modified Organisms (GMO) or Genetically Modified Micro-organisms (GMM) and, dependent on their classification and containment, may be subject to regulation.</w:t>
      </w:r>
    </w:p>
    <w:p>
      <w:pPr>
        <w:spacing w:after="0" w:line="230"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The United States does not have any federal legislation that is specific to genetically modified organisms. GMOs are regulated pursuant to health, safety, and environmental legislation governing conventional products. The U.S. approach to regulating GMOs is premised on the assumption that regulation should focus on the nature of the products, rather than the process in which they were produced.</w:t>
      </w:r>
    </w:p>
    <w:p>
      <w:pPr>
        <w:spacing w:after="0" w:line="20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clinical development and marketing of GMM within the European Union, and elsewhere, falls under different regulations and practices in each country, which may involve approval by environmental or other regulatory bodies, as well as health authorities, and may establish the requirement for a risk assessment for the testing or authorization of the product.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5"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We have made and continue to make significant investments in our manufacturing organization, including process development and cGMP production infrastructure to establish manufacturing processes designed to support production of clinical trial material. The manufacturing processes are designed to enable us to reproducibly manufacture high quality living medicines at clinical scale and, later, at commercial scale to enable approval of our product candidates. We have built a fully integrated development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ind w:right="120"/>
        <w:spacing w:after="0" w:line="259" w:lineRule="auto"/>
        <w:rPr>
          <w:sz w:val="20"/>
          <w:szCs w:val="20"/>
          <w:color w:val="auto"/>
        </w:rPr>
      </w:pPr>
      <w:r>
        <w:rPr>
          <w:rFonts w:ascii="Arial" w:cs="Arial" w:eastAsia="Arial" w:hAnsi="Arial"/>
          <w:sz w:val="18"/>
          <w:szCs w:val="18"/>
          <w:color w:val="auto"/>
        </w:rPr>
        <w:t>manufacturing organization with an internal process development group, quality group and manufacturing capabilities with the lease of cGMP cleanroom space in Waltham, Massachusetts. This facility enables us to produce clinical trial material for early to mid-stage studies of our clinical pipeline. We continue to build the organization to support scale-up and development towards commercialization. We currently expect to continue to work with contract manufacturing organizations (CMOs) for production of late-stage clinical trial material.</w:t>
      </w:r>
    </w:p>
    <w:p>
      <w:pPr>
        <w:spacing w:after="0" w:line="22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Clinical trial material for our Phase 1 study of SYNB1618 for PKU were manufactured by a CMO. These first clinical trials used a frozen liquid and solid formulation as the drug presentation. Since then, we have made additional investment in our formulation development that optimizes our production of solid dose formulations for our clinical programs. The powder for oral suspension formulation capability allows us to produce a more user-friendly presentation for later stage clinical development and future commercial use. We are continuing to invest and investigate the utility of additional presentations for solid formulations of our Synthetic Biotics including capsules.</w:t>
      </w:r>
    </w:p>
    <w:p>
      <w:pPr>
        <w:spacing w:after="0" w:line="242"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To enable the production of high levels of cells, or biomass, we can engineer our Synthetic Biotics with switches. These switches are comprised of transcription factor and promoter pairs that allow for controlled expression of the therapeutic effectors produced by our Synthetic Biotics. To ensure the metabolic capacity of the cells is allotted to the production of a high level of biomass during manufacturing, the effector circuits in the Synthetic Biotic programs are not expressed during this growth phase. At the end of the manufacturing process, the circuits are then induced, or activated. This two-step approach was designed to enable a high level of biomass production as well as to deliver the required activity necessary at the time of administration. We continue to devote resources to process development and the generation of improved products.</w:t>
      </w:r>
    </w:p>
    <w:p>
      <w:pPr>
        <w:spacing w:after="0" w:line="23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As we progress in clinical development, we will need to increase our production scale to support late stage clinical trials and commercial manufacturing. We are in the process of assessing CMOs who meet our criteria to supply our late-stage clinical development and commercial supply. We will compare the merits of working with one or more CMOs who meet our criteria with the possibility of building cGMP manufacturing capacity and capabilities internally.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The biotechnology industry is extremely competitive in the race to develop new products. While we believe we have significant competitive advantages with our industry-leading expertise in synthetic biology and metabolic engineering of non-pathogenic bacteria, our clinical development expertise, and strong intellectual property position, we currently face and will continue to face competition for our development programs from companies that use synthetic biology or cell therapy development platforms and from companies focused on more conventional therapeutic modalities such as small molecules and antibodies. The competition is likely to come from multiple sources, including larger pharmaceutical companies, biotechnology companies and academia. Many of these competitors may have access to greater capital and resources than us. These competitors also compete with us in recruiting and retaining qualified scientific and management personnel, in establishing clinical trial sites and patient registration for clinical trials, and in accessing technologies to enable our programs.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22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Competitors include other synthetic biology companies developing other synthetic biology methods, cellular and microbiome-based companies, DNA and RNA-based companies, as well as companies developing small molecules or other biologics. In the case of indications that we are targeting with our own Synthetic Biotics, competitors include, but are not limited to:</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PKU</w:t>
      </w:r>
    </w:p>
    <w:p>
      <w:pPr>
        <w:spacing w:after="0" w:line="131" w:lineRule="exact"/>
        <w:rPr>
          <w:sz w:val="20"/>
          <w:szCs w:val="20"/>
          <w:color w:val="auto"/>
        </w:rPr>
      </w:pPr>
    </w:p>
    <w:p>
      <w:pPr>
        <w:ind w:left="1260" w:hanging="510"/>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BioMarin, Inc. has two approved products and a development-stage investigational therapy;</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PTC Therapeutics, Inc., Nestle Health Sciences S.A. (Codexis, Inc.), and Homology Medicines, Inc. have products in clinical trials; and</w:t>
      </w:r>
    </w:p>
    <w:p>
      <w:pPr>
        <w:spacing w:after="0" w:line="153" w:lineRule="exact"/>
        <w:rPr>
          <w:rFonts w:ascii="Arial" w:cs="Arial" w:eastAsia="Arial" w:hAnsi="Arial"/>
          <w:sz w:val="16"/>
          <w:szCs w:val="16"/>
          <w:color w:val="auto"/>
        </w:rPr>
      </w:pPr>
    </w:p>
    <w:p>
      <w:pPr>
        <w:ind w:left="1260" w:right="140" w:hanging="510"/>
        <w:spacing w:after="0" w:line="27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Agios Pharmaceuticals, Inc., Generation Bio Co., American Gene Technologies International Inc., SOM Biotech SL, Jnana Therapeutics and others are developing product candidates.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color w:val="auto"/>
        </w:rPr>
        <w:t>Enteric hyperoxaluria</w:t>
      </w:r>
    </w:p>
    <w:p>
      <w:pPr>
        <w:spacing w:after="0" w:line="131" w:lineRule="exact"/>
        <w:rPr>
          <w:sz w:val="20"/>
          <w:szCs w:val="20"/>
          <w:color w:val="auto"/>
        </w:rPr>
      </w:pPr>
    </w:p>
    <w:p>
      <w:pPr>
        <w:ind w:left="1260" w:right="240" w:hanging="510"/>
        <w:spacing w:after="0" w:line="27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Allena Pharmaceuticals, Inc., Novome Biotechnologies, Inc. and Oxidien Pharmaceuticals, LLC have drug candidates in clinical trials; and</w:t>
      </w:r>
    </w:p>
    <w:p>
      <w:pPr>
        <w:spacing w:after="0" w:line="183" w:lineRule="exact"/>
        <w:rPr>
          <w:rFonts w:ascii="Arial" w:cs="Arial" w:eastAsia="Arial" w:hAnsi="Arial"/>
          <w:sz w:val="18"/>
          <w:szCs w:val="18"/>
          <w:color w:val="auto"/>
        </w:rPr>
      </w:pPr>
    </w:p>
    <w:p>
      <w:pPr>
        <w:ind w:left="1260" w:hanging="510"/>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Federation Bio, Inc. and others are developing product candidates.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Executives, Founders and Scientific Advisors</w:t>
      </w:r>
    </w:p>
    <w:p>
      <w:pPr>
        <w:spacing w:after="0" w:line="135"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team of executives has proven track records of successfully translating scientific visions into successful commercial therapeutic products, solving complex issues in developing novel therapeutics and progressing new and novel products through regulatory approval. Our scientific founders, Timothy Lu, M.D., Ph.D., and James Collins, Ph.D., are experts in the emerging field of synthetic biology. In addition to our management team and founders, we have established advisory relationships with researchers and clinicians dedicated to the development of Synthetic Biotic therapeutic products for patients with significant unmet medical needs and whose expertise spans synthetic biology, metabolic engineering, metabolism, and immuno-modulation arenas. Our scientific advisors include Dr. Lu and Dr. Collins; Paul Miller, Ph.D., Christopher Voigt, Ph.D., Cammie Lesser, M.D., Ph.D. and Kristala Prather, Ph.D., experts in synthetic biology and bacterial metabolism. We expect to expand our advisory boards as we grow. All of our founders and advisors are equity holders in us and receive compensation as scientific advisors. Although they are regularly available for scientific consultation, our arrangements with these individuals do not entitle us to any of their existing or future intellectual property derived from their independent research or research with other third parties.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5" w:lineRule="exact"/>
        <w:rPr>
          <w:sz w:val="20"/>
          <w:szCs w:val="20"/>
          <w:color w:val="auto"/>
        </w:rPr>
      </w:pPr>
    </w:p>
    <w:p>
      <w:pPr>
        <w:ind w:right="600" w:firstLine="510"/>
        <w:spacing w:after="0" w:line="342" w:lineRule="auto"/>
        <w:rPr>
          <w:sz w:val="20"/>
          <w:szCs w:val="20"/>
          <w:color w:val="auto"/>
        </w:rPr>
      </w:pPr>
      <w:r>
        <w:rPr>
          <w:rFonts w:ascii="Arial" w:cs="Arial" w:eastAsia="Arial" w:hAnsi="Arial"/>
          <w:sz w:val="16"/>
          <w:szCs w:val="16"/>
          <w:color w:val="auto"/>
        </w:rPr>
        <w:t>As of March 10, 2022, we had 84 full-time employees. Of our full-time employees, 69 were primarily engaged in research and development activities. None of our employees are subject to a collective bargaining agreement. We believe that we have good relations with our employees.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 and Retention</w:t>
      </w:r>
    </w:p>
    <w:p>
      <w:pPr>
        <w:spacing w:after="0" w:line="13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recognize that our employees are essential to our success. To this end, we support business growth by seeking to attract and retain best-in-class talent. We use internal and external resources to recruit highly skilled candidates for open positions. We believe that we are able to attract and retain the talent that is required to meet our business goals.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Rewards</w:t>
      </w:r>
    </w:p>
    <w:p>
      <w:pPr>
        <w:spacing w:after="0" w:line="239"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Our total rewards philosophy has been to invest in our workforce by offering a competitive compensation and benefits package. We provide employees with compensation packages that include base salary, annual incentive bonuses and long-term equity incentive awards. We also offer comprehensive employee benefits, such as life, disability and health insurance, health savings and flexible spending accounts, paid time off, a 401(k) plan with market-competitive company matching contributions, and an Employee Stock Purchase Plan. It is our express intent to be an employer of choice in our industry by providing a market-competitive compensation and benefits package.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3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We have always invested, and will continue to invest, in the health, safety, and wellness of our employees. We provide our employees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w:t>
      </w:r>
    </w:p>
    <w:p>
      <w:pPr>
        <w:spacing w:after="0" w:line="162"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Our investments and the prioritization of employee health, safety, and wellness have taken on particular significance in light of the COVID-19 pandemic. To protect and support our team members, we have implemented health and safety measures that include maximizing personal workspaces, altering work schedules, mandating vaccines, and providing asymptomatic COVID-19 testing regularly for employees who work on site. To aid in containing the spread of COVID-19, we have implemented remote-work options and have limited employee travel. We continue to monitor this evolving situation and will continue to seek programs to educate and assist employees whenever possible.</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3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We believe a diverse workforce is critical to our success. Our mission is to value differences in races, ethnicities, religions, nationalities, genders, ages and sexual orientations, as well as education, skill sets and experience. We are focused on inclusive hiring practices, fair and equitable treatment, organizational flexibility and training and resources.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17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We believe in encouraging employees to be lifelong learners by providing ongoing learning and leadership training opportunities. While we strive to provide real-time recognition of employee performance, we have a formal annual review process not only to determine pay and equity adjustments tied to individual contributions, but to identify areas where employees may benefit from additional training and development opportunities.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 and History</w:t>
      </w:r>
    </w:p>
    <w:p>
      <w:pPr>
        <w:spacing w:after="0" w:line="135" w:lineRule="exact"/>
        <w:rPr>
          <w:sz w:val="20"/>
          <w:szCs w:val="20"/>
          <w:color w:val="auto"/>
        </w:rPr>
      </w:pPr>
    </w:p>
    <w:p>
      <w:pPr>
        <w:ind w:right="280" w:firstLine="468"/>
        <w:spacing w:after="0" w:line="277" w:lineRule="auto"/>
        <w:rPr>
          <w:sz w:val="20"/>
          <w:szCs w:val="20"/>
          <w:color w:val="auto"/>
        </w:rPr>
      </w:pPr>
      <w:r>
        <w:rPr>
          <w:rFonts w:ascii="Arial" w:cs="Arial" w:eastAsia="Arial" w:hAnsi="Arial"/>
          <w:sz w:val="18"/>
          <w:szCs w:val="18"/>
          <w:color w:val="auto"/>
        </w:rPr>
        <w:t>We were originally incorporated in the State of Delaware in December 2007 under the name “Mirna Therapeutics, Inc.” We carry on our business directly and through our subsidiaries.</w:t>
      </w:r>
    </w:p>
    <w:p>
      <w:pPr>
        <w:spacing w:after="0" w:line="21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subsidiary, Synlogic Operating Company, Inc. was incorporated in Delaware as TMC Therapeutics, Inc. on March 14, 2014. On July 15, 2014, TMC Therapeutics, Inc. changed its name to Synlogic, Inc. (Private Synlogic when referred to prior to the Merger (as defined below)). On July 2, 2015, the common and preferred shareholders of Private Synlogic executed the Synlogic, LLC Contribution Agreement, pursuant to which such common and preferred shareholders contributed such shareholders’ equity interests in Private Synlogic in exchange for common and preferred units in a newly formed parent company named Synlogic, LLC (the 2015 Reorganization). In addition, IBDCo was formed as a subsidiary of Synlogic, LLC, as part of the 2015 Reorganization, and we entered into a license, option and merger agreement with AbbVie for the development of treatments for IBD. On December 22, 2021, IBDCo was merged with and into Synlogic Operating Company, Inc. and IBDCo ceased to exist as a separate entity.</w:t>
      </w:r>
    </w:p>
    <w:p>
      <w:pPr>
        <w:spacing w:after="0" w:line="22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May 2017, Private Synlogic completed a reorganization (2017 Reorganization) pursuant to which Synlogic, LLC merged with and into Private Synlogic, with Private Synlogic continuing as the surviving corporation. Pursuant to the 2017 Reorganization, the common units and preferred units of Synlogic, LLC, together consisting of Class A preferred units, contingently redeemable Class A preferred units and Class B preferred units, were exchanged for common stock and preferred stock of Private Synlogic, respectively. Additionally, Private Synlogic issued equity awards under the Synlogic 2017 Stock Incentive Plan (2017 Plan) to replace the canceled incentive units pursuant to the termination of the Synlogic, LLC 2015 Equity Incentive Plan (2015 LLC Plan).</w:t>
      </w:r>
    </w:p>
    <w:p>
      <w:pPr>
        <w:spacing w:after="0" w:line="24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On August 25, 2017, in connection with, and prior to the completion of the Merger, Mirna effected a reverse stock split of its common stock (the Reverse Stock Split), and on August 28, 2017, immediately after completion of the Merger, Mirna changed its name to “Synlogic, Inc.” (NASDAQ: SYBX).</w:t>
      </w:r>
    </w:p>
    <w:p>
      <w:pPr>
        <w:spacing w:after="0" w:line="233"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Under the terms of the Merger Agreement, Mirna issued shares of its common stock to Private Synlogic’s stockholders, using an exchange ratio, after taking into account the Reverse Stock Split, for each share of Private Synlogic common stock and preferred stock outstanding immediately prior to the Merger (Exchange Ratio). In addition, Mirna assumed all of the stock options outstanding under the Synlogic 2017 Stock Incentive Plan (2017 Plan), with such stock options henceforth representing the right to purchase a number of shares of Mirna’s common stock equal to the Exchange Ratio multiplied by the number of shares of Private Synlogic common stock previously represented by such options. Mirna also assumed the 2017 Plan.</w:t>
      </w:r>
    </w:p>
    <w:p>
      <w:pPr>
        <w:spacing w:after="0" w:line="21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Our Internet address is www.synlogictx.com. Our annual reports on Form 10-K, quarterly reports on Form 10-Q, current reports on Form 8-K, and all amendments to those reports, are available to you free of charge through our website as soon as reasonably practicable after such materials have been electronically filed with, or furnished to, the Securities and Exchange Commission (SEC).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Annual Report on Form 10-K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00" w:right="3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00" w:right="4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00" w:hanging="493"/>
        <w:spacing w:after="0" w:line="296"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53" w:lineRule="exact"/>
        <w:rPr>
          <w:rFonts w:ascii="Arial" w:cs="Arial" w:eastAsia="Arial" w:hAnsi="Arial"/>
          <w:sz w:val="16"/>
          <w:szCs w:val="16"/>
          <w:color w:val="auto"/>
        </w:rPr>
      </w:pPr>
    </w:p>
    <w:p>
      <w:pPr>
        <w:ind w:left="1000" w:right="320" w:hanging="493"/>
        <w:spacing w:after="0" w:line="277" w:lineRule="auto"/>
        <w:tabs>
          <w:tab w:leader="none" w:pos="1000" w:val="left"/>
        </w:tabs>
        <w:numPr>
          <w:ilvl w:val="0"/>
          <w:numId w:val="23"/>
        </w:numPr>
        <w:rPr>
          <w:rFonts w:ascii="Arial" w:cs="Arial" w:eastAsia="Arial" w:hAnsi="Arial"/>
          <w:sz w:val="18"/>
          <w:szCs w:val="18"/>
          <w:color w:val="212529"/>
        </w:rPr>
      </w:pPr>
      <w:r>
        <w:rPr>
          <w:rFonts w:ascii="Arial" w:cs="Arial" w:eastAsia="Arial" w:hAnsi="Arial"/>
          <w:sz w:val="18"/>
          <w:szCs w:val="18"/>
          <w:color w:val="212529"/>
        </w:rPr>
        <w:t>A pandemic, epidemic, or outbreak of an infectious disease, such as COVID-19 may materially and adversely affect our business and our financial results.</w:t>
      </w:r>
    </w:p>
    <w:p>
      <w:pPr>
        <w:spacing w:after="0" w:line="62" w:lineRule="exact"/>
        <w:rPr>
          <w:rFonts w:ascii="Arial" w:cs="Arial" w:eastAsia="Arial" w:hAnsi="Arial"/>
          <w:sz w:val="18"/>
          <w:szCs w:val="18"/>
          <w:color w:val="212529"/>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500" w:right="120" w:hanging="493"/>
        <w:spacing w:after="0" w:line="259"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0" w:right="10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0" w:right="18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w:t>
      </w:r>
    </w:p>
    <w:p>
      <w:pPr>
        <w:spacing w:after="0" w:line="62" w:lineRule="exact"/>
        <w:rPr>
          <w:rFonts w:ascii="Arial" w:cs="Arial" w:eastAsia="Arial" w:hAnsi="Arial"/>
          <w:sz w:val="18"/>
          <w:szCs w:val="18"/>
          <w:color w:val="auto"/>
        </w:rPr>
      </w:pPr>
    </w:p>
    <w:p>
      <w:pPr>
        <w:ind w:left="500" w:right="22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17" w:lineRule="exact"/>
        <w:rPr>
          <w:rFonts w:ascii="Arial" w:cs="Arial" w:eastAsia="Arial" w:hAnsi="Arial"/>
          <w:sz w:val="18"/>
          <w:szCs w:val="18"/>
          <w:color w:val="auto"/>
        </w:rPr>
      </w:pPr>
    </w:p>
    <w:p>
      <w:pPr>
        <w:ind w:left="500" w:right="22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17"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500" w:right="40" w:hanging="493"/>
        <w:spacing w:after="0" w:line="263"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0" w:right="40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0" w:right="100" w:hanging="493"/>
        <w:spacing w:after="0" w:line="311"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0" w:hanging="493"/>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40" w:lineRule="exact"/>
        <w:rPr>
          <w:rFonts w:ascii="Arial" w:cs="Arial" w:eastAsia="Arial" w:hAnsi="Arial"/>
          <w:sz w:val="16"/>
          <w:szCs w:val="16"/>
          <w:color w:val="auto"/>
        </w:rPr>
      </w:pPr>
    </w:p>
    <w:p>
      <w:pPr>
        <w:ind w:left="500" w:right="300" w:hanging="493"/>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rFonts w:ascii="Arial" w:cs="Arial" w:eastAsia="Arial" w:hAnsi="Arial"/>
          <w:sz w:val="17"/>
          <w:szCs w:val="17"/>
          <w:color w:val="auto"/>
        </w:rPr>
      </w:pPr>
    </w:p>
    <w:p>
      <w:pPr>
        <w:ind w:left="500" w:right="20" w:hanging="493"/>
        <w:spacing w:after="0" w:line="30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rFonts w:ascii="Arial" w:cs="Arial" w:eastAsia="Arial" w:hAnsi="Arial"/>
          <w:sz w:val="17"/>
          <w:szCs w:val="17"/>
          <w:color w:val="auto"/>
        </w:rPr>
      </w:pPr>
    </w:p>
    <w:p>
      <w:pPr>
        <w:ind w:left="500" w:right="200" w:hanging="493"/>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20" w:top="449" w:right="379" w:bottom="1440" w:gutter="0" w:footer="0" w:header="0"/>
        </w:sectPr>
      </w:pPr>
    </w:p>
    <w:bookmarkStart w:id="37" w:name="page38"/>
    <w:bookmarkEnd w:id="37"/>
    <w:p>
      <w:pPr>
        <w:ind w:left="1000" w:right="1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$60.6 million and $59.2 million for the fiscal years ended December 31, 2021 and 2020, respectively. As of December 31, 2021, we had an accumulated deficit of approximately $290.9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We have used substantial funds to discover and develop our programs and proprietary drug development platform in synthetic biology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7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or we enter into third-party arrangements with collaborators.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68" w:lineRule="exact"/>
        <w:rPr>
          <w:sz w:val="20"/>
          <w:szCs w:val="20"/>
          <w:color w:val="auto"/>
        </w:rPr>
      </w:pPr>
    </w:p>
    <w:p>
      <w:pPr>
        <w:ind w:right="46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ind w:right="5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Annual Report on Form 10-K and others:</w:t>
      </w:r>
    </w:p>
    <w:p>
      <w:pPr>
        <w:spacing w:after="0" w:line="76"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milestones with our collaborators, such as Roche;</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Annual Report on Form 10-K and others such as:</w:t>
      </w:r>
    </w:p>
    <w:p>
      <w:pPr>
        <w:spacing w:after="0" w:line="41" w:lineRule="exact"/>
        <w:rPr>
          <w:sz w:val="20"/>
          <w:szCs w:val="20"/>
          <w:color w:val="auto"/>
        </w:rPr>
      </w:pPr>
    </w:p>
    <w:p>
      <w:pPr>
        <w:ind w:left="1000" w:right="54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perspectives on synthetic biology and genetic engineering;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39" w:name="page40"/>
    <w:bookmarkEnd w:id="39"/>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November of 2020, we announced that we had initiated the Phase 2 clinical study of SYNB1618, referred to as the SynPheny-1 Study, and the Phase 1 study of SYNB8802. In the third quarter of 2021, we added an arm evaluating SYNB1934 to the ongoing SynPheny -1 study and in July 2021 we dosed our first subject. All of our other therapeutic programs are still in the preclinical or clinical development stage.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inability to generate satisfactory preclinical or other nonclinical data, including,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We have also not yet succeeded and may never succeed in demonstrating efficacy and safety for our current or any future product candidates in a pivotal clinical trial. If we are not able to successfully develop and commercialize product candidates based upon this technological approach, we may never become profitable, and the value of our capital stock may decline.</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including demonstrating proof of concept of our lead program in in phenylketonuria (PKU), proof of mechanism for enteric hyperoxaluria, and the initiation of IND-enabling for a potential treatment for homocystinuria (HCU).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6"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decrease our ability to generate sufficient product revenue, and our business, financial condition, results of operations and prospects may be harmed.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required to conduct additional clinical trials or costly post-marketing testing and surveillance to monitor the safety of the product;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2" w:name="page43"/>
    <w:bookmarkEnd w:id="42"/>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On August 20, 2019, we announced that we were discontinuing our first therapeutic program to enter clinical trials, SYNB1020, an early-stage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well-tolerated in Phase 1b/2a study, the study showed it did not lower blood ammonia in patients with cirrhosis. As a result, we have become more dependent on the success of our SYNB1618, SYNB1934, and SYNB8802 programs.</w:t>
      </w:r>
    </w:p>
    <w:p>
      <w:pPr>
        <w:spacing w:after="0" w:line="1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one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jc w:val="both"/>
        <w:ind w:right="440" w:firstLine="510"/>
        <w:spacing w:after="0" w:line="263" w:lineRule="auto"/>
        <w:rPr>
          <w:sz w:val="20"/>
          <w:szCs w:val="20"/>
          <w:color w:val="auto"/>
        </w:rPr>
      </w:pPr>
      <w:r>
        <w:rPr>
          <w:rFonts w:ascii="Arial" w:cs="Arial" w:eastAsia="Arial" w:hAnsi="Arial"/>
          <w:sz w:val="18"/>
          <w:szCs w:val="18"/>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ind w:right="60"/>
        <w:spacing w:after="0" w:line="271" w:lineRule="auto"/>
        <w:rPr>
          <w:sz w:val="20"/>
          <w:szCs w:val="20"/>
          <w:color w:val="auto"/>
        </w:rPr>
      </w:pPr>
      <w:r>
        <w:rPr>
          <w:rFonts w:ascii="Arial" w:cs="Arial" w:eastAsia="Arial" w:hAnsi="Arial"/>
          <w:sz w:val="17"/>
          <w:szCs w:val="17"/>
          <w:color w:val="auto"/>
        </w:rPr>
        <w:t>and we may be unable to design and execute clinical trials to support regulatory approval of our product candidates. In addition, preclinical study and clinical trial data are often susceptible to varying interpretations and analyses, and many companies that believed their product candidates performed satisfactorily in preclinical studies and clinical trials nonetheless failed to obtain regulatory authority approval. Product candidates that seemingly perform satisfactorily in preclinical studies and clinical trials may nonetheless fail to obtain regulatory approval. There is a high failure rate for drugs proceeding through clinical trials. Many companies in the pharmaceutical and biotechnology industries have suffered significant setbacks in clinical development even after achieving promising results in earlier studies. These setbacks have been caused by, among other things, preclinical findings made while clinical trials were underway, or safety or efficacy observations made in preclinical studies and clinical trials, including previously unreported adverse events. Any such setbacks in our clinical development could negatively affect our business and operating results.</w:t>
      </w:r>
    </w:p>
    <w:p>
      <w:pPr>
        <w:spacing w:after="0" w:line="28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Clinical trials of a new product candidate require the enrollment of a sufficient number of healthy volunteers or patients suffering from the disease or condition the product candidate is intended to treat and who meet other eligibility criteria. The timing of our clinical trials depends on our ability to recruit eligible subjects to participate as well as the completion of required follow-up evaluations. Patients and healthy volunteers may be unwilling to participate in our clinical trials because of negative publicity from adverse events related to novel therapeutic approaches, competitive clinical trials for similar patient populations, the existence of current treatments or for other reasons including due to concerns posed by the COVID-19 pandemic.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8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line="271" w:lineRule="auto"/>
        <w:rPr>
          <w:sz w:val="20"/>
          <w:szCs w:val="20"/>
          <w:color w:val="auto"/>
        </w:rPr>
      </w:pPr>
      <w:r>
        <w:rPr>
          <w:rFonts w:ascii="Arial" w:cs="Arial" w:eastAsia="Arial" w:hAnsi="Arial"/>
          <w:sz w:val="17"/>
          <w:szCs w:val="17"/>
          <w:color w:val="auto"/>
        </w:rPr>
        <w:t>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70"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212529"/>
        </w:rPr>
        <w:t>The coronavirus outbreak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 For example, in 2021, we experienced delays with the FDA that we believe were related to COVID-19. In addition, clinical site initiation and patient enrollment may be delayed due to prioritization of healthcare system resources toward the COVID-19 pandemic. For example, in 2021, the ability of site IRBs to meet and review protocol amendments were delayed due to COVID-19. Sites were also unable at times to schedule in-person screening visits with potential patients during certain times in 2021. Some patients may not be able to comply with clinical trial protocols if quarantines impede patient movement or interrupt healthcare services. Similarly, the ability to recruit and retain patients and principal investigators and site staff who, as healthcare providers, may have heightened exposure to COVID-19 has adversely impacted our clinical trial operations.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jc w:val="both"/>
        <w:ind w:right="2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We will continue to carefully monitor the situation with respect to each of our clinical trials and follow guidance from local and federal health authorities.</w:t>
      </w:r>
    </w:p>
    <w:p>
      <w:pPr>
        <w:spacing w:after="0" w:line="188" w:lineRule="exact"/>
        <w:rPr>
          <w:sz w:val="20"/>
          <w:szCs w:val="20"/>
          <w:color w:val="auto"/>
        </w:rPr>
      </w:pPr>
    </w:p>
    <w:p>
      <w:pPr>
        <w:ind w:right="220" w:firstLine="510"/>
        <w:spacing w:after="0" w:line="287" w:lineRule="auto"/>
        <w:rPr>
          <w:sz w:val="20"/>
          <w:szCs w:val="20"/>
          <w:color w:val="auto"/>
        </w:rPr>
      </w:pPr>
      <w:r>
        <w:rPr>
          <w:rFonts w:ascii="Arial" w:cs="Arial" w:eastAsia="Arial" w:hAnsi="Arial"/>
          <w:sz w:val="16"/>
          <w:szCs w:val="16"/>
          <w:color w:val="212529"/>
        </w:rPr>
        <w:t xml:space="preserve">COVID-19 may also affect employees of third-party contract research organizations and </w:t>
      </w:r>
      <w:r>
        <w:rPr>
          <w:rFonts w:ascii="Arial" w:cs="Arial" w:eastAsia="Arial" w:hAnsi="Arial"/>
          <w:sz w:val="16"/>
          <w:szCs w:val="16"/>
          <w:color w:val="000000"/>
        </w:rPr>
        <w:t>contract manufacturing organizations</w:t>
      </w:r>
      <w:r>
        <w:rPr>
          <w:rFonts w:ascii="Arial" w:cs="Arial" w:eastAsia="Arial" w:hAnsi="Arial"/>
          <w:sz w:val="16"/>
          <w:szCs w:val="16"/>
          <w:color w:val="212529"/>
        </w:rPr>
        <w:t xml:space="preserve"> located in affected geographies that we rely upon to carry out our clinical trials. For example, there were delays in laboratory analyses of patient samples due to pandemic related staffing issues at our contract research organizations. In addition, we have taken precautionary measures, and may take additional</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12529"/>
        </w:rPr>
        <w:t>measures, intended to help minimize the risk of the virus to our employees, including mandating vaccines and mask use, temporarily requiring all non-essential employees to work remotely, suspending all non-essential travel worldwide for our employees, and discouraging employee attendance at industry events and in-person work-related meetings, which could negatively affect our business.</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In addition, a recession or market correction resulting from the spread of COVID-19 could materially affect our business and the price of our common stock.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and other comparable foreign regulatory authorities are lengthy, time consuming and inherently unpredictable, and if we are ultimately unable to obtain regulatory approval for our product candidates, our business will be substantially harmed.</w:t>
      </w:r>
    </w:p>
    <w:p>
      <w:pPr>
        <w:spacing w:after="0" w:line="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time required to obtain marketing approval for a novel therapeutic product from the FDA and other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commercialization, of any product candidate and it is possible that none of our existing product candidates or any product candidates we may seek to develop in the future will ever obtain that approval.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other comparable foreign regulatory authorities that our product candidates are safe, pure and potent or effective for their proposed indications;</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other comparable foreign regulatory authorities in order to support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BLA, to the FDA or other equivalent marketing authorization application submissions to obtain regulatory approval in the United States or elsewhere;</w:t>
      </w:r>
    </w:p>
    <w:p>
      <w:pPr>
        <w:spacing w:after="0" w:line="38" w:lineRule="exact"/>
        <w:rPr>
          <w:rFonts w:ascii="Arial" w:cs="Arial" w:eastAsia="Arial" w:hAnsi="Arial"/>
          <w:sz w:val="17"/>
          <w:szCs w:val="17"/>
          <w:color w:val="auto"/>
        </w:rPr>
      </w:pPr>
    </w:p>
    <w:p>
      <w:pPr>
        <w:ind w:left="1000" w:right="4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review of our clinical trial sites and data, the FDA or comparable foreign regulatory authorities may find our record keeping or the record keeping of our clinical trial sites or investigators to be inadequate;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ind w:left="1000" w:right="3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other comparable foreign regulatory authorities or the laws they enforce may significantly change in a manner rendering our clinical data insufficient for approval.</w:t>
      </w:r>
    </w:p>
    <w:p>
      <w:pPr>
        <w:spacing w:after="0" w:line="17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other comparable foreign regulatory authorities have substantial discretion in the approval process and determining when or whether to grant regulatory approval will be obtained for any of our product candidates, and whether to impose any conditions on such marketing approvals as described below. Even if we believe the data collected from clinical trials of our product candidates are promising, such data may not be sufficient to support approval by the FDA or other comparable foreign regulatory authorities.</w:t>
      </w:r>
    </w:p>
    <w:p>
      <w:pPr>
        <w:spacing w:after="0" w:line="192"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if any, they may grant approval contingent on the performance of costly post-marketing clinical trials, or they may approve a product candidate with a label that does not include the labeling claims necessary or desirable for the successful commercialization of that product candidate or with restrictive risk mitigation measures or warning language or contraindications that make the approved product more difficult or costly to commercialize. Any of the foregoing scenarios could materially harm the commercial prospects for our product candidates.</w:t>
      </w:r>
    </w:p>
    <w:p>
      <w:pPr>
        <w:spacing w:after="0" w:line="3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received Fast Track designation for one of our product candidates and may seek such designation for one or more of our other product candidates, but we might not receive such designation, and even if we do, such designation may not actually lead to a faster development or regulatory review or approval process.</w:t>
      </w:r>
    </w:p>
    <w:p>
      <w:pPr>
        <w:spacing w:after="0" w:line="76"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 Track designation. We were awarded Fast Track designation for SYNB1618 in April 2018. Fast Track designation does not ensure that we will receive marketing approval for the product candidate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marketing clinical trials, and submission of safety, efficacy and other post-approval information, including both federal and state requirements in the United States and requirements of comparable foreign regulatory authorities.</w:t>
      </w:r>
    </w:p>
    <w:p>
      <w:pPr>
        <w:spacing w:after="0" w:line="170"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Obtaining and maintaining marketing approval of our current and future product candidates in one jurisdiction does not mean that we will be successful in obtaining marketing approval of our current and future therapeutic product candidates in other jurisdictions.</w:t>
      </w:r>
    </w:p>
    <w:p>
      <w:pPr>
        <w:spacing w:after="0" w:line="16"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future products will also be subject to approval.</w:t>
      </w:r>
    </w:p>
    <w:p>
      <w:pPr>
        <w:spacing w:after="0" w:line="19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may submit marketing applications in other countries in addition to the United States.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jc w:val="both"/>
        <w:ind w:right="40"/>
        <w:spacing w:after="0" w:line="263" w:lineRule="auto"/>
        <w:rPr>
          <w:sz w:val="20"/>
          <w:szCs w:val="20"/>
          <w:color w:val="auto"/>
        </w:rPr>
      </w:pPr>
      <w:r>
        <w:rPr>
          <w:rFonts w:ascii="Arial" w:cs="Arial" w:eastAsia="Arial" w:hAnsi="Arial"/>
          <w:sz w:val="18"/>
          <w:szCs w:val="18"/>
          <w:color w:val="auto"/>
        </w:rPr>
        <w:t>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9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260" w:firstLine="510"/>
        <w:spacing w:after="0" w:line="254"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financial condition or results of operations.</w:t>
      </w:r>
    </w:p>
    <w:p>
      <w:pPr>
        <w:spacing w:after="0" w:line="129"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(collectively, the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and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biologics, and created a new Medicare Part D coverage gap discount program, in which manufacturers must agree to offer 70% (increased from 50% pursuant to the Bipartisan Budget Act of 2018, effective as of 2019) point-of-sale discounts off negotiated prices of applicable brand drugs and biologics to eligible beneficiaries during their coverage gap period, as a condition for the manufacturer’s outpatient drugs or biologics to be covered under Medicare Part D.</w:t>
      </w:r>
    </w:p>
    <w:p>
      <w:pPr>
        <w:spacing w:after="0" w:line="18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78" w:lineRule="exact"/>
        <w:rPr>
          <w:sz w:val="20"/>
          <w:szCs w:val="20"/>
          <w:color w:val="auto"/>
        </w:rPr>
      </w:pPr>
    </w:p>
    <w:p>
      <w:pPr>
        <w:ind w:right="260" w:firstLine="510"/>
        <w:spacing w:after="0" w:line="273" w:lineRule="auto"/>
        <w:rPr>
          <w:sz w:val="20"/>
          <w:szCs w:val="20"/>
          <w:color w:val="auto"/>
        </w:rPr>
      </w:pPr>
      <w:r>
        <w:rPr>
          <w:rFonts w:ascii="Arial" w:cs="Arial" w:eastAsia="Arial" w:hAnsi="Arial"/>
          <w:sz w:val="17"/>
          <w:szCs w:val="17"/>
          <w:color w:val="auto"/>
        </w:rPr>
        <w:t>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100" w:firstLine="510"/>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2030, with the exception of a temporary suspension from May 1, 2020 through June 30, 2022 (a 1% sequester will apply from April 1, 2022 through June 30, 2022) due to the COVID-19 pandemic, unless additional Congressional action is taken. On January 2, 2013, the American Taxpayer Relief Act of 2012 was signed into law, which, among other things, reduced Medicare payments to several providers, including hospitals and cancer treatment centers, and increased the statute of limitations period for the government to recover overpayments to providers from three to five years. As another example, the 2021 Consolidated Appropriations Act signed into law on December 27, 2020, incorporated extensive healthcare provisions and amendments to existing laws, including a requirement that all manufacturers of drugs and biological products covered under Medicare Part B report the product’s average sales price, or ASP, to HHS beginning on January 1, 2022, subject to enforcement via civil money penalties.</w:t>
      </w:r>
    </w:p>
    <w:p>
      <w:pPr>
        <w:spacing w:after="0" w:line="18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For example, in December 2016, the 21st Century Cures Act, or Cures Act, was signed into law. The Cures Act, among other things, was intended to modernize the regulation of drugs and devices and to spur innovation, but its ultimate implementation is uncertain.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and biological product provisions. The next legislative reauthorization must be completed in 2022, which has the potential to make further changes to FDA authorities or policies pertaining to biopharmaceutical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68"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and the recent transition to a new Democrat-led presidential administration created further uncertainty in the health care and biopharmaceutical industries. For example, in July 2021, President Biden issued a sweeping executive order on promoting competition in the American economy that includes several mandates pertaining to the pharmaceutical and health care insurance industries. Among other things, the executive order directs the FDA to work towards implementing a system for importing drugs from Canada (following on a Trump administration notice-and-comment rulemaking on Canadian drug importation that was finalized in October 2020). The Biden order also called on HHS to release a comprehensive plan to combat high prescription drug prices, and it includes several directives regarding the Federal Trade Commission’s oversight of potentially anticompetitive practices within the pharmaceutical industry. The drug pricing plan released by HHS in September 2021 in response to the executive order makes clear that the Biden Administration supports aggressive action to address rising drug prices, including allowing HHS to negotiate the cost of Medicare Part B and D drugs, but such significant changes will require either new legislation to be passed by Congress or time-consuming administrative actions. Accordingly, there remains a large amount of uncertainty regarding the federal government’s approach to making pharmaceutical treatment costs more affordable for patients.</w:t>
      </w:r>
    </w:p>
    <w:p>
      <w:pPr>
        <w:spacing w:after="0" w:line="1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California requires pharmaceutical manufacturers to notify certain purchasers, including health insurers and government health plans at least 60 days before any scheduled increase in the wholesale acquisition cost (WAC), of their product if the increase exceeds 16%, and further requires pharmaceutical manufacturers to explain whether a change or improvement in the product necessitates such an increase. Similarly, Vermont requires pharmaceutical manufacturers to disclose price information on certain prescription drugs, and to provide notification to the state if introducing a new drug with a WAC in excess of the Medicare Part D specialty drug threshold. In December 2020, the U.S. Supreme Court also held unanimously that federal law does not preempt the states’ ability to regulate pharmaceutical benefit managers, or PBMs, and other members of the healthcare and pharmaceutical supply chain, an important decision that may lead to further and more aggressive efforts by states in this area. Legally mandated price controls on payment amounts by third-party payors or other restrictions could harm our business, results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20"/>
        <w:spacing w:after="0" w:line="259" w:lineRule="auto"/>
        <w:rPr>
          <w:sz w:val="20"/>
          <w:szCs w:val="20"/>
          <w:color w:val="auto"/>
        </w:rPr>
      </w:pPr>
      <w:r>
        <w:rPr>
          <w:rFonts w:ascii="Arial" w:cs="Arial" w:eastAsia="Arial" w:hAnsi="Arial"/>
          <w:sz w:val="18"/>
          <w:szCs w:val="18"/>
          <w:color w:val="auto"/>
        </w:rPr>
        <w:t>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8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184"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20" w:hanging="493"/>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00" w:right="80" w:hanging="493"/>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physician payments sunshine requirements under the ACA require manufacturers of drugs, devices, biologics, and medical supplies to report annually to the HHS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78" w:lineRule="exact"/>
        <w:rPr>
          <w:rFonts w:ascii="Arial" w:cs="Arial" w:eastAsia="Arial" w:hAnsi="Arial"/>
          <w:sz w:val="18"/>
          <w:szCs w:val="18"/>
          <w:color w:val="auto"/>
        </w:rPr>
      </w:pPr>
    </w:p>
    <w:p>
      <w:pPr>
        <w:ind w:left="1000" w:right="20" w:hanging="493"/>
        <w:spacing w:after="0" w:line="272"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color w:val="auto"/>
        </w:rPr>
        <w:t>intent to violate it. Moreover, the ACA provides that the U.S. government may assert that a claim including items or services resulting from a violation of the federal anti-kickback statute constitutes a false or fraudulent claim for purposes of the False Claims Act.</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However, in July 2020, the Court of Justice of the EU (CJEU) limited how organizations could lawfully transfer personal data from the EEA to the United States by invalidating the EU-US Privacy Shield for purposes of international transfers and imposing further restrictions on use of the standard contractual clauses (SCCs)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European Commission subsequently issued new SCCs in June 2021 to account for the decision of the CJEU and recommendations made by the European Data Protection Board, and which are in turn relatively more onerous.</w:t>
      </w:r>
    </w:p>
    <w:p>
      <w:pPr>
        <w:spacing w:after="0" w:line="180"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various states, such as California and Massachusetts, have implemented similar privacy laws and regulations, such as the California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Confidentiality of Medical Information Act, that impose restrictive requirements regulating the use and disclosure of health information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personally identifiable information. In addition to fines and penalties imposed upon violators, some of these state laws also afford private rights of action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individuals who believe their personal information has been misused. California’s patient privacy laws, for example, provide for penalties of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and permit injured parties to sue for damages. In addition, California enacted the California Consumer Privacy Act (the CCPA), which took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2020, became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2" w:name="page53"/>
    <w:bookmarkEnd w:id="52"/>
    <w:p>
      <w:pPr>
        <w:ind w:right="60"/>
        <w:spacing w:after="0" w:line="268" w:lineRule="auto"/>
        <w:rPr>
          <w:sz w:val="20"/>
          <w:szCs w:val="20"/>
          <w:color w:val="auto"/>
        </w:rPr>
      </w:pPr>
      <w:r>
        <w:rPr>
          <w:rFonts w:ascii="Arial" w:cs="Arial" w:eastAsia="Arial" w:hAnsi="Arial"/>
          <w:sz w:val="17"/>
          <w:szCs w:val="17"/>
          <w:color w:val="auto"/>
        </w:rPr>
        <w:t>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Further,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adopted in other states (for example Nevada, Virginia and Colorado) or proposed in other states and at the federal level, and if passed, such laws may have potentially conflicting requirements that would make compliance challenging.</w:t>
      </w:r>
    </w:p>
    <w:p>
      <w:pPr>
        <w:spacing w:after="0" w:line="18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4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cyber-attacks,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If any of the above events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ind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independently or together with our licensors or collaborators,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2" w:lineRule="exact"/>
        <w:rPr>
          <w:sz w:val="20"/>
          <w:szCs w:val="20"/>
          <w:color w:val="auto"/>
        </w:rPr>
      </w:pPr>
    </w:p>
    <w:p>
      <w:pPr>
        <w:ind w:right="220" w:firstLine="510"/>
        <w:spacing w:after="0" w:line="291" w:lineRule="auto"/>
        <w:rPr>
          <w:sz w:val="20"/>
          <w:szCs w:val="20"/>
          <w:color w:val="auto"/>
        </w:rPr>
      </w:pPr>
      <w:r>
        <w:rPr>
          <w:rFonts w:ascii="Arial" w:cs="Arial" w:eastAsia="Arial" w:hAnsi="Arial"/>
          <w:sz w:val="16"/>
          <w:szCs w:val="16"/>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ind w:right="40"/>
        <w:spacing w:after="0" w:line="259" w:lineRule="auto"/>
        <w:rPr>
          <w:sz w:val="20"/>
          <w:szCs w:val="20"/>
          <w:color w:val="auto"/>
        </w:rPr>
      </w:pPr>
      <w:r>
        <w:rPr>
          <w:rFonts w:ascii="Arial" w:cs="Arial" w:eastAsia="Arial" w:hAnsi="Arial"/>
          <w:sz w:val="18"/>
          <w:szCs w:val="18"/>
          <w:color w:val="auto"/>
        </w:rPr>
        <w:t>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ind w:right="680"/>
        <w:spacing w:after="0" w:line="277" w:lineRule="auto"/>
        <w:rPr>
          <w:sz w:val="20"/>
          <w:szCs w:val="20"/>
          <w:color w:val="auto"/>
        </w:rPr>
      </w:pPr>
      <w:r>
        <w:rPr>
          <w:rFonts w:ascii="Arial" w:cs="Arial" w:eastAsia="Arial" w:hAnsi="Arial"/>
          <w:sz w:val="18"/>
          <w:szCs w:val="18"/>
          <w:color w:val="auto"/>
        </w:rPr>
        <w:t>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line="257" w:lineRule="auto"/>
        <w:rPr>
          <w:sz w:val="20"/>
          <w:szCs w:val="20"/>
          <w:color w:val="auto"/>
        </w:rPr>
      </w:pPr>
      <w:r>
        <w:rPr>
          <w:rFonts w:ascii="Arial" w:cs="Arial" w:eastAsia="Arial" w:hAnsi="Arial"/>
          <w:sz w:val="18"/>
          <w:szCs w:val="18"/>
          <w:color w:val="auto"/>
        </w:rPr>
        <w:t>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8" w:name="page59"/>
    <w:bookmarkEnd w:id="58"/>
    <w:p>
      <w:pPr>
        <w:ind w:right="100"/>
        <w:spacing w:after="0" w:line="271" w:lineRule="auto"/>
        <w:rPr>
          <w:sz w:val="20"/>
          <w:szCs w:val="20"/>
          <w:color w:val="auto"/>
        </w:rPr>
      </w:pPr>
      <w:r>
        <w:rPr>
          <w:rFonts w:ascii="Arial" w:cs="Arial" w:eastAsia="Arial" w:hAnsi="Arial"/>
          <w:sz w:val="17"/>
          <w:szCs w:val="17"/>
          <w:color w:val="auto"/>
        </w:rPr>
        <w:t>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right="40"/>
        <w:spacing w:after="0" w:line="255" w:lineRule="auto"/>
        <w:rPr>
          <w:sz w:val="20"/>
          <w:szCs w:val="20"/>
          <w:color w:val="auto"/>
        </w:rPr>
      </w:pPr>
      <w:r>
        <w:rPr>
          <w:rFonts w:ascii="Arial" w:cs="Arial" w:eastAsia="Arial" w:hAnsi="Arial"/>
          <w:sz w:val="18"/>
          <w:szCs w:val="18"/>
          <w:color w:val="auto"/>
        </w:rPr>
        <w:t>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have relied upon and plan to continue to rely upon third parties, including independent clinical investigators, contracted laboratories and third-party CROs, to conduct our preclinical studies and clinical trials, as well as certain product candidate discovery and development activities,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 as applicable, and good clinical practice (GCP) requirements, which are regulations and guidelines enforced by the FDA, the EMA and other comparable foreign regulatory authorities for all of our products in clinical development. Regulatory authorities enforce these GLP and GCP through periodic inspections of laboratories conducting GLP studies, and clinical trial sponsors, principal investigators, CROs, and trial sites when auditing for GCP compliance. If we, our investigators or any of our CROs or contracted laboratories fail to comply with applicable GLP and GCP, as applicable, the data generated in our preclinical studies and clinical trials may be deemed unreliable and the FDA, the EMA or other comparable foreign regulatory authorities may require us to perform additional preclinical studies or clinical trials before approving our marketing applications for our therapeutic product candidates.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produced in compliance with applicable cGMP regulations. Our failure to comply with these regulations may require us to repeat preclinical studies or clinical trials, which would delay the regulatory approval process.</w:t>
      </w:r>
    </w:p>
    <w:p>
      <w:pPr>
        <w:spacing w:after="0" w:line="176"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studies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380"/>
        <w:spacing w:after="0" w:line="277" w:lineRule="auto"/>
        <w:rPr>
          <w:sz w:val="20"/>
          <w:szCs w:val="20"/>
          <w:color w:val="auto"/>
        </w:rPr>
      </w:pPr>
      <w:r>
        <w:rPr>
          <w:rFonts w:ascii="Arial" w:cs="Arial" w:eastAsia="Arial" w:hAnsi="Arial"/>
          <w:sz w:val="18"/>
          <w:szCs w:val="18"/>
          <w:color w:val="auto"/>
        </w:rPr>
        <w:t>such delay or rejection could prevent us from commercializing our clinical-stage product candidate or any future therapeutic product candidates it may develop.</w:t>
      </w:r>
    </w:p>
    <w:p>
      <w:pPr>
        <w:spacing w:after="0" w:line="27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 xml:space="preserve">We have agreements with Azzur Cleanrooms-On-Demand to lease clean-room space at their facility for </w:t>
      </w:r>
      <w:r>
        <w:rPr>
          <w:rFonts w:ascii="Arial" w:cs="Arial" w:eastAsia="Arial" w:hAnsi="Arial"/>
          <w:sz w:val="18"/>
          <w:szCs w:val="18"/>
          <w:color w:val="2A2A2A"/>
        </w:rPr>
        <w:t>manufacturing and formulation of cGMP</w:t>
      </w:r>
      <w:r>
        <w:rPr>
          <w:rFonts w:ascii="Arial" w:cs="Arial" w:eastAsia="Arial" w:hAnsi="Arial"/>
          <w:sz w:val="18"/>
          <w:szCs w:val="18"/>
          <w:color w:val="auto"/>
        </w:rPr>
        <w:t xml:space="preserve"> </w:t>
      </w:r>
      <w:r>
        <w:rPr>
          <w:rFonts w:ascii="Arial" w:cs="Arial" w:eastAsia="Arial" w:hAnsi="Arial"/>
          <w:sz w:val="18"/>
          <w:szCs w:val="18"/>
          <w:color w:val="2A2A2A"/>
        </w:rPr>
        <w:t>material for our clinical trials and we have agreed to pay Azzur to renovate and upgrade the cleanroom space for expanded use. If Azzur were to not adhere to our agreement or suffer a material adverse event that affected their delivery of services to us, our ability to conduct clinical operations would be impacted.</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may be required to conduct bridging studies or repeat clinical trials to assure comparable safety, purity and potency. The delays associated with the verification of a new manufacturer could negatively affect our ability to develop product candidates in a timely manner or within budget.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ind w:right="10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typically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4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right="340" w:firstLine="510"/>
        <w:spacing w:after="0" w:line="257" w:lineRule="auto"/>
        <w:rPr>
          <w:sz w:val="20"/>
          <w:szCs w:val="20"/>
          <w:color w:val="auto"/>
        </w:rPr>
      </w:pPr>
      <w:r>
        <w:rPr>
          <w:rFonts w:ascii="Arial" w:cs="Arial" w:eastAsia="Arial" w:hAnsi="Arial"/>
          <w:sz w:val="18"/>
          <w:szCs w:val="18"/>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Generation Bio Co., Agios Pharmaceuticals, Inc., SOM Biotech SL, Jnana Therapeutics and other discovery stage companies have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3" w:name="page64"/>
    <w:bookmarkEnd w:id="63"/>
    <w:p>
      <w:pPr>
        <w:spacing w:after="0" w:line="272" w:lineRule="auto"/>
        <w:rPr>
          <w:sz w:val="20"/>
          <w:szCs w:val="20"/>
          <w:color w:val="auto"/>
        </w:rPr>
      </w:pPr>
      <w:r>
        <w:rPr>
          <w:rFonts w:ascii="Arial" w:cs="Arial" w:eastAsia="Arial" w:hAnsi="Arial"/>
          <w:sz w:val="17"/>
          <w:szCs w:val="17"/>
          <w:color w:val="auto"/>
        </w:rPr>
        <w:t>developed or are developing product candidates for the treatment of PKU. Allena Pharmaceuticals, Inc, Novome Biotechnologies, Inc., Federation Bio, Inc., Oxidien Pharmaceuticals L.L.C. and others are developing product candidates for enteric hyperoxaluria.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7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right="100" w:firstLine="510"/>
        <w:spacing w:after="0" w:line="288" w:lineRule="auto"/>
        <w:rPr>
          <w:sz w:val="20"/>
          <w:szCs w:val="20"/>
          <w:color w:val="auto"/>
        </w:rPr>
      </w:pPr>
      <w:r>
        <w:rPr>
          <w:rFonts w:ascii="Arial" w:cs="Arial" w:eastAsia="Arial" w:hAnsi="Arial"/>
          <w:sz w:val="16"/>
          <w:szCs w:val="16"/>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HHS,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 No uniform policy for coverage and reimbursement for drug products exist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6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when an equivalent generic/biosimilar drug or a less expensive therapy is available. It is possible that a third-party payor may consider our product candidate and other therapies as substitutable and only offer to reimburse patients for the less expensive product. Even if we show improved efficacy or improved convenience of administration with our product candidate over other available and comparable products, pricing of existing drugs may limit the amount we will be able to charge for its product candidate. These payors may deny or revoke the reimbursement status of 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5" w:name="page66"/>
    <w:bookmarkEnd w:id="65"/>
    <w:p>
      <w:pPr>
        <w:spacing w:after="0" w:line="286" w:lineRule="auto"/>
        <w:rPr>
          <w:sz w:val="20"/>
          <w:szCs w:val="20"/>
          <w:color w:val="auto"/>
        </w:rPr>
      </w:pPr>
      <w:r>
        <w:rPr>
          <w:rFonts w:ascii="Arial" w:cs="Arial" w:eastAsia="Arial" w:hAnsi="Arial"/>
          <w:sz w:val="17"/>
          <w:szCs w:val="17"/>
          <w:color w:val="auto"/>
        </w:rPr>
        <w:t>given drug product or establish prices for new or existing marketed products at levels that are too low to enable it to realize an appropriate return on our investment in product development. If coverage and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For example, under these circumstances, physicians may limit how much or under what circumstances they will prescribe or administer our products and patients may deliver to purchase such products. This, in turn, could affect our ability to commercialize our products successfully and impact our profitability, results of operations, financial condition, and future success.</w:t>
      </w:r>
    </w:p>
    <w:p>
      <w:pPr>
        <w:spacing w:after="0" w:line="16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Other countries allow companies to fix their own prices for medical products but monitor and control company profits.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64" w:lineRule="exact"/>
        <w:rPr>
          <w:sz w:val="20"/>
          <w:szCs w:val="20"/>
          <w:color w:val="auto"/>
        </w:rPr>
      </w:pPr>
    </w:p>
    <w:p>
      <w:pPr>
        <w:ind w:right="28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57"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5"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120"/>
        <w:spacing w:after="0" w:line="263" w:lineRule="auto"/>
        <w:rPr>
          <w:sz w:val="20"/>
          <w:szCs w:val="20"/>
          <w:color w:val="auto"/>
        </w:rPr>
      </w:pPr>
      <w:r>
        <w:rPr>
          <w:rFonts w:ascii="Arial" w:cs="Arial" w:eastAsia="Arial" w:hAnsi="Arial"/>
          <w:sz w:val="18"/>
          <w:szCs w:val="18"/>
          <w:color w:val="auto"/>
        </w:rPr>
        <w:t>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March 10, 2022, our executive officers and directors, together with holders of 5% or more of our common stock outstanding and their respective affiliates, beneficially own approximately 48.6%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March 10, 2022, there were a total of 70,228,487 shares of our common stock outstanding.</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00" w:right="2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ind w:left="1000" w:right="3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8" w:name="page69"/>
    <w:bookmarkEnd w:id="68"/>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corporate headquarters and operations are located in Cambridge, Massachusetts. We currently lease laboratory and office space at 301 Binney Street in Cambridge. Our 301 Binney Street lease expires in 2028. We believe that our facilities are suitable and adequate for our needs for the foreseeable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From time to time, we are subject to various legal proceedings, claims and administrative proceedings that arise in the ordinary course of our business activities. Although the results of the litigation and claims cannot be predicated with certainty, as of the date of this report, we do not believe we are party to any claim, proceeding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70" w:name="page71"/>
    <w:bookmarkEnd w:id="70"/>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720"/>
        <w:spacing w:after="0" w:line="38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common stock has been traded on The Nasdaq Capital Market under the symbol “SYBX” since August 28, 2017, prior to which it was traded under the symbol “MIRN”.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10, 2022, there were approximately 106 stockholders of record of our common stock.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We have never declared or paid any dividends to our stockholders since our inception, and we do not plan to declare or pay cash dividends in the foreseeable future. We currently anticipate that we will retain any future earnings for the operation and expansion of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Employees surrendered 18,187 shares to us, at purchase prices ranging from $3.50 to $4.12, during the year ended December 31, 2021, for the payment of the minimum tax liability withholding obligations upon the vesting of shares of restricted stock. We do not consider this a share buyback program.</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Risk Factors in Part I, Item 1A of this Annual Report on Form 10-K, the audited financial statements and accompanying notes, included elsewhere in this Annual Report on Form 10-K, and this Management's Discussion and Analysis of Financial Condition and Results of Operations should be read together. In addition to historical information, this discussion and analysis contains forward-looking statements within the meaning of Section 27A of the Securities Act, and Section 21E of the Exchange Act. Operating results are not necessarily indicative of results that may occur for the full fiscal year or any other future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Synlogic is a clinical-stage biotechnology company advancing a new paradigm of biotherapeutics through its unique and proprietary approach to synthetic biology. Synthetic biology leverages engineering principles to enable the design of new biological systems, genetic circuits and molecular components. Synlogic is delivering the power of synthetic biology to medicine, combining the precision of engineering with rational drug development to develop what are called Synthetic Biotics. Synthetic Biotics are a novel drug modality that that uses programmable, precision genetic engineering of well-characterized probiotics to exert localized activity for therapeutic benefit, with a focus on metabolic and immunologic diseases.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Candidate Pipeline</w:t>
      </w:r>
    </w:p>
    <w:p>
      <w:pPr>
        <w:spacing w:after="0" w:line="13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Synlogic’s pipeline includes its lead program in phenylketonuria (PKU), which has demonstrated proof of concept and we plan to start a pivotal, Phase 3 study in the second half of 2022. Our pipeline also includes novel drug candidates designed to treat homocystinuria (HCU) and enteric hyperoxaluria. Synlogic is also working with Roche in a research collaboration focused on the discovery of a novel Synthetic Biotic for the treatment of inflammatory bowel disease (IBD) and with Ginkgo Bioworks, Inc. (Ginkgo) on additional undisclosed preclinical assets, combining Synlogic’s approach to Synthetic Biotics with Ginkgo’s Codebase and Foundry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137160</wp:posOffset>
            </wp:positionV>
            <wp:extent cx="5383530" cy="1920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8353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Metabolic Disease</w:t>
      </w:r>
    </w:p>
    <w:p>
      <w:pPr>
        <w:spacing w:after="0" w:line="13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There are a number of metabolic diseases involving a lack of certain enzymes that are responsible for metabolizing commonly occurring byproducts of digestion. The absence of these enzymes is caused by either a genetic mutation characterized by a dysfunctional metabolic pathway, such as PKU or HCU, or organ dysfunction, such as enteric hyperoxaluria. In patients with these diseases, the absence of certain enzymes causes metabolites to accumulate to in the gut and systemically throughout the body. In patients with PKU and HCU, these metabolites build up to toxic levels resulting in serious health consequences, including irreversible neurological dysfunction.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PKU</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Our PKU program includes two development candidates, SYNB1618 and SYNB1934. SYNB1618 and SYNB1934 are orally administered, non-systemically absorbed drug candidates being studied as potential treatments for PKU, a genetic disease caused by potentially neurotoxic levels of the amino acid Phe. Treatment options for PKU are currently limited due to efficacy and safety, with an estimated 80% of US patients remaining in need of treatment, and many of those who are treated in need of additional Phe-lowering. We designed our drug candidates to reduce levels of Phe in people with PKU using precision genetic engineering of the well-characterized probiotic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Findings to date support the potential for an efficacious, safe, convenient, and flexible treatment option for PKU and SYNB1618 has received both Orphan Drug and Fast Track designations by the FDA. Both SYNB1618 and SYNB1934 are being studied in the Phase 2 SynPheny-1 study, with data expected in the first half of 2022, and initiation of the Phase 3 program to begin in the second half of 2022.</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solid oral lyophilized formulation of SYNB1618. We have evaluated this oral formulation in a bridging study in healthy volunteers. The study of this more patient-and commercialization-appropriate presentation of SYNB1618 demonstrated activity and improved tolerability over the liquid formulation.</w:t>
      </w:r>
    </w:p>
    <w:p>
      <w:pPr>
        <w:spacing w:after="0" w:line="16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initiated a Phase 2 clinical trial with SYNB1618 in the third quarter of 2020, referred to as the SynPheny-1 Study. The SynPheny-1 Study is designed to evaluate safety and tolerability of a solid oral formulation of SYNB1618 as well as its potential to lower blood Phe levels in adult PKU patients. In September 2021, an interim analysis of the ongoing SynPheny-1 study found that SYNB1618 demonstrated statistically significant reductions in blood Phe levels.</w:t>
      </w:r>
    </w:p>
    <w:p>
      <w:pPr>
        <w:spacing w:after="0" w:line="187"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 xml:space="preserve">Our second development candidate for PKU, SYNB1934, was evolved from SYNB1618 to potentially provide increased Phe lowering activity for patients living with PKU. In July 2021, we initiated clinical studies of a solid oral formulation of SYNB1934 following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studies demonstrating an approximately two-fold improvement in the ability of SYNB1934 to break down Phe compared to SYNB1618.</w:t>
      </w:r>
    </w:p>
    <w:p>
      <w:pPr>
        <w:spacing w:after="0" w:line="165"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In September 2021, we announced results from the head-to-head portion of the Phase 1 study. SYNB1934 showed an approximately two-fold higher activity level than SYNB1618 in a head-to-head comparison based on biomarkers of Phe consumption. Additionally, based on this interim analysis, SYNB1934 demonstrated a safety and tolerability profile similar to other Synthetic Biotic medicines, including SYNB1618, at equivalent doses.</w:t>
      </w:r>
    </w:p>
    <w:p>
      <w:pPr>
        <w:spacing w:after="0" w:line="1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SYNB1934 clinical results were consistent with preclinical data and previously presented prospective biomarker-driven modeling. We believe that the increased activity of SYNB1934, relative to SYNB1618, could provide the opportunity to optimize the clinical profile based on individual patient needs. Accordingly, we added an arm evaluating SYNB1934 to the ongoing SynPheny-1 Phase 2 study.</w:t>
      </w:r>
    </w:p>
    <w:p>
      <w:pPr>
        <w:spacing w:after="0" w:line="184"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The SynPheny-1 Phase 2 study is continuing to the final analysis with both a SYNB1618 and a SYNB1934 arm. Upon completion of the study, we intend to initiate a pivotal Phase 3 study of the preferred strain, which will be selected based on the clinical data from both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Homocystinuria</w:t>
      </w:r>
    </w:p>
    <w:p>
      <w:pPr>
        <w:spacing w:after="0" w:line="13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Homocystinuria (HCU) is a rare inherited metabolic disorder that affects the metabolism of the amino acid methionine, a protein found in many foods including meat, fish, and dairy products. HCU is caused by a genetic defect which results in the absence of an enzyme known as cystathionine beta-synthase (CBS). When CBS is absent, homocysteine and other toxic chemicals and their byproducts, including methionine, build up in the blood and urine. Elevated homocysteine levels are associated with a multisystem disorder, including impairments of the eye (ectopia lentis and/or severe myopia), skeletal system (excessive height, long limbs, scoliosis, pectus excavatum), vascular system (thromboembolism), and CNS (development delay and intellectual disability).</w:t>
      </w:r>
    </w:p>
    <w:p>
      <w:pPr>
        <w:spacing w:after="0" w:line="233"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November 2021 we announced the nomination of SYNB1353, a novel, orally administered, non-systemically absorbed live biotherapeutic drug candidate engineered to consume methionine in the GI tract thereby lowering tHcy in HCU patients and potentially allowing an increase in natural protein intake. SYNB1353 was developed as part of a research collaboration with Ginkgo and is currently in IND-enabling studies. We hold worldwide development and commercialization rights to SYNB1353, which is expected to begin clinical development and report Phase 1 data in healthy volunteers in the second half of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Enteric Hyperoxaluria</w:t>
      </w:r>
    </w:p>
    <w:p>
      <w:pPr>
        <w:spacing w:after="0" w:line="13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Enteric hyperoxaluria is an acquired metabolic disorder with no approved treatment options. It is caused by increased absorption of dietary oxalate, which is present in many common foods including leafy greens, nuts, and chocolate. Enteric hyperoxaluria often occurs as a result of a primary insult to the bowel, such as inflammatory bowel disease, short bowel syndrome, or surgical procedures such as Roux-en-Y bariatric weight-loss surgery. The disorder may cause dangerously high levels of urinary oxalate and progressive kidney damage. In May 2020, we announced the nomination of a clinical candidate for enteric hyperoxaluria, SYNB8802. We initiated a Phase 1 clinical trial of SYNB8802 in the fourth quarter of 2020. SYNB8802 will be assessed for safety and tolerability, strain kinetics, changes in plasma and urine biomarkers of strain activity, and the potential to reduce urinary oxalate in the Phase 1 clinical study. In 2021, Synlogic reported positive proof-of-mechanism for SYNB8802 from a Phase 1b study that demonstrated lowering of urinary and fecal oxalate levels in healthy volunteers with diet-induced hyperoxaluria. Data from a proof-of-concept study assessing the lowering of urinary oxalate in patients who have undergone Roux-en-Y gastric bypass surgery is expected in 2022.</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Pipeline Programs in Metabolic &amp; Immunological Diseases</w:t>
      </w:r>
    </w:p>
    <w:p>
      <w:pPr>
        <w:spacing w:after="0" w:line="135"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The Synthetic Biotic approach is particularly well-suited for addressing known disease targets that have been associated with validated biological pathways in metabolic and immunological diseases. For metabolic diseases, we are applying our learnings from PKU, HCU and enteric hyperoxaluria to new areas, including hyperuricemia and gout, and we expect to disclose additional details on these and other programs as they move through preclinical development.</w:t>
      </w:r>
    </w:p>
    <w:p>
      <w:pPr>
        <w:spacing w:after="0" w:line="22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 xml:space="preserve">IBD is a group of diseases characterized by significant local inflammation in the GI tract typically driven by T cells, activated macrophages and compromised function of the epithelial barrier. IBD pathogenesis is linked to both genetic and environmental factors and may be caused by altered interactions between gut microbes and the intestinal immune system. Compromised gut barrier function also plays a central role in autoimmune diseases pathogenesis. A single layer of epithelial cells separates the luminal contents of the gut from the host circulatory system and the immune cells in the body. Disrupting the epithelial layer can lead to pathological exposure of foreign antigens from the lumen resulting in increased susceptibility to autoimmune disorders. The interplay between the gut microbiota and the host is thought to play a key role in the maintenance of the epithelial barrier as well as homeostatic immunity. Thus, enhancing barrier function and reducing inflammation in the gastrointestinal tract are potential therapeutic mechanisms for the treatment or prevention of autoimmune disorders. Our Synthetic Biotic platform allows for the effective programming of </w:t>
      </w:r>
      <w:r>
        <w:rPr>
          <w:rFonts w:ascii="Arial" w:cs="Arial" w:eastAsia="Arial" w:hAnsi="Arial"/>
          <w:sz w:val="17"/>
          <w:szCs w:val="17"/>
          <w:i w:val="1"/>
          <w:iCs w:val="1"/>
          <w:color w:val="auto"/>
        </w:rPr>
        <w:t>E. coli</w:t>
      </w:r>
      <w:r>
        <w:rPr>
          <w:rFonts w:ascii="Arial" w:cs="Arial" w:eastAsia="Arial" w:hAnsi="Arial"/>
          <w:sz w:val="17"/>
          <w:szCs w:val="17"/>
          <w:color w:val="auto"/>
        </w:rPr>
        <w:t xml:space="preserve"> Nissle to execute these functions, including the metabolic production of factors such as short chain fatty acids to enhance barrier function, and secreting proteins, such as immunomodulatory cytokines.</w:t>
      </w:r>
    </w:p>
    <w:p>
      <w:pPr>
        <w:spacing w:after="0" w:line="23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Current approaches to treat IBD are focused on therapeutics that modulate the immune system and suppress inflammation. These therapies include steroids, such as prednisone, and tumor necrosis factor inhibitors, such as Humira</w:t>
      </w:r>
      <w:r>
        <w:rPr>
          <w:rFonts w:ascii="Arial" w:cs="Arial" w:eastAsia="Arial" w:hAnsi="Arial"/>
          <w:sz w:val="15"/>
          <w:szCs w:val="15"/>
          <w:color w:val="auto"/>
        </w:rPr>
        <w:t>®</w:t>
      </w:r>
      <w:r>
        <w:rPr>
          <w:rFonts w:ascii="Arial" w:cs="Arial" w:eastAsia="Arial" w:hAnsi="Arial"/>
          <w:sz w:val="18"/>
          <w:szCs w:val="18"/>
          <w:color w:val="auto"/>
        </w:rPr>
        <w:t xml:space="preserve"> (adalimumab). However, these approaches are associated with systemic immunosuppression, which includes greater susceptibility to infectious diseases and cancer. According to the CDC, in 2015 an estimated three million adults in the United States are reported as being diagnosed with IBD. In June of 2021 we entered into a research collaboration agreement with Roche for the discovery of a novel Synthetic Biotic for the treatment of IBD. In addition, we continue to advance additional, wholly-owned preclinical research efforts in IBD.</w:t>
      </w:r>
    </w:p>
    <w:p>
      <w:pPr>
        <w:spacing w:after="0" w:line="246"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Among immune conditions, working to treat IBD allows us to leverage knowledge and expertise gained from our oral metabolic programs to develop living medicines that can act locally at the site of disease in the gut. Because our approach is based on local delivery to the site of inflammation and not on systemic administration, we anticipate that our Synthetic Biotics may offer an attractive safety profile in this therapeutic category, where safety is a particularly desirable attribute in a product profile compared to options available today.</w:t>
      </w:r>
    </w:p>
    <w:p>
      <w:pPr>
        <w:spacing w:after="0" w:line="22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November 2021, we announced that we are not planning further studies for immuno-oncology, allowing us to focus on advancing a portfolio of investigational Synthetic Biotics that are orally administrated, and developed for diseases which, similar to PKU and enteric hyperoxaluria, have a toxic metabolite found in the GI tract.</w:t>
      </w:r>
    </w:p>
    <w:p>
      <w:pPr>
        <w:spacing w:after="0" w:line="23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May 2020, we announced the termination of our collaboration with AbbVie S.à.r.l. (AbbVie) to develop Synthetic Biotic medicines for the treatment of types of inflammatory bowel diseases,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 We may enter into additional strategic alliances in the future to maximize the value of our programs and our Synthetic Biotic platform.</w:t>
      </w:r>
    </w:p>
    <w:p>
      <w:pPr>
        <w:spacing w:after="0" w:line="246"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We developed a portfolio of Synthetic Biotic medicines to treat certain cancers which were designed to modify the tumor microenvironment, activate the immune system and result in tumor reduction. These Synthetic Biotic medicines could be used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4" w:name="page75"/>
    <w:bookmarkEnd w:id="74"/>
    <w:p>
      <w:pPr>
        <w:ind w:right="40"/>
        <w:spacing w:after="0" w:line="257" w:lineRule="auto"/>
        <w:rPr>
          <w:sz w:val="20"/>
          <w:szCs w:val="20"/>
          <w:color w:val="auto"/>
        </w:rPr>
      </w:pPr>
      <w:r>
        <w:rPr>
          <w:rFonts w:ascii="Arial" w:cs="Arial" w:eastAsia="Arial" w:hAnsi="Arial"/>
          <w:sz w:val="18"/>
          <w:szCs w:val="18"/>
          <w:color w:val="auto"/>
        </w:rPr>
        <w:t xml:space="preserve">combination with other cancer therapies such as checkpoint inhibitors. Our Synthetic Biotic clinical immuno-oncology (IO) candidate is SYNB1891, an intratumorally administered Synthetic Biotic medicine engineered to act as a dual innate and adaptive immune activator. While SYNB1020 was well tolerated in Phase 1b/2a study, the study showed it did not lower blood ammonia in patients with cirrhosis. On November 10, 2021, we announced that our Phase 1 study of </w:t>
      </w:r>
      <w:r>
        <w:rPr>
          <w:rFonts w:ascii="Arial" w:cs="Arial" w:eastAsia="Arial" w:hAnsi="Arial"/>
          <w:sz w:val="18"/>
          <w:szCs w:val="18"/>
          <w:color w:val="373737"/>
        </w:rPr>
        <w:t>SYNB1891 in combination with PD-L1 checkpoint inhibitor patients with advanced solid tumors or lymphoma had completed enrollment</w:t>
      </w:r>
      <w:r>
        <w:rPr>
          <w:rFonts w:ascii="Arial" w:cs="Arial" w:eastAsia="Arial" w:hAnsi="Arial"/>
          <w:sz w:val="18"/>
          <w:szCs w:val="18"/>
          <w:color w:val="auto"/>
        </w:rPr>
        <w:t xml:space="preserve"> </w:t>
      </w:r>
      <w:r>
        <w:rPr>
          <w:rFonts w:ascii="Arial" w:cs="Arial" w:eastAsia="Arial" w:hAnsi="Arial"/>
          <w:sz w:val="18"/>
          <w:szCs w:val="18"/>
          <w:color w:val="373737"/>
        </w:rPr>
        <w:t>and no further studies are planned for SYNB1891.</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currently operate in one reportable business segment—the discovery and development of Synthetic Biotic medicines. To date, we have dedicated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activities to the research and development of our product candidates. As of December 31, 2021, we have received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$426.0 million in proceeds as we financed our operations primarily through the sale of preferred stock, common stock, preferred units, warrants,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under the Roche Collaboration and Option agreement, the AbbVie collaboration agreement, interest earned on investments, and cash received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Merger.</w:t>
      </w:r>
    </w:p>
    <w:p>
      <w:pPr>
        <w:spacing w:after="0" w:line="21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not generated any revenue to date from product sales and have incurred significant operating losses since our inception. We have incurred net losses of approximately $60.6 million and $59.2 million for the years ended December 31, 2021 and 2020, respectively. As of December 31, 2021 and 2020, we had an accumulated deficit of approximately $290.9 million and $230.3 million, respectively, and we expect to incur losses for the foreseeable future as we develop our product candidates. We expect our expenses and capital requirements will increase substantially in connection with our ongoing activities, as we:</w:t>
      </w:r>
    </w:p>
    <w:p>
      <w:pPr>
        <w:spacing w:after="0" w:line="80"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commercial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The COVID-19 pandemic continues to affect economies and business around the world. The extent and duration of such effects remain uncertain and difficult to predict, particularly as virus variants continue to spread. We are actively monitoring and managing our response and assessing actual and potential impacts to our operating results and financial condition, as well as developments in our business, which could further impact the developments, trends and expectations described below. See the risk factor related to the impact of the COVID-19 pandemic, “</w:t>
      </w:r>
      <w:r>
        <w:rPr>
          <w:rFonts w:ascii="Arial" w:cs="Arial" w:eastAsia="Arial" w:hAnsi="Arial"/>
          <w:sz w:val="18"/>
          <w:szCs w:val="18"/>
          <w:color w:val="212529"/>
        </w:rPr>
        <w:t>A pandemic, epidemic, or outbreak of an</w:t>
      </w:r>
      <w:r>
        <w:rPr>
          <w:rFonts w:ascii="Arial" w:cs="Arial" w:eastAsia="Arial" w:hAnsi="Arial"/>
          <w:sz w:val="18"/>
          <w:szCs w:val="18"/>
          <w:color w:val="auto"/>
        </w:rPr>
        <w:t xml:space="preserve"> </w:t>
      </w:r>
      <w:r>
        <w:rPr>
          <w:rFonts w:ascii="Arial" w:cs="Arial" w:eastAsia="Arial" w:hAnsi="Arial"/>
          <w:sz w:val="18"/>
          <w:szCs w:val="18"/>
          <w:color w:val="212529"/>
        </w:rPr>
        <w:t xml:space="preserve">infectious disease, such as COVID-19 may materially and adversely affect our business and our financial results” described in </w:t>
      </w:r>
      <w:r>
        <w:rPr>
          <w:rFonts w:ascii="Arial" w:cs="Arial" w:eastAsia="Arial" w:hAnsi="Arial"/>
          <w:sz w:val="18"/>
          <w:szCs w:val="18"/>
          <w:color w:val="000000"/>
        </w:rPr>
        <w:t>“Risk Factors” in Part I,</w:t>
      </w:r>
      <w:r>
        <w:rPr>
          <w:rFonts w:ascii="Arial" w:cs="Arial" w:eastAsia="Arial" w:hAnsi="Arial"/>
          <w:sz w:val="18"/>
          <w:szCs w:val="18"/>
          <w:color w:val="212529"/>
        </w:rPr>
        <w:t xml:space="preserve"> </w:t>
      </w:r>
      <w:r>
        <w:rPr>
          <w:rFonts w:ascii="Arial" w:cs="Arial" w:eastAsia="Arial" w:hAnsi="Arial"/>
          <w:sz w:val="18"/>
          <w:szCs w:val="18"/>
          <w:color w:val="000000"/>
        </w:rPr>
        <w:t>Item 1A of this Annual Report on Form 10-K.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Revenue for the year ended December 31, 2021 was generated from our collaboration agreement with Roche. In June 2021, we announced that we entered into the Roche Collaboration and Option Agreement for the discovery of novel Synthetic Biotic medicines for the treatment of IBD. The collaboration agreement contains multiple performance obligations, including research and development services towards the achievement of milestones and an exclusive option for Roche to negotiate a definitive collaboration and license agreement for further development of a product candidate. Revenue for the year ended December 31, 2020, and previous years was from our collaboration agreement with AbbVie. In May 2020, we announced the termination of our collaboration with AbbVie, and as such, we do not expect further revenue from AbbVie. See Note 10, </w:t>
      </w:r>
      <w:r>
        <w:rPr>
          <w:rFonts w:ascii="Arial" w:cs="Arial" w:eastAsia="Arial" w:hAnsi="Arial"/>
          <w:sz w:val="17"/>
          <w:szCs w:val="17"/>
          <w:i w:val="1"/>
          <w:iCs w:val="1"/>
          <w:color w:val="auto"/>
        </w:rPr>
        <w:t>Collaboration Agreements: Roche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Collaboration Agreements</w:t>
      </w:r>
      <w:r>
        <w:rPr>
          <w:rFonts w:ascii="Arial" w:cs="Arial" w:eastAsia="Arial" w:hAnsi="Arial"/>
          <w:sz w:val="17"/>
          <w:szCs w:val="17"/>
          <w:color w:val="auto"/>
        </w:rPr>
        <w:t>:</w:t>
      </w:r>
      <w:r>
        <w:rPr>
          <w:rFonts w:ascii="Arial" w:cs="Arial" w:eastAsia="Arial" w:hAnsi="Arial"/>
          <w:sz w:val="17"/>
          <w:szCs w:val="17"/>
          <w:i w:val="1"/>
          <w:iCs w:val="1"/>
          <w:color w:val="auto"/>
        </w:rPr>
        <w:t xml:space="preserve"> AbbVie Collaboration </w:t>
      </w:r>
      <w:r>
        <w:rPr>
          <w:rFonts w:ascii="Arial" w:cs="Arial" w:eastAsia="Arial" w:hAnsi="Arial"/>
          <w:sz w:val="17"/>
          <w:szCs w:val="17"/>
          <w:color w:val="auto"/>
        </w:rPr>
        <w:t>in the notes to the consolidated financial statements appearing elsewhere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 on Form 10-K for a full discussion of these arrangements.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Annual Report on Form 10-K.</w:t>
      </w:r>
    </w:p>
    <w:p>
      <w:pPr>
        <w:spacing w:after="0" w:line="12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When we invest in our pipeline,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ind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SYNB1618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8,970</w:t>
            </w:r>
          </w:p>
        </w:tc>
        <w:tc>
          <w:tcPr>
            <w:tcW w:w="100" w:type="dxa"/>
            <w:vAlign w:val="bottom"/>
            <w:shd w:val="clear" w:color="auto" w:fill="CFF0FC"/>
          </w:tcPr>
          <w:p>
            <w:pPr>
              <w:spacing w:after="0"/>
              <w:rPr>
                <w:sz w:val="19"/>
                <w:szCs w:val="19"/>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SYNB1934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SYNB8802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FF0FC"/>
          </w:tcPr>
          <w:p>
            <w:pPr>
              <w:spacing w:after="0"/>
              <w:rPr>
                <w:sz w:val="19"/>
                <w:szCs w:val="19"/>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SYNB1891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5"/>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External pre-development candidate expenses and unallocated</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FF0FC"/>
          </w:tcPr>
          <w:p>
            <w:pPr>
              <w:spacing w:after="0"/>
              <w:rPr>
                <w:sz w:val="20"/>
                <w:szCs w:val="20"/>
                <w:color w:val="auto"/>
              </w:rPr>
            </w:pPr>
          </w:p>
        </w:tc>
      </w:tr>
      <w:tr>
        <w:trPr>
          <w:trHeight w:val="230"/>
        </w:trPr>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23,839</w:t>
            </w:r>
          </w:p>
        </w:tc>
        <w:tc>
          <w:tcPr>
            <w:tcW w:w="100" w:type="dxa"/>
            <w:vAlign w:val="bottom"/>
            <w:tcBorders>
              <w:bottom w:val="single" w:sz="8" w:color="CFF0FC"/>
            </w:tcBorders>
          </w:tcPr>
          <w:p>
            <w:pPr>
              <w:spacing w:after="0"/>
              <w:rPr>
                <w:sz w:val="19"/>
                <w:szCs w:val="19"/>
                <w:color w:val="auto"/>
              </w:rPr>
            </w:pPr>
          </w:p>
        </w:tc>
      </w:tr>
      <w:tr>
        <w:trPr>
          <w:trHeight w:val="223"/>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47,127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60" w:firstLine="510"/>
        <w:spacing w:after="0" w:line="279" w:lineRule="auto"/>
        <w:rPr>
          <w:sz w:val="20"/>
          <w:szCs w:val="20"/>
          <w:color w:val="auto"/>
        </w:rPr>
      </w:pPr>
      <w:r>
        <w:rPr>
          <w:rFonts w:ascii="Arial" w:cs="Arial" w:eastAsia="Arial" w:hAnsi="Arial"/>
          <w:sz w:val="17"/>
          <w:szCs w:val="17"/>
          <w:color w:val="auto"/>
        </w:rPr>
        <w:t>General and administrative expenses consist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directors’ and officers’ insurance, professional fees for accounting, tax, legal and consulting services.</w:t>
      </w:r>
    </w:p>
    <w:p>
      <w:pPr>
        <w:spacing w:after="0" w:line="17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as we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 These estimates and assumptions, including those related to revenue recognition and research and development expenses are monitored and analyzed by us for changes in facts and circumstances, and material changes in these estimates could occur in the future. These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our estimates under different assumptions or conditions.</w:t>
      </w:r>
    </w:p>
    <w:p>
      <w:pPr>
        <w:spacing w:after="0" w:line="16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 xml:space="preserve">We believe that the application of the following accounting policies, each of which require significant judgments and estimates on the part of management, are the most critical to aid in fully understanding and evaluating our reported financial results. Our significant accounting policies are more fully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appearing elsewhere in this Annual Report on Form 10-K.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We evaluate collaboration agreements with respect to FASB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considering the nature and contractual terms of the arrangement and the nature of our business operations to determine the classification of the transactions. When we are an active participant in the activity and exposed to significant risks and rewards dependent on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7" w:name="page78"/>
    <w:bookmarkEnd w:id="77"/>
    <w:p>
      <w:pPr>
        <w:ind w:right="260"/>
        <w:spacing w:after="0" w:line="277" w:lineRule="auto"/>
        <w:rPr>
          <w:sz w:val="20"/>
          <w:szCs w:val="20"/>
          <w:color w:val="auto"/>
        </w:rPr>
      </w:pPr>
      <w:r>
        <w:rPr>
          <w:rFonts w:ascii="Arial" w:cs="Arial" w:eastAsia="Arial" w:hAnsi="Arial"/>
          <w:sz w:val="18"/>
          <w:szCs w:val="18"/>
          <w:color w:val="auto"/>
        </w:rPr>
        <w:t>commercial success of the collaboration, we will record our transactions on a gross basis in the consolidated financial statements and describe the rights and obligations under the collaborative arrangement in the notes to the consolidated financial statements.</w:t>
      </w:r>
    </w:p>
    <w:p>
      <w:pPr>
        <w:spacing w:after="0" w:line="1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analysis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may enter into collaboration agreements for research and development services, under which we may license certain rights to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to not be at a significant risk of reversal.</w:t>
      </w:r>
    </w:p>
    <w:p>
      <w:pPr>
        <w:spacing w:after="0" w:line="17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each of our agreements for which the collaboration partner is also a customer,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contract term and pattern of satisfaction of the performance obligations under step (v) above. We use significant judgment to determine whether milestones or other variable consideration, except for royalties, should be included in the transaction price as described further below. The transaction price is allocated to the goods and services we expect to provide. We use estimates to determine the timing of satisfaction of performance obligations, which may include the use of full-time equivalent time as a measure of satisfaction of performance obligations.</w:t>
      </w:r>
    </w:p>
    <w:p>
      <w:pPr>
        <w:spacing w:after="0" w:line="168"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our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of Intellectual Property</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Services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8" w:name="page79"/>
    <w:bookmarkEnd w:id="78"/>
    <w:p>
      <w:pPr>
        <w:ind w:right="80"/>
        <w:spacing w:after="0" w:line="273" w:lineRule="auto"/>
        <w:rPr>
          <w:sz w:val="20"/>
          <w:szCs w:val="20"/>
          <w:color w:val="auto"/>
        </w:rPr>
      </w:pPr>
      <w:r>
        <w:rPr>
          <w:rFonts w:ascii="Arial" w:cs="Arial" w:eastAsia="Arial" w:hAnsi="Arial"/>
          <w:sz w:val="17"/>
          <w:szCs w:val="17"/>
          <w:color w:val="auto"/>
        </w:rPr>
        <w:t>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Options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We evaluate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an alternative approach when the goods or services are both (i) similar to the original goods and services in the contract and (ii) provided in accordance with the terms of the original contract. Under this alternative, we allocate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Milestone Payments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At the inception of each arrangement that includes milestone payments, we evaluate whether a significant reversal of cumulative revenue provided in conjunction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Milestone payments that are not within our control or the licensee, such as regulatory approvals, are not considered probable of being achieved until those approvals are received. For other milestones, we evaluate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we reevaluate the probability of achievement of all milestones subject to constraint and, if necessary, adjusts our estimate of the overall transaction price. Any such adjustments are recorded on a cumulative catch-up basis, which would affect revenues and earnings in the period of adjustment.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117"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We recognize as an asset the incremental costs of obtaining a contract with a customer if the costs are expected to be recovered. As a practical expedient, we recognize the incremental costs of obtaining a contract as an expense when incurred if the amortization period of the asset that we otherwise would have recognized is one year or less. To date, we have not incurred any incremental costs of obtaining a contract with a customer.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All research and development expenses are expensed as incurred. Research and development expenses comprise costs incurred in performing research and development activities, including compensation, benefits and other employee costs; equity</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laboratory and clinical supplies and other direct expenses; facilities expenses; overhead expenses; fees for contractual services, including preclinical studies, clinical trials, clinical manufacturing and raw materials; and other external expenses. Nonrefundable advance payments for research and development activities are capitalized and expensed over the related service period or as goods are received and services are performed. When third-party service providers’ billing terms do not coincide with our period-end, we are required to make estimates of our obligations to those third parties, including clinical trial costs, contractual service costs and costs for supply of our drug candidates, incurred in a given accounting period and record accruals at the end of the period. We base our estimates on the completion status of the research and development programs and the associated estimate of unbilled costs.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47,474</w:t>
            </w:r>
          </w:p>
        </w:tc>
        <w:tc>
          <w:tcPr>
            <w:tcW w:w="80" w:type="dxa"/>
            <w:vAlign w:val="bottom"/>
            <w:shd w:val="clear" w:color="auto" w:fill="CFF0FC"/>
          </w:tcPr>
          <w:p>
            <w:pPr>
              <w:spacing w:after="0"/>
              <w:rPr>
                <w:sz w:val="19"/>
                <w:szCs w:val="19"/>
                <w:color w:val="auto"/>
              </w:rPr>
            </w:pPr>
          </w:p>
        </w:tc>
      </w:tr>
      <w:tr>
        <w:trPr>
          <w:trHeight w:val="229"/>
        </w:trPr>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8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8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61,011</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(60,466)</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34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8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(60,561)</w:t>
            </w: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(59,173)</w:t>
            </w:r>
          </w:p>
        </w:tc>
      </w:tr>
      <w:tr>
        <w:trPr>
          <w:trHeight w:val="20"/>
        </w:trPr>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right="5320"/>
        <w:spacing w:after="0" w:line="407"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b w:val="1"/>
          <w:bCs w:val="1"/>
          <w:i w:val="1"/>
          <w:iCs w:val="1"/>
          <w:color w:val="auto"/>
        </w:rPr>
        <w:t>Revenue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91"/>
              </w:rPr>
              <w:t>Years Ended</w:t>
            </w: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324"/>
              <w:spacing w:after="0" w:line="155" w:lineRule="exact"/>
              <w:rPr>
                <w:sz w:val="20"/>
                <w:szCs w:val="20"/>
                <w:color w:val="auto"/>
              </w:rPr>
            </w:pPr>
            <w:r>
              <w:rPr>
                <w:rFonts w:ascii="Arial" w:cs="Arial" w:eastAsia="Arial" w:hAnsi="Arial"/>
                <w:sz w:val="14"/>
                <w:szCs w:val="14"/>
                <w:b w:val="1"/>
                <w:bCs w:val="1"/>
                <w:color w:val="auto"/>
                <w:w w:val="90"/>
              </w:rPr>
              <w:t>December 31,</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4"/>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3"/>
          </w:tcPr>
          <w:p>
            <w:pPr>
              <w:jc w:val="center"/>
              <w:ind w:right="13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1,754</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Revenue was $1.8 million for the year ended December 31, 2021 compared to $0.5 million for the year ended December 31, 2020. Revenue for the year ended December 31, 2021 was related to services performed under the Roche collaboration. Revenue for the year ended December 31, 2020 was related to the recognition of deferred revenue from services performed and payments received under the AbbVie collaboration. In May 2020, we announced the termination of our collaboration with AbbVie.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b w:val="1"/>
                <w:bCs w:val="1"/>
                <w:color w:val="auto"/>
                <w:w w:val="91"/>
              </w:rPr>
              <w:t>Years Ended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4"/>
          </w:tcPr>
          <w:p>
            <w:pPr>
              <w:jc w:val="center"/>
              <w:ind w:right="155"/>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right="15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47,127</w:t>
            </w:r>
          </w:p>
        </w:tc>
        <w:tc>
          <w:tcPr>
            <w:tcW w:w="4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47,474</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62,519</w:t>
            </w:r>
          </w:p>
        </w:tc>
        <w:tc>
          <w:tcPr>
            <w:tcW w:w="20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61,011</w:t>
            </w:r>
          </w:p>
        </w:tc>
        <w:tc>
          <w:tcPr>
            <w:tcW w:w="18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Research and development expense was $47.1 million for the year ended December 31, 2021 compared to $47.5 million for the year ended December 31, 2020. The decrease of $0.4 million was due to a decrease of $12.5 million of non-clinical costs, including a decrease in non-clinical costs of $5.4 million for SYNB1618 as it advanced into the clinic, and $2.3 million for Maple Syrup Urine Disease (MSUD), which we stopped conducting research on to prioritize other metabolic disorders. This decrease in non-clinical costs was offset by an increase of $8.1 million of clinical development costs, comprised of $4.6 million for SYNB8802, $3.0 million for SYNB1934, $0.4 million for SYNB1891 and $0.1 million for SYNB1618, as well as an increase of $0.3 million of manufacturing costs. There were additional increases of $2.7 million in compensation, benefits and other employee-related expenses, $0.8 million in professional services and $0.2 million in research and development support costs.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General and administrative expense was $15.4 million for the year ended December 31, 2021 compared to $13.5 million for the year ended December 31, 2020. The increase of $1.9 million was primarily due to an increase of $1.4 million in professional services, $0.4 million in corporate fees and $0.3 million in compensation, benefits and other employee-related expenses associated with increased headcount. The increases were partially offset by a decrease of $0.2 million in support costs.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27"/>
              <w:spacing w:after="0"/>
              <w:rPr>
                <w:sz w:val="20"/>
                <w:szCs w:val="20"/>
                <w:color w:val="auto"/>
              </w:rPr>
            </w:pPr>
            <w:r>
              <w:rPr>
                <w:rFonts w:ascii="Arial" w:cs="Arial" w:eastAsia="Arial" w:hAnsi="Arial"/>
                <w:sz w:val="14"/>
                <w:szCs w:val="14"/>
                <w:b w:val="1"/>
                <w:bCs w:val="1"/>
                <w:color w:val="auto"/>
                <w:w w:val="91"/>
              </w:rPr>
              <w:t>Years Ended</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tcBorders>
              <w:bottom w:val="single" w:sz="8" w:color="auto"/>
            </w:tcBorders>
            <w:gridSpan w:val="5"/>
          </w:tcPr>
          <w:p>
            <w:pPr>
              <w:jc w:val="center"/>
              <w:ind w:left="408"/>
              <w:spacing w:after="0" w:line="155" w:lineRule="exact"/>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25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gridSpan w:val="5"/>
          </w:tcPr>
          <w:p>
            <w:pPr>
              <w:jc w:val="center"/>
              <w:ind w:left="40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60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210</w:t>
            </w:r>
          </w:p>
        </w:tc>
        <w:tc>
          <w:tcPr>
            <w:tcW w:w="120" w:type="dxa"/>
            <w:vAlign w:val="bottom"/>
          </w:tcPr>
          <w:p>
            <w:pPr>
              <w:spacing w:after="0"/>
              <w:rPr>
                <w:sz w:val="19"/>
                <w:szCs w:val="19"/>
                <w:color w:val="auto"/>
              </w:rPr>
            </w:pPr>
          </w:p>
        </w:tc>
        <w:tc>
          <w:tcPr>
            <w:tcW w:w="48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Other income (expense) for the year ended December 31, 2021 was $0.2 million compared to $1.3 million for the corresponding period in 2020. The decrease in other income (expense) of $1.1 million was related to a decrease in interest and investment income related to lower interest income generated by our investment account.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have incurred losses since our inception on March 14, 2014 and as of December 31, 2021, we had an accumulated deficit of $290.9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the previous collaboration agreement with AbbVie, interest earned on investments, and cash received in the Merger. At December 31, 2021, we had $136.6 million in cash, cash equivalents, and marketable securities. Our cash and cash equivalents include amounts held in money market funds, stated at cost plus unrealized gain and loss, which approximates fair market value. Our available-for-sale securities include amounts held in corporate debt securities, commercial paper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During the year ended December 31, 2021 our cash, cash equivalents and marketable securities balance increased $36.2 million. This increase was primarily due to the sale of our common stock in underwritten public offerings in April and September 2021 and proceeds from the sale of our common stock in the at-the-market (ATM) offering program. These increases were offset by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major sources and uses of cash, cash equivalents and restricted cash for each of the periods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 provided by</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9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(52,198)</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(39,553)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(53,253)</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5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(decrease) increase in cash, cash equivalents and restricted cash</w:t>
            </w:r>
          </w:p>
        </w:tc>
        <w:tc>
          <w:tcPr>
            <w:tcW w:w="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jc w:val="right"/>
              <w:ind w:right="850"/>
              <w:spacing w:after="0"/>
              <w:rPr>
                <w:sz w:val="20"/>
                <w:szCs w:val="20"/>
                <w:color w:val="auto"/>
              </w:rPr>
            </w:pPr>
            <w:r>
              <w:rPr>
                <w:rFonts w:ascii="Arial" w:cs="Arial" w:eastAsia="Arial" w:hAnsi="Arial"/>
                <w:sz w:val="18"/>
                <w:szCs w:val="18"/>
                <w:color w:val="auto"/>
              </w:rPr>
              <w:t>79</w:t>
            </w: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6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Net cash, cash equivalents and restricted cash used in operating activities was $52.2 million for the year ended December 31, 2021. The primary use of cash was our net loss of $60.6 million, changes in our assets and liabilities of $0.2 million, partially offset by $8.2 million of non-cash items primarily including depreciation, equity-based compensation, and the right of use asset. The changes in our assets and liabilities include decreases in prepaid research and development expenses, as a result of the work being completed on the Ginkgo collaboration, decreases in prepaid expenses and other current assets, decreases in the operating lease liability, increases in accounts payable and accrued expenses, and increased deferred revenue.</w:t>
      </w:r>
    </w:p>
    <w:p>
      <w:pPr>
        <w:spacing w:after="0" w:line="16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Net cash, cash equivalents and restricted cash used in operating activities was $39.6 million for the year ended December 31, 2020. The primary use of cash was our net loss of $59.2 million, which was partially offset by $8.3 million of non-cash items primarily including depreciation, equity-based compensation, and the right of use asset. There was an increase in working capital of $11.4 million, primarily related to decreases in prepaid research and development expenses, as result of our June 2019 services agreement with Ginkgo, decreases in prepaid expense and other current assets, offset by decreases in accounts payable, accrued expenses, operating lease liability and deferred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Net cash used in investing activities for the year ended December 31, 2021 was $53.3 million and resulted primarily from the purchases of marketable securities of $167.9 million and property and equipment of $0.7 million. This was offset by the proceeds from maturity of marketable securities of $114.0 million and proceeds from redemption of marketable securities of $1.3 million.</w:t>
      </w:r>
    </w:p>
    <w:p>
      <w:pPr>
        <w:spacing w:after="0" w:line="18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2020 was $32.5 million and resulted primarily from the proceeds from maturity of marketable securities of $90.8 million and proceeds from redemption of marketable securities of $28.5 million. This was offset by the purchases of marketable securities of $86.5 million and property and equipment of $0.4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totaled $89.4 million, primarily related to net proceeds of $81.0 million from the sale of our common stock in underwritten public offerings in April and September 2021, $8.0 million from the sale of our common stock in the ATM offering program, and proceeds of $0.4 million from exercise of stock options and ESPP contributions, offset by payments of withholding taxes for employees relating to restricted stock awards.</w:t>
      </w:r>
    </w:p>
    <w:p>
      <w:pPr>
        <w:spacing w:after="0" w:line="18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2020 totaled $13.4 million, primarily related to net proceeds of $13.5 million from the sale of our common stock in the ATM offering program, offset by payments on our finance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are currently generating revenue from our Roche collaboration and have historically generated revenue from our AbbVie collaboration (which was terminated in May 2020) but have not generated any product revenue since our inception and do not expect to generate any product revenue unless we receive regulatory approval for our product candidates, if ever. We believe that our cash, cash equivalents, and marketable securities as of December 31, 2021,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Annual Report on Form 10-K. We have based our estimates on assumptions that may prove to be wrong, and we could utilize our available capital resources sooner than we currently expect.</w:t>
      </w:r>
    </w:p>
    <w:p>
      <w:pPr>
        <w:spacing w:after="0" w:line="178" w:lineRule="exact"/>
        <w:rPr>
          <w:sz w:val="20"/>
          <w:szCs w:val="20"/>
          <w:color w:val="auto"/>
        </w:rPr>
      </w:pPr>
    </w:p>
    <w:p>
      <w:pPr>
        <w:ind w:right="40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82" w:name="page83"/>
    <w:bookmarkEnd w:id="82"/>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our business is adversely impacted by the effects of the coronavirus outbreak or by other health epidemics or pandemics;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Obligations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also have certain significant contractual obligations and commitments that require funding. Our commitments for operating leases relate to our lease of office and laboratory space at 301 Binney Street in Cambridge, Massachusetts and the cGMP clean-room space leased from the Azzur Group, LLC, in Waltham, Massachusetts.</w:t>
      </w:r>
    </w:p>
    <w:p>
      <w:pPr>
        <w:spacing w:after="0" w:line="1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In July 2017, we entered into an agreement to lease 41,346 square feet of laboratory and office space at 301 Binney Street in Cambridge, Massachusetts. Annual rent is $3.4 million. The ten-year lease commenced in January 2018 and contains provisions for a free-rent period, annual rent increases and an allowance for tenant improvements. Additionally, we have paid for a tenant improvement investment of $2.9 million. In conjunction with the lease, we established a letter of credit of a $1.0 million.</w:t>
      </w:r>
    </w:p>
    <w:p>
      <w:pPr>
        <w:spacing w:after="0" w:line="1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December 7, 2018, Synlogic Operating Company, Inc., a wholly-owned subsidiary of the Company, entered into a Statement of Work (the First SOW) with Azzur Group, LLC (Azzur) pursuant to a Master Contract Services Agreement (the Master Services Agreement), dated September 8, 2018, between the Company and Azzur.</w:t>
      </w:r>
    </w:p>
    <w:p>
      <w:pPr>
        <w:spacing w:after="0" w:line="18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Pursuant to the First SOW, Azzur agreed to provide the Company with access to, and the use of, an approximately 700 square foot cleanroom space to be constructed in Waltham, Massachusetts (the Azzur Suite), for a period of 44 months, from May 1, 2019 to December 31, 2022 (the Initial Term). Azzur also agreed to provide the Company with storage space and personnel support at the Azzur Suite. The total estimated project cost during the Initial Term for access to, and use of, the cleanroom and storage space, and the personnel support and other services, was $4.8 million.</w:t>
      </w:r>
    </w:p>
    <w:p>
      <w:pPr>
        <w:spacing w:after="0" w:line="15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333333"/>
        </w:rPr>
        <w:t xml:space="preserve">In April 2021, Synlogic entered into a new agreement (the Second SOW) with Azzur which replaced the First SOW. Pursuant to the Second SOW, Synlogic was granted access to, and use of, the Azzur Suite for a period of 20 months, from May 2021 to December 2022 (the Second Term). </w:t>
      </w:r>
      <w:r>
        <w:rPr>
          <w:rFonts w:ascii="Arial" w:cs="Arial" w:eastAsia="Arial" w:hAnsi="Arial"/>
          <w:sz w:val="18"/>
          <w:szCs w:val="18"/>
          <w:color w:val="000000"/>
        </w:rPr>
        <w:t>The</w:t>
      </w:r>
      <w:r>
        <w:rPr>
          <w:rFonts w:ascii="Arial" w:cs="Arial" w:eastAsia="Arial" w:hAnsi="Arial"/>
          <w:sz w:val="18"/>
          <w:szCs w:val="18"/>
          <w:color w:val="333333"/>
        </w:rPr>
        <w:t xml:space="preserve"> </w:t>
      </w:r>
      <w:r>
        <w:rPr>
          <w:rFonts w:ascii="Arial" w:cs="Arial" w:eastAsia="Arial" w:hAnsi="Arial"/>
          <w:sz w:val="18"/>
          <w:szCs w:val="18"/>
          <w:color w:val="000000"/>
        </w:rPr>
        <w:t>Company determined that the agreement contained an embedded lease because the Company controls the use of the Azzur Suite. Accordingly, the fixed and in-substance fixed consideration under the agreement was used to remeasure the right-of-use (ROU) asset and lease liability at the effective date of the Second SOW.</w:t>
      </w:r>
    </w:p>
    <w:p>
      <w:pPr>
        <w:spacing w:after="0" w:line="18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 may terminate the Second SOW on three months’ prior written notice at any time during the Term. In addition, either party may terminate the Master Services Agreement (including the SOWs) due to a breach by the other party and failure to cure. The Company is reasonably certain not to exercise the termination option through March 2023.</w:t>
      </w:r>
    </w:p>
    <w:p>
      <w:pPr>
        <w:spacing w:after="0" w:line="184"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As we are a clinical stage company, we expect our most significant clinical trial expenditures will be with CROs and CMOs. These contracts generally are cancellable, with notice, at our option and do not have cancellation penalties.</w:t>
      </w:r>
    </w:p>
    <w:p>
      <w:pPr>
        <w:spacing w:after="0" w:line="170"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83" w:name="page84"/>
    <w:bookmarkEnd w:id="83"/>
    <w:p>
      <w:pPr>
        <w:spacing w:after="0" w:line="253" w:lineRule="auto"/>
        <w:rPr>
          <w:sz w:val="20"/>
          <w:szCs w:val="20"/>
          <w:color w:val="auto"/>
        </w:rPr>
      </w:pPr>
      <w:r>
        <w:rPr>
          <w:rFonts w:ascii="Arial" w:cs="Arial" w:eastAsia="Arial" w:hAnsi="Arial"/>
          <w:sz w:val="18"/>
          <w:szCs w:val="18"/>
          <w:color w:val="auto"/>
        </w:rPr>
        <w:t>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alliances. If we cannot expand our operations or otherwise capitalize on our business opportunities because we lack sufficient capital, our business, financial condition and results of operations could be materially adversely affected.</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 xml:space="preserve">Please read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consolidated financial statements included elsewhere in this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appear at pages F-1 through F-28 respectively,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 In addition, our principal executive officer and principal financial officer have concluded that the impact of the COVID-19 pandemic did not impact our ability to maintain our internal controls over financial reporting and disclosure controls and procedures.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identified in connection with the evaluation of such internal control that occurred during our fiscal year ended December 31, 2021 that have materially affected, or are reasonably likely to materially affect, our internal controls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as amended.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firstLine="510"/>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Internal Control-Integrated Framework (2013). Based on our assessment, management believes that, as of December 31, 2021, our internal control over financial reporting is effective based on those criteria.</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Controls</w:t>
      </w:r>
    </w:p>
    <w:p>
      <w:pPr>
        <w:spacing w:after="0" w:line="12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controls are met. Because of the inherent limitations in all control systems, no evaluation of controls can provide absolute assurance that all control issues or misstatements, if any, within a company have been detected. Accordingly, our controls and procedures are designed to provide reasonable, not absolute, assurance that the objectives of our control system are met.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captions “Management and Corporate Governance Matters,” “Section 16(a) Beneficial Ownership Reporting Compliance,” and “Code of Conduct and Ethics” in the Company’s Proxy Statement for the 2022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“Executive Officer and Director Compensation” in the Company’s Proxy Statement for the 2022 Annual Meeting of Stockholders.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80" w:firstLine="510"/>
        <w:spacing w:after="0" w:line="308" w:lineRule="auto"/>
        <w:rPr>
          <w:sz w:val="20"/>
          <w:szCs w:val="20"/>
          <w:color w:val="auto"/>
        </w:rPr>
      </w:pPr>
      <w:r>
        <w:rPr>
          <w:rFonts w:ascii="Arial" w:cs="Arial" w:eastAsia="Arial" w:hAnsi="Arial"/>
          <w:sz w:val="17"/>
          <w:szCs w:val="17"/>
          <w:color w:val="auto"/>
        </w:rPr>
        <w:t>The response to this item is incorporated by reference from the discussion responsive thereto under the caption “Security Ownership of Certain Beneficial Owners and Management” in the Company’s Proxy Statement for the 2022 Annual Meeting of Stockholders.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under the captions “Certain Relationships and Related Person Transactions” and “Management and Corporate Governance” in the Company’s Proxy Statement for the 2022 Annual Meeting of Stockholders.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response to this item is incorporated by reference from the discussion responsive thereto under the caption “Independent Registered Public Accounting Firm” in the Company’s Proxy Statement for the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7" w:name="page88"/>
    <w:bookmarkEnd w:id="87"/>
    <w:p>
      <w:pPr>
        <w:jc w:val="center"/>
        <w:ind w:left="5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15(a).</w:t>
      </w:r>
      <w:r>
        <w:rPr>
          <w:sz w:val="20"/>
          <w:szCs w:val="20"/>
          <w:color w:val="auto"/>
        </w:rPr>
        <w:tab/>
      </w:r>
      <w:r>
        <w:rPr>
          <w:rFonts w:ascii="Arial" w:cs="Arial" w:eastAsia="Arial" w:hAnsi="Arial"/>
          <w:sz w:val="16"/>
          <w:szCs w:val="16"/>
          <w:color w:val="auto"/>
        </w:rPr>
        <w:t>The following documents are filed as part of this Annual Report on Form 10-K:</w:t>
      </w:r>
    </w:p>
    <w:p>
      <w:pPr>
        <w:spacing w:after="0" w:line="117"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Item 15(a)(1) and (2) </w:t>
      </w:r>
      <w:r>
        <w:rPr>
          <w:rFonts w:ascii="Arial" w:cs="Arial" w:eastAsia="Arial" w:hAnsi="Arial"/>
          <w:sz w:val="18"/>
          <w:szCs w:val="18"/>
          <w:color w:val="auto"/>
        </w:rPr>
        <w:t>See “Consolidated Financial Statements and Supplementary Data” at Item 8 to this Annual Report on Form 10-K.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 schedules have not been included because they are not applicable, or the information is included in the financial statements or notes thereto.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15(a)(3)</w:t>
            </w:r>
          </w:p>
        </w:tc>
        <w:tc>
          <w:tcPr>
            <w:tcW w:w="360" w:type="dxa"/>
            <w:vAlign w:val="bottom"/>
          </w:tcPr>
          <w:p>
            <w:pPr>
              <w:spacing w:after="0"/>
              <w:rPr>
                <w:sz w:val="20"/>
                <w:szCs w:val="20"/>
                <w:color w:val="auto"/>
              </w:rPr>
            </w:pPr>
          </w:p>
        </w:tc>
        <w:tc>
          <w:tcPr>
            <w:tcW w:w="8440" w:type="dxa"/>
            <w:vAlign w:val="bottom"/>
            <w:gridSpan w:val="25"/>
          </w:tcPr>
          <w:p>
            <w:pPr>
              <w:ind w:left="160"/>
              <w:spacing w:after="0"/>
              <w:rPr>
                <w:sz w:val="20"/>
                <w:szCs w:val="20"/>
                <w:color w:val="auto"/>
              </w:rPr>
            </w:pPr>
            <w:r>
              <w:rPr>
                <w:rFonts w:ascii="Arial" w:cs="Arial" w:eastAsia="Arial" w:hAnsi="Arial"/>
                <w:sz w:val="18"/>
                <w:szCs w:val="18"/>
                <w:color w:val="auto"/>
                <w:w w:val="95"/>
              </w:rPr>
              <w:t>The following exhibits are filed as part of, or incorporated by reference into, this Annual Report on Form 10-K.</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40" w:type="dxa"/>
            <w:vAlign w:val="bottom"/>
          </w:tcPr>
          <w:p>
            <w:pPr>
              <w:spacing w:after="0"/>
              <w:rPr>
                <w:sz w:val="20"/>
                <w:szCs w:val="20"/>
                <w:color w:val="auto"/>
              </w:rPr>
            </w:pPr>
            <w:r>
              <w:rPr>
                <w:rFonts w:ascii="Arial" w:cs="Arial" w:eastAsia="Arial" w:hAnsi="Arial"/>
                <w:sz w:val="18"/>
                <w:szCs w:val="18"/>
                <w:b w:val="1"/>
                <w:bCs w:val="1"/>
                <w:color w:val="auto"/>
                <w:w w:val="99"/>
              </w:rPr>
              <w:t>Exhibit Index</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1"/>
              </w:rPr>
              <w:t>Filed</w:t>
            </w:r>
          </w:p>
        </w:tc>
        <w:tc>
          <w:tcPr>
            <w:tcW w:w="206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Incorporated by</w:t>
            </w:r>
          </w:p>
        </w:tc>
        <w:tc>
          <w:tcPr>
            <w:tcW w:w="1860" w:type="dxa"/>
            <w:vAlign w:val="bottom"/>
          </w:tcPr>
          <w:p>
            <w:pPr>
              <w:spacing w:after="0"/>
              <w:rPr>
                <w:sz w:val="24"/>
                <w:szCs w:val="2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0" w:type="dxa"/>
            <w:vAlign w:val="bottom"/>
            <w:gridSpan w:val="21"/>
            <w:vMerge w:val="restart"/>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5"/>
              </w:rPr>
              <w:t>with this</w:t>
            </w:r>
          </w:p>
        </w:tc>
        <w:tc>
          <w:tcPr>
            <w:tcW w:w="2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86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21"/>
            <w:vMerge w:val="continue"/>
          </w:tcPr>
          <w:p>
            <w:pPr>
              <w:spacing w:after="0"/>
              <w:rPr>
                <w:sz w:val="14"/>
                <w:szCs w:val="14"/>
                <w:color w:val="auto"/>
              </w:rPr>
            </w:pPr>
          </w:p>
        </w:tc>
        <w:tc>
          <w:tcPr>
            <w:tcW w:w="8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3"/>
              </w:rPr>
              <w:t>Report</w:t>
            </w:r>
          </w:p>
        </w:tc>
        <w:tc>
          <w:tcPr>
            <w:tcW w:w="2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6"/>
              </w:rPr>
              <w:t>Schedule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1"/>
        </w:trPr>
        <w:tc>
          <w:tcPr>
            <w:tcW w:w="1140" w:type="dxa"/>
            <w:vAlign w:val="bottom"/>
          </w:tcPr>
          <w:p>
            <w:pPr>
              <w:jc w:val="right"/>
              <w:ind w:right="652"/>
              <w:spacing w:after="0"/>
              <w:rPr>
                <w:sz w:val="20"/>
                <w:szCs w:val="20"/>
                <w:color w:val="auto"/>
              </w:rPr>
            </w:pPr>
            <w:r>
              <w:rPr>
                <w:rFonts w:ascii="Arial" w:cs="Arial" w:eastAsia="Arial" w:hAnsi="Arial"/>
                <w:sz w:val="18"/>
                <w:szCs w:val="18"/>
                <w:color w:val="auto"/>
              </w:rPr>
              <w:t>2.1^</w:t>
            </w:r>
          </w:p>
        </w:tc>
        <w:tc>
          <w:tcPr>
            <w:tcW w:w="4000" w:type="dxa"/>
            <w:vAlign w:val="bottom"/>
            <w:gridSpan w:val="23"/>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Agreement and Plan of Merger and Reorganization,</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05/16/2017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tcBorders>
              <w:top w:val="single" w:sz="8" w:color="0000EE"/>
            </w:tcBorders>
            <w:gridSpan w:val="18"/>
          </w:tcPr>
          <w:p>
            <w:pPr>
              <w:spacing w:after="0" w:line="196" w:lineRule="exact"/>
              <w:rPr>
                <w:rFonts w:ascii="Arial" w:cs="Arial" w:eastAsia="Arial" w:hAnsi="Arial"/>
                <w:sz w:val="18"/>
                <w:szCs w:val="18"/>
                <w:color w:val="0000EE"/>
                <w:w w:val="98"/>
              </w:rPr>
            </w:pPr>
            <w:hyperlink r:id="rId106">
              <w:r>
                <w:rPr>
                  <w:rFonts w:ascii="Arial" w:cs="Arial" w:eastAsia="Arial" w:hAnsi="Arial"/>
                  <w:sz w:val="18"/>
                  <w:szCs w:val="18"/>
                  <w:color w:val="0000EE"/>
                  <w:w w:val="98"/>
                </w:rPr>
                <w:t>dated as of May 15, 2017, by and among Mirna</w:t>
              </w:r>
            </w:hyperlink>
          </w:p>
        </w:tc>
        <w:tc>
          <w:tcPr>
            <w:tcW w:w="28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Arial" w:cs="Arial" w:eastAsia="Arial" w:hAnsi="Arial"/>
                <w:sz w:val="18"/>
                <w:szCs w:val="18"/>
                <w:color w:val="auto"/>
                <w:w w:val="95"/>
              </w:rPr>
              <w:t>(Exhibit 2.1)</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Therapeutics, Inc., Meerkat Merger Sub, Inc. and</w:t>
              </w:r>
            </w:hyperlink>
          </w:p>
        </w:tc>
        <w:tc>
          <w:tcPr>
            <w:tcW w:w="44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Synlogic, Inc.</w:t>
              </w:r>
            </w:hyperlink>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87"/>
              </w:rPr>
              <w:t>3.1</w:t>
            </w:r>
          </w:p>
        </w:tc>
        <w:tc>
          <w:tcPr>
            <w:tcW w:w="4000" w:type="dxa"/>
            <w:vAlign w:val="bottom"/>
            <w:gridSpan w:val="23"/>
          </w:tcPr>
          <w:p>
            <w:pPr>
              <w:spacing w:after="0"/>
              <w:rPr>
                <w:rFonts w:ascii="Arial" w:cs="Arial" w:eastAsia="Arial" w:hAnsi="Arial"/>
                <w:sz w:val="18"/>
                <w:szCs w:val="18"/>
                <w:color w:val="0000EE"/>
                <w:w w:val="98"/>
              </w:rPr>
            </w:pPr>
            <w:hyperlink r:id="rId107">
              <w:r>
                <w:rPr>
                  <w:rFonts w:ascii="Arial" w:cs="Arial" w:eastAsia="Arial" w:hAnsi="Arial"/>
                  <w:sz w:val="18"/>
                  <w:szCs w:val="18"/>
                  <w:color w:val="0000EE"/>
                  <w:w w:val="98"/>
                </w:rPr>
                <w:t>Amended and Restated Certificate of Incorporation</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10/6/2015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5"/>
              </w:rPr>
              <w:t>(Exhibit 3.1)</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87"/>
              </w:rPr>
              <w:t>3.2</w:t>
            </w:r>
          </w:p>
        </w:tc>
        <w:tc>
          <w:tcPr>
            <w:tcW w:w="4000" w:type="dxa"/>
            <w:vAlign w:val="bottom"/>
            <w:gridSpan w:val="23"/>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Certificate of Amendment (Reverse Stock Split) to the</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Amended and Restated Certificate of Incorporation,</w:t>
              </w:r>
            </w:hyperlink>
          </w:p>
        </w:tc>
        <w:tc>
          <w:tcPr>
            <w:tcW w:w="18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Arial" w:cs="Arial" w:eastAsia="Arial" w:hAnsi="Arial"/>
                <w:sz w:val="18"/>
                <w:szCs w:val="18"/>
                <w:color w:val="auto"/>
                <w:w w:val="95"/>
              </w:rPr>
              <w:t>(Exhibit 3.1)</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dated August 25, 2017</w:t>
              </w:r>
            </w:hyperlink>
          </w:p>
        </w:tc>
        <w:tc>
          <w:tcPr>
            <w:tcW w:w="236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87"/>
              </w:rPr>
              <w:t>3.3</w:t>
            </w:r>
          </w:p>
        </w:tc>
        <w:tc>
          <w:tcPr>
            <w:tcW w:w="4000" w:type="dxa"/>
            <w:vAlign w:val="bottom"/>
            <w:gridSpan w:val="23"/>
          </w:tcPr>
          <w:p>
            <w:pPr>
              <w:spacing w:after="0"/>
              <w:rPr>
                <w:rFonts w:ascii="Arial" w:cs="Arial" w:eastAsia="Arial" w:hAnsi="Arial"/>
                <w:sz w:val="18"/>
                <w:szCs w:val="18"/>
                <w:color w:val="0000EE"/>
              </w:rPr>
            </w:pPr>
            <w:hyperlink r:id="rId109">
              <w:r>
                <w:rPr>
                  <w:rFonts w:ascii="Arial" w:cs="Arial" w:eastAsia="Arial" w:hAnsi="Arial"/>
                  <w:sz w:val="18"/>
                  <w:szCs w:val="18"/>
                  <w:color w:val="0000EE"/>
                </w:rPr>
                <w:t>Certificate of Amendment (Name Change) to the</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08/28/2017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Amended and Restated Certificate of Incorporation</w:t>
              </w:r>
            </w:hyperlink>
          </w:p>
        </w:tc>
        <w:tc>
          <w:tcPr>
            <w:tcW w:w="30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jc w:val="center"/>
              <w:ind w:right="132"/>
              <w:spacing w:after="0" w:line="196" w:lineRule="exact"/>
              <w:rPr>
                <w:sz w:val="20"/>
                <w:szCs w:val="20"/>
                <w:color w:val="auto"/>
              </w:rPr>
            </w:pPr>
            <w:r>
              <w:rPr>
                <w:rFonts w:ascii="Arial" w:cs="Arial" w:eastAsia="Arial" w:hAnsi="Arial"/>
                <w:sz w:val="18"/>
                <w:szCs w:val="18"/>
                <w:color w:val="auto"/>
                <w:w w:val="95"/>
              </w:rPr>
              <w:t>(Exhibit 3.2)</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87"/>
              </w:rPr>
              <w:t>3.4</w:t>
            </w:r>
          </w:p>
        </w:tc>
        <w:tc>
          <w:tcPr>
            <w:tcW w:w="4000" w:type="dxa"/>
            <w:vAlign w:val="bottom"/>
            <w:gridSpan w:val="23"/>
          </w:tcPr>
          <w:p>
            <w:pPr>
              <w:spacing w:after="0"/>
              <w:rPr>
                <w:rFonts w:ascii="Arial" w:cs="Arial" w:eastAsia="Arial" w:hAnsi="Arial"/>
                <w:sz w:val="18"/>
                <w:szCs w:val="18"/>
                <w:color w:val="0000EE"/>
              </w:rPr>
            </w:pPr>
            <w:hyperlink r:id="rId110">
              <w:r>
                <w:rPr>
                  <w:rFonts w:ascii="Arial" w:cs="Arial" w:eastAsia="Arial" w:hAnsi="Arial"/>
                  <w:sz w:val="18"/>
                  <w:szCs w:val="18"/>
                  <w:color w:val="0000EE"/>
                </w:rPr>
                <w:t>Amended and Restated Bylaws</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10/6/2015</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5"/>
              </w:rPr>
              <w:t>(Exhibit 3.2)</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87"/>
              </w:rPr>
              <w:t>4.1</w:t>
            </w:r>
          </w:p>
        </w:tc>
        <w:tc>
          <w:tcPr>
            <w:tcW w:w="4000" w:type="dxa"/>
            <w:vAlign w:val="bottom"/>
            <w:gridSpan w:val="23"/>
          </w:tcPr>
          <w:p>
            <w:pPr>
              <w:spacing w:after="0"/>
              <w:rPr>
                <w:rFonts w:ascii="Arial" w:cs="Arial" w:eastAsia="Arial" w:hAnsi="Arial"/>
                <w:sz w:val="18"/>
                <w:szCs w:val="18"/>
                <w:color w:val="0000EE"/>
              </w:rPr>
            </w:pPr>
            <w:hyperlink r:id="rId111">
              <w:r>
                <w:rPr>
                  <w:rFonts w:ascii="Arial" w:cs="Arial" w:eastAsia="Arial" w:hAnsi="Arial"/>
                  <w:sz w:val="18"/>
                  <w:szCs w:val="18"/>
                  <w:color w:val="0000EE"/>
                </w:rPr>
                <w:t>Form of Common Stock Certificate</w:t>
              </w:r>
            </w:hyperlink>
          </w:p>
        </w:tc>
        <w:tc>
          <w:tcPr>
            <w:tcW w:w="880" w:type="dxa"/>
            <w:vAlign w:val="bottom"/>
          </w:tcPr>
          <w:p>
            <w:pPr>
              <w:spacing w:after="0"/>
              <w:rPr>
                <w:sz w:val="24"/>
                <w:szCs w:val="24"/>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09/18/2015</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5"/>
              </w:rPr>
              <w:t>(Exhibit 4.2)</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87"/>
              </w:rPr>
              <w:t>4.2</w:t>
            </w:r>
          </w:p>
        </w:tc>
        <w:tc>
          <w:tcPr>
            <w:tcW w:w="4000" w:type="dxa"/>
            <w:vAlign w:val="bottom"/>
            <w:gridSpan w:val="23"/>
          </w:tcPr>
          <w:p>
            <w:pPr>
              <w:spacing w:after="0"/>
              <w:rPr>
                <w:rFonts w:ascii="Arial" w:cs="Arial" w:eastAsia="Arial" w:hAnsi="Arial"/>
                <w:sz w:val="18"/>
                <w:szCs w:val="18"/>
                <w:color w:val="0000EE"/>
              </w:rPr>
            </w:pPr>
            <w:hyperlink r:id="rId112">
              <w:r>
                <w:rPr>
                  <w:rFonts w:ascii="Arial" w:cs="Arial" w:eastAsia="Arial" w:hAnsi="Arial"/>
                  <w:sz w:val="18"/>
                  <w:szCs w:val="18"/>
                  <w:color w:val="0000EE"/>
                </w:rPr>
                <w:t>Pre-Funded Warrant</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06/12/2019</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5"/>
              </w:rPr>
              <w:t>(Exhibit 4.1)</w:t>
            </w:r>
          </w:p>
        </w:tc>
        <w:tc>
          <w:tcPr>
            <w:tcW w:w="1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87"/>
              </w:rPr>
              <w:t>4.3</w:t>
            </w:r>
          </w:p>
        </w:tc>
        <w:tc>
          <w:tcPr>
            <w:tcW w:w="4000" w:type="dxa"/>
            <w:vAlign w:val="bottom"/>
            <w:gridSpan w:val="23"/>
          </w:tcPr>
          <w:p>
            <w:pPr>
              <w:spacing w:after="0" w:line="190" w:lineRule="exact"/>
              <w:rPr>
                <w:rFonts w:ascii="Arial" w:cs="Arial" w:eastAsia="Arial" w:hAnsi="Arial"/>
                <w:sz w:val="18"/>
                <w:szCs w:val="18"/>
                <w:color w:val="0000EE"/>
              </w:rPr>
            </w:pPr>
            <w:hyperlink r:id="rId113">
              <w:r>
                <w:rPr>
                  <w:rFonts w:ascii="Arial" w:cs="Arial" w:eastAsia="Arial" w:hAnsi="Arial"/>
                  <w:sz w:val="18"/>
                  <w:szCs w:val="18"/>
                  <w:color w:val="0000EE"/>
                </w:rPr>
                <w:t>Description of Securities</w:t>
              </w:r>
            </w:hyperlink>
          </w:p>
        </w:tc>
        <w:tc>
          <w:tcPr>
            <w:tcW w:w="880" w:type="dxa"/>
            <w:vAlign w:val="bottom"/>
          </w:tcPr>
          <w:p>
            <w:pPr>
              <w:spacing w:after="0"/>
              <w:rPr>
                <w:sz w:val="16"/>
                <w:szCs w:val="16"/>
                <w:color w:val="auto"/>
              </w:rPr>
            </w:pPr>
          </w:p>
        </w:tc>
        <w:tc>
          <w:tcPr>
            <w:tcW w:w="2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99"/>
              </w:rPr>
              <w:t>10-K</w:t>
            </w:r>
          </w:p>
        </w:tc>
        <w:tc>
          <w:tcPr>
            <w:tcW w:w="1860" w:type="dxa"/>
            <w:vAlign w:val="bottom"/>
          </w:tcPr>
          <w:p>
            <w:pPr>
              <w:jc w:val="center"/>
              <w:spacing w:after="0" w:line="190" w:lineRule="exact"/>
              <w:rPr>
                <w:sz w:val="20"/>
                <w:szCs w:val="20"/>
                <w:color w:val="auto"/>
              </w:rPr>
            </w:pPr>
            <w:r>
              <w:rPr>
                <w:rFonts w:ascii="Arial" w:cs="Arial" w:eastAsia="Arial" w:hAnsi="Arial"/>
                <w:sz w:val="18"/>
                <w:szCs w:val="18"/>
                <w:color w:val="auto"/>
                <w:w w:val="90"/>
              </w:rPr>
              <w:t>03/12/2020</w:t>
            </w:r>
          </w:p>
        </w:tc>
        <w:tc>
          <w:tcPr>
            <w:tcW w:w="130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5"/>
              </w:rPr>
              <w:t>(Exhibit 4.3)</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93"/>
              </w:rPr>
              <w:t>10.1#</w:t>
            </w:r>
          </w:p>
        </w:tc>
        <w:tc>
          <w:tcPr>
            <w:tcW w:w="4000" w:type="dxa"/>
            <w:vAlign w:val="bottom"/>
            <w:gridSpan w:val="23"/>
          </w:tcPr>
          <w:p>
            <w:pPr>
              <w:spacing w:after="0"/>
              <w:rPr>
                <w:rFonts w:ascii="Arial" w:cs="Arial" w:eastAsia="Arial" w:hAnsi="Arial"/>
                <w:sz w:val="18"/>
                <w:szCs w:val="18"/>
                <w:color w:val="0000EE"/>
              </w:rPr>
            </w:pPr>
            <w:hyperlink r:id="rId114">
              <w:r>
                <w:rPr>
                  <w:rFonts w:ascii="Arial" w:cs="Arial" w:eastAsia="Arial" w:hAnsi="Arial"/>
                  <w:sz w:val="18"/>
                  <w:szCs w:val="18"/>
                  <w:color w:val="0000EE"/>
                </w:rPr>
                <w:t>2015 Equity Incentive Award Plan</w:t>
              </w:r>
            </w:hyperlink>
          </w:p>
        </w:tc>
        <w:tc>
          <w:tcPr>
            <w:tcW w:w="880" w:type="dxa"/>
            <w:vAlign w:val="bottom"/>
          </w:tcPr>
          <w:p>
            <w:pPr>
              <w:spacing w:after="0"/>
              <w:rPr>
                <w:sz w:val="24"/>
                <w:szCs w:val="24"/>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9"/>
              </w:rPr>
              <w:t>10-K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03/20/2018</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6"/>
              </w:rPr>
              <w:t>(Exhibit 10.1)</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93"/>
              </w:rPr>
              <w:t>10.2#</w:t>
            </w:r>
          </w:p>
        </w:tc>
        <w:tc>
          <w:tcPr>
            <w:tcW w:w="4000" w:type="dxa"/>
            <w:vAlign w:val="bottom"/>
            <w:gridSpan w:val="23"/>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Form of Stock Option Grant Notice and Stock Option</w:t>
              </w:r>
            </w:hyperlink>
          </w:p>
        </w:tc>
        <w:tc>
          <w:tcPr>
            <w:tcW w:w="880" w:type="dxa"/>
            <w:vAlign w:val="bottom"/>
          </w:tcPr>
          <w:p>
            <w:pPr>
              <w:spacing w:after="0"/>
              <w:rPr>
                <w:sz w:val="24"/>
                <w:szCs w:val="24"/>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09/11/2015</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tcBorders>
              <w:top w:val="single" w:sz="8" w:color="0000EE"/>
            </w:tcBorders>
            <w:gridSpan w:val="21"/>
          </w:tcPr>
          <w:p>
            <w:pPr>
              <w:spacing w:after="0" w:line="196" w:lineRule="exact"/>
              <w:rPr>
                <w:rFonts w:ascii="Arial" w:cs="Arial" w:eastAsia="Arial" w:hAnsi="Arial"/>
                <w:sz w:val="18"/>
                <w:szCs w:val="18"/>
                <w:color w:val="0000EE"/>
                <w:w w:val="95"/>
              </w:rPr>
            </w:pPr>
            <w:hyperlink r:id="rId115">
              <w:r>
                <w:rPr>
                  <w:rFonts w:ascii="Arial" w:cs="Arial" w:eastAsia="Arial" w:hAnsi="Arial"/>
                  <w:sz w:val="18"/>
                  <w:szCs w:val="18"/>
                  <w:color w:val="0000EE"/>
                  <w:w w:val="95"/>
                </w:rPr>
                <w:t>Agreement under the 2015 Equity Incentive Award</w:t>
              </w:r>
            </w:hyperlink>
          </w:p>
        </w:tc>
        <w:tc>
          <w:tcPr>
            <w:tcW w:w="1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10.9(B))</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Plan.</w:t>
              </w:r>
            </w:hyperlink>
          </w:p>
        </w:tc>
        <w:tc>
          <w:tcPr>
            <w:tcW w:w="32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93"/>
              </w:rPr>
              <w:t>10.3#</w:t>
            </w:r>
          </w:p>
        </w:tc>
        <w:tc>
          <w:tcPr>
            <w:tcW w:w="4000" w:type="dxa"/>
            <w:vAlign w:val="bottom"/>
            <w:gridSpan w:val="23"/>
          </w:tcPr>
          <w:p>
            <w:pPr>
              <w:spacing w:after="0"/>
              <w:rPr>
                <w:rFonts w:ascii="Arial" w:cs="Arial" w:eastAsia="Arial" w:hAnsi="Arial"/>
                <w:sz w:val="18"/>
                <w:szCs w:val="18"/>
                <w:color w:val="0000EE"/>
              </w:rPr>
            </w:pPr>
            <w:hyperlink r:id="rId116">
              <w:r>
                <w:rPr>
                  <w:rFonts w:ascii="Arial" w:cs="Arial" w:eastAsia="Arial" w:hAnsi="Arial"/>
                  <w:sz w:val="18"/>
                  <w:szCs w:val="18"/>
                  <w:color w:val="0000EE"/>
                </w:rPr>
                <w:t>Form of Restricted Stock Award Agreement and</w:t>
              </w:r>
            </w:hyperlink>
          </w:p>
        </w:tc>
        <w:tc>
          <w:tcPr>
            <w:tcW w:w="880" w:type="dxa"/>
            <w:vAlign w:val="bottom"/>
          </w:tcPr>
          <w:p>
            <w:pPr>
              <w:spacing w:after="0"/>
              <w:rPr>
                <w:sz w:val="24"/>
                <w:szCs w:val="24"/>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09/11/2015</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333-206544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3"/>
          </w:tcPr>
          <w:p>
            <w:pPr>
              <w:spacing w:after="0" w:line="196" w:lineRule="exact"/>
              <w:rPr>
                <w:rFonts w:ascii="Arial" w:cs="Arial" w:eastAsia="Arial" w:hAnsi="Arial"/>
                <w:sz w:val="18"/>
                <w:szCs w:val="18"/>
                <w:color w:val="0000EE"/>
                <w:w w:val="96"/>
              </w:rPr>
            </w:pPr>
            <w:hyperlink r:id="rId116">
              <w:r>
                <w:rPr>
                  <w:rFonts w:ascii="Arial" w:cs="Arial" w:eastAsia="Arial" w:hAnsi="Arial"/>
                  <w:sz w:val="18"/>
                  <w:szCs w:val="18"/>
                  <w:color w:val="0000EE"/>
                  <w:w w:val="96"/>
                </w:rPr>
                <w:t>Restricted Stock Unit Award Grant Notice under the</w:t>
              </w:r>
            </w:hyperlink>
          </w:p>
        </w:tc>
        <w:tc>
          <w:tcPr>
            <w:tcW w:w="88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10.9(C))</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2015 Equity Incentive Award Plan.</w:t>
              </w:r>
            </w:hyperlink>
          </w:p>
        </w:tc>
        <w:tc>
          <w:tcPr>
            <w:tcW w:w="2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93"/>
              </w:rPr>
              <w:t>10.4#</w:t>
            </w:r>
          </w:p>
        </w:tc>
        <w:tc>
          <w:tcPr>
            <w:tcW w:w="2520" w:type="dxa"/>
            <w:vAlign w:val="bottom"/>
            <w:tcBorders>
              <w:top w:val="single" w:sz="8" w:color="0000EE"/>
            </w:tcBorders>
            <w:gridSpan w:val="9"/>
          </w:tcPr>
          <w:p>
            <w:pPr>
              <w:spacing w:after="0"/>
              <w:rPr>
                <w:rFonts w:ascii="Arial" w:cs="Arial" w:eastAsia="Arial" w:hAnsi="Arial"/>
                <w:sz w:val="18"/>
                <w:szCs w:val="18"/>
                <w:color w:val="0000EE"/>
              </w:rPr>
            </w:pPr>
            <w:hyperlink r:id="rId117">
              <w:r>
                <w:rPr>
                  <w:rFonts w:ascii="Arial" w:cs="Arial" w:eastAsia="Arial" w:hAnsi="Arial"/>
                  <w:sz w:val="18"/>
                  <w:szCs w:val="18"/>
                  <w:color w:val="0000EE"/>
                </w:rPr>
                <w:t>2017 Stock Incentive Plan</w:t>
              </w:r>
            </w:hyperlink>
          </w:p>
        </w:tc>
        <w:tc>
          <w:tcPr>
            <w:tcW w:w="1480" w:type="dxa"/>
            <w:vAlign w:val="bottom"/>
            <w:gridSpan w:val="14"/>
          </w:tcPr>
          <w:p>
            <w:pPr>
              <w:spacing w:after="0"/>
              <w:rPr>
                <w:sz w:val="24"/>
                <w:szCs w:val="24"/>
                <w:color w:val="auto"/>
              </w:rPr>
            </w:pPr>
          </w:p>
        </w:tc>
        <w:tc>
          <w:tcPr>
            <w:tcW w:w="880" w:type="dxa"/>
            <w:vAlign w:val="bottom"/>
          </w:tcPr>
          <w:p>
            <w:pPr>
              <w:spacing w:after="0"/>
              <w:rPr>
                <w:sz w:val="24"/>
                <w:szCs w:val="24"/>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9"/>
              </w:rPr>
              <w:t>10-K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03/20/2018</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6"/>
              </w:rPr>
              <w:t>(Exhibit 10.4)</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93"/>
              </w:rPr>
              <w:t>10.5#</w:t>
            </w:r>
          </w:p>
        </w:tc>
        <w:tc>
          <w:tcPr>
            <w:tcW w:w="4000" w:type="dxa"/>
            <w:vAlign w:val="bottom"/>
            <w:gridSpan w:val="23"/>
          </w:tcPr>
          <w:p>
            <w:pPr>
              <w:spacing w:after="0"/>
              <w:rPr>
                <w:rFonts w:ascii="Arial" w:cs="Arial" w:eastAsia="Arial" w:hAnsi="Arial"/>
                <w:sz w:val="18"/>
                <w:szCs w:val="18"/>
                <w:color w:val="0000EE"/>
                <w:w w:val="94"/>
              </w:rPr>
            </w:pPr>
            <w:hyperlink r:id="rId118">
              <w:r>
                <w:rPr>
                  <w:rFonts w:ascii="Arial" w:cs="Arial" w:eastAsia="Arial" w:hAnsi="Arial"/>
                  <w:sz w:val="18"/>
                  <w:szCs w:val="18"/>
                  <w:color w:val="0000EE"/>
                  <w:w w:val="94"/>
                </w:rPr>
                <w:t>Form of Stock Option Grant Notice and Stock Option</w:t>
              </w:r>
            </w:hyperlink>
          </w:p>
        </w:tc>
        <w:tc>
          <w:tcPr>
            <w:tcW w:w="880" w:type="dxa"/>
            <w:vAlign w:val="bottom"/>
          </w:tcPr>
          <w:p>
            <w:pPr>
              <w:spacing w:after="0"/>
              <w:rPr>
                <w:sz w:val="24"/>
                <w:szCs w:val="24"/>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4"/>
              </w:rPr>
              <w:t>10-Q</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11/13/2017</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Agreement under 2017 Stock Incentive Plan.</w:t>
              </w:r>
            </w:hyperlink>
          </w:p>
        </w:tc>
        <w:tc>
          <w:tcPr>
            <w:tcW w:w="620" w:type="dxa"/>
            <w:vAlign w:val="bottom"/>
            <w:tcBorders>
              <w:top w:val="single" w:sz="8" w:color="0000EE"/>
            </w:tcBorders>
            <w:gridSpan w:val="10"/>
          </w:tcPr>
          <w:p>
            <w:pPr>
              <w:spacing w:after="0"/>
              <w:rPr>
                <w:sz w:val="17"/>
                <w:szCs w:val="17"/>
                <w:color w:val="auto"/>
              </w:rPr>
            </w:pPr>
          </w:p>
        </w:tc>
        <w:tc>
          <w:tcPr>
            <w:tcW w:w="14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206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4"/>
              </w:rPr>
              <w:t>(Exhibit 10.17)</w:t>
            </w:r>
          </w:p>
        </w:tc>
        <w:tc>
          <w:tcPr>
            <w:tcW w:w="1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jc w:val="center"/>
              <w:ind w:right="632"/>
              <w:spacing w:after="0"/>
              <w:rPr>
                <w:sz w:val="20"/>
                <w:szCs w:val="20"/>
                <w:color w:val="auto"/>
              </w:rPr>
            </w:pPr>
            <w:r>
              <w:rPr>
                <w:rFonts w:ascii="Arial" w:cs="Arial" w:eastAsia="Arial" w:hAnsi="Arial"/>
                <w:sz w:val="18"/>
                <w:szCs w:val="18"/>
                <w:color w:val="auto"/>
                <w:w w:val="93"/>
              </w:rPr>
              <w:t>10.6#</w:t>
            </w:r>
          </w:p>
        </w:tc>
        <w:tc>
          <w:tcPr>
            <w:tcW w:w="4000" w:type="dxa"/>
            <w:vAlign w:val="bottom"/>
            <w:gridSpan w:val="23"/>
          </w:tcPr>
          <w:p>
            <w:pPr>
              <w:spacing w:after="0" w:line="207" w:lineRule="exact"/>
              <w:rPr>
                <w:rFonts w:ascii="Arial" w:cs="Arial" w:eastAsia="Arial" w:hAnsi="Arial"/>
                <w:sz w:val="18"/>
                <w:szCs w:val="18"/>
                <w:color w:val="0000EE"/>
              </w:rPr>
            </w:pPr>
            <w:hyperlink r:id="rId119">
              <w:r>
                <w:rPr>
                  <w:rFonts w:ascii="Arial" w:cs="Arial" w:eastAsia="Arial" w:hAnsi="Arial"/>
                  <w:sz w:val="18"/>
                  <w:szCs w:val="18"/>
                  <w:color w:val="0000EE"/>
                </w:rPr>
                <w:t>Non</w:t>
              </w:r>
              <w:r>
                <w:rPr>
                  <w:rFonts w:ascii="MS PGothic" w:cs="MS PGothic" w:eastAsia="MS PGothic" w:hAnsi="MS PGothic"/>
                  <w:sz w:val="18"/>
                  <w:szCs w:val="18"/>
                  <w:color w:val="0000EE"/>
                </w:rPr>
                <w:t>‑</w:t>
              </w:r>
              <w:r>
                <w:rPr>
                  <w:rFonts w:ascii="Arial" w:cs="Arial" w:eastAsia="Arial" w:hAnsi="Arial"/>
                  <w:sz w:val="18"/>
                  <w:szCs w:val="18"/>
                  <w:color w:val="0000EE"/>
                </w:rPr>
                <w:t>Employee Director Compensation Program.</w:t>
              </w:r>
            </w:hyperlink>
          </w:p>
        </w:tc>
        <w:tc>
          <w:tcPr>
            <w:tcW w:w="880" w:type="dxa"/>
            <w:vAlign w:val="bottom"/>
          </w:tcPr>
          <w:p>
            <w:pPr>
              <w:spacing w:after="0"/>
              <w:rPr>
                <w:sz w:val="24"/>
                <w:szCs w:val="24"/>
                <w:color w:val="auto"/>
              </w:rPr>
            </w:pPr>
          </w:p>
        </w:tc>
        <w:tc>
          <w:tcPr>
            <w:tcW w:w="206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01/31/2020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60" w:type="dxa"/>
            <w:vAlign w:val="bottom"/>
          </w:tcPr>
          <w:p>
            <w:pPr>
              <w:jc w:val="center"/>
              <w:ind w:right="112"/>
              <w:spacing w:after="0"/>
              <w:rPr>
                <w:sz w:val="20"/>
                <w:szCs w:val="20"/>
                <w:color w:val="auto"/>
              </w:rPr>
            </w:pPr>
            <w:r>
              <w:rPr>
                <w:rFonts w:ascii="Arial" w:cs="Arial" w:eastAsia="Arial" w:hAnsi="Arial"/>
                <w:sz w:val="18"/>
                <w:szCs w:val="18"/>
                <w:color w:val="auto"/>
                <w:w w:val="96"/>
              </w:rPr>
              <w:t>(Exhibit 10.1)</w:t>
            </w:r>
          </w:p>
        </w:tc>
        <w:tc>
          <w:tcPr>
            <w:tcW w:w="1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224"/>
              <w:spacing w:after="0"/>
              <w:rPr>
                <w:sz w:val="20"/>
                <w:szCs w:val="20"/>
                <w:color w:val="auto"/>
              </w:rPr>
            </w:pPr>
            <w:r>
              <w:rPr>
                <w:rFonts w:ascii="Arial" w:cs="Arial" w:eastAsia="Arial" w:hAnsi="Arial"/>
                <w:sz w:val="18"/>
                <w:szCs w:val="18"/>
                <w:color w:val="auto"/>
              </w:rPr>
              <w:t>86</w:t>
            </w: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auto"/>
                <w:w w:val="91"/>
              </w:rPr>
              <w:t>Filed</w:t>
            </w:r>
          </w:p>
        </w:tc>
        <w:tc>
          <w:tcPr>
            <w:tcW w:w="2040" w:type="dxa"/>
            <w:vAlign w:val="bottom"/>
          </w:tcPr>
          <w:p>
            <w:pPr>
              <w:jc w:val="center"/>
              <w:ind w:right="153"/>
              <w:spacing w:after="0"/>
              <w:rPr>
                <w:sz w:val="20"/>
                <w:szCs w:val="20"/>
                <w:color w:val="auto"/>
              </w:rPr>
            </w:pPr>
            <w:r>
              <w:rPr>
                <w:rFonts w:ascii="Arial" w:cs="Arial" w:eastAsia="Arial" w:hAnsi="Arial"/>
                <w:sz w:val="14"/>
                <w:szCs w:val="14"/>
                <w:b w:val="1"/>
                <w:bCs w:val="1"/>
                <w:color w:val="auto"/>
                <w:w w:val="94"/>
              </w:rPr>
              <w:t>Incorporated by</w:t>
            </w:r>
          </w:p>
        </w:tc>
        <w:tc>
          <w:tcPr>
            <w:tcW w:w="1720" w:type="dxa"/>
            <w:vAlign w:val="bottom"/>
          </w:tcPr>
          <w:p>
            <w:pPr>
              <w:spacing w:after="0"/>
              <w:rPr>
                <w:sz w:val="14"/>
                <w:szCs w:val="14"/>
                <w:color w:val="auto"/>
              </w:rPr>
            </w:pPr>
          </w:p>
        </w:tc>
        <w:tc>
          <w:tcPr>
            <w:tcW w:w="1440" w:type="dxa"/>
            <w:vAlign w:val="bottom"/>
            <w:vMerge w:val="restart"/>
          </w:tcPr>
          <w:p>
            <w:pPr>
              <w:jc w:val="center"/>
              <w:ind w:left="114"/>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4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720" w:type="dxa"/>
            <w:vAlign w:val="bottom"/>
            <w:vMerge w:val="restart"/>
          </w:tcPr>
          <w:p>
            <w:pPr>
              <w:jc w:val="center"/>
              <w:ind w:left="73"/>
              <w:spacing w:after="0"/>
              <w:rPr>
                <w:sz w:val="20"/>
                <w:szCs w:val="20"/>
                <w:color w:val="auto"/>
              </w:rPr>
            </w:pPr>
            <w:r>
              <w:rPr>
                <w:rFonts w:ascii="Arial" w:cs="Arial" w:eastAsia="Arial" w:hAnsi="Arial"/>
                <w:sz w:val="14"/>
                <w:szCs w:val="14"/>
                <w:b w:val="1"/>
                <w:bCs w:val="1"/>
                <w:color w:val="auto"/>
                <w:w w:val="96"/>
              </w:rPr>
              <w:t>Filing</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25"/>
            <w:vMerge w:val="restart"/>
          </w:tcPr>
          <w:p>
            <w:pPr>
              <w:ind w:left="74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95"/>
              </w:rPr>
              <w:t>with this</w:t>
            </w:r>
          </w:p>
        </w:tc>
        <w:tc>
          <w:tcPr>
            <w:tcW w:w="204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720" w:type="dxa"/>
            <w:vAlign w:val="bottom"/>
            <w:vMerge w:val="continue"/>
          </w:tcPr>
          <w:p>
            <w:pPr>
              <w:spacing w:after="0"/>
              <w:rPr>
                <w:sz w:val="12"/>
                <w:szCs w:val="12"/>
                <w:color w:val="auto"/>
              </w:rPr>
            </w:pPr>
          </w:p>
        </w:tc>
        <w:tc>
          <w:tcPr>
            <w:tcW w:w="1440" w:type="dxa"/>
            <w:vAlign w:val="bottom"/>
          </w:tcPr>
          <w:p>
            <w:pPr>
              <w:jc w:val="center"/>
              <w:ind w:left="94"/>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5"/>
            <w:vMerge w:val="continue"/>
          </w:tcPr>
          <w:p>
            <w:pPr>
              <w:spacing w:after="0"/>
              <w:rPr>
                <w:sz w:val="14"/>
                <w:szCs w:val="14"/>
                <w:color w:val="auto"/>
              </w:rPr>
            </w:pPr>
          </w:p>
        </w:tc>
        <w:tc>
          <w:tcPr>
            <w:tcW w:w="9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3"/>
              </w:rPr>
              <w:t>Report</w:t>
            </w:r>
          </w:p>
        </w:tc>
        <w:tc>
          <w:tcPr>
            <w:tcW w:w="2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6"/>
              </w:rPr>
              <w:t>Schedule</w:t>
            </w:r>
          </w:p>
        </w:tc>
        <w:tc>
          <w:tcPr>
            <w:tcW w:w="1720" w:type="dxa"/>
            <w:vAlign w:val="bottom"/>
            <w:tcBorders>
              <w:bottom w:val="single" w:sz="8" w:color="auto"/>
            </w:tcBorders>
          </w:tcPr>
          <w:p>
            <w:pPr>
              <w:jc w:val="center"/>
              <w:ind w:left="53"/>
              <w:spacing w:after="0"/>
              <w:rPr>
                <w:sz w:val="20"/>
                <w:szCs w:val="20"/>
                <w:color w:val="auto"/>
              </w:rPr>
            </w:pPr>
            <w:r>
              <w:rPr>
                <w:rFonts w:ascii="Arial" w:cs="Arial" w:eastAsia="Arial" w:hAnsi="Arial"/>
                <w:sz w:val="14"/>
                <w:szCs w:val="14"/>
                <w:b w:val="1"/>
                <w:bCs w:val="1"/>
                <w:color w:val="auto"/>
                <w:w w:val="98"/>
              </w:rPr>
              <w:t>Date</w:t>
            </w:r>
          </w:p>
        </w:tc>
        <w:tc>
          <w:tcPr>
            <w:tcW w:w="144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3560" w:type="dxa"/>
            <w:vAlign w:val="bottom"/>
            <w:tcBorders>
              <w:bottom w:val="single" w:sz="8" w:color="0000EE"/>
            </w:tcBorders>
            <w:gridSpan w:val="1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Form of Indemnification Agreement between the</w:t>
              </w:r>
            </w:hyperlink>
          </w:p>
        </w:tc>
        <w:tc>
          <w:tcPr>
            <w:tcW w:w="44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3"/>
              </w:rPr>
              <w:t>S-1/A</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09/11/2015</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89"/>
              </w:rPr>
              <w:t>333-206544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Company and each of its directors and officers</w:t>
              </w:r>
            </w:hyperlink>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4"/>
              </w:rPr>
              <w:t>(Exhibit 10.13)</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3740" w:type="dxa"/>
            <w:vAlign w:val="bottom"/>
            <w:tcBorders>
              <w:bottom w:val="single" w:sz="8" w:color="0000EE"/>
            </w:tcBorders>
            <w:gridSpan w:val="20"/>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Offer Letter by and between Synlogic and Aoife M.</w:t>
              </w:r>
            </w:hyperlink>
          </w:p>
        </w:tc>
        <w:tc>
          <w:tcPr>
            <w:tcW w:w="2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53"/>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08/28/2017</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w w:val="98"/>
              </w:rPr>
            </w:pPr>
            <w:hyperlink r:id="rId123">
              <w:r>
                <w:rPr>
                  <w:rFonts w:ascii="Arial" w:cs="Arial" w:eastAsia="Arial" w:hAnsi="Arial"/>
                  <w:sz w:val="18"/>
                  <w:szCs w:val="18"/>
                  <w:color w:val="0000EE"/>
                  <w:w w:val="98"/>
                </w:rPr>
                <w:t>Brennan, MB, BCh, BAO, MMSc, dated as of June</w:t>
              </w:r>
            </w:hyperlink>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6"/>
              </w:rPr>
              <w:t>(Exhibit 10.6)</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23">
              <w:r>
                <w:rPr>
                  <w:rFonts w:ascii="Arial" w:cs="Arial" w:eastAsia="Arial" w:hAnsi="Arial"/>
                  <w:sz w:val="18"/>
                  <w:szCs w:val="18"/>
                  <w:color w:val="0000EE"/>
                  <w:w w:val="88"/>
                </w:rPr>
                <w:t>22, 2016</w:t>
              </w:r>
            </w:hyperlink>
          </w:p>
        </w:tc>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3540" w:type="dxa"/>
            <w:vAlign w:val="bottom"/>
            <w:tcBorders>
              <w:bottom w:val="single" w:sz="8" w:color="0000EE"/>
            </w:tcBorders>
            <w:gridSpan w:val="13"/>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First Amendment to Offer Letter by and between</w:t>
              </w:r>
            </w:hyperlink>
          </w:p>
        </w:tc>
        <w:tc>
          <w:tcPr>
            <w:tcW w:w="46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53"/>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08/28/2017</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24">
              <w:r>
                <w:rPr>
                  <w:rFonts w:ascii="Arial" w:cs="Arial" w:eastAsia="Arial" w:hAnsi="Arial"/>
                  <w:sz w:val="18"/>
                  <w:szCs w:val="18"/>
                  <w:color w:val="0000EE"/>
                  <w:w w:val="94"/>
                </w:rPr>
                <w:t>Synlogic and Aoife M. Brennan, MB, BCh, BAO,</w:t>
              </w:r>
            </w:hyperlink>
          </w:p>
        </w:tc>
        <w:tc>
          <w:tcPr>
            <w:tcW w:w="38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6"/>
              </w:rPr>
              <w:t>(Exhibit 10.7)</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MMSc, dated as of November 7, 2016</w:t>
              </w:r>
            </w:hyperlink>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3740" w:type="dxa"/>
            <w:vAlign w:val="bottom"/>
            <w:tcBorders>
              <w:bottom w:val="single" w:sz="8" w:color="0000EE"/>
            </w:tcBorders>
            <w:gridSpan w:val="20"/>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Second Amendment to Offer Letter by and between</w:t>
              </w:r>
            </w:hyperlink>
          </w:p>
        </w:tc>
        <w:tc>
          <w:tcPr>
            <w:tcW w:w="2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53"/>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08/28/2017</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Synlogic and Aoife M. Brennan, MB, BCh, BAO,</w:t>
              </w:r>
            </w:hyperlink>
          </w:p>
        </w:tc>
        <w:tc>
          <w:tcPr>
            <w:tcW w:w="38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6"/>
              </w:rPr>
              <w:t>(Exhibit 10.8)</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MMSc, dated as of May 8, 2017</w:t>
              </w:r>
            </w:hyperlink>
          </w:p>
        </w:tc>
        <w:tc>
          <w:tcPr>
            <w:tcW w:w="166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4000" w:type="dxa"/>
            <w:vAlign w:val="bottom"/>
            <w:gridSpan w:val="27"/>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Third Amendment to Offer Letter dated as of June 5,</w:t>
              </w:r>
            </w:hyperlink>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4"/>
              </w:rPr>
              <w:t>10-Q</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2"/>
              </w:rPr>
              <w:t>08/9/2018</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2018, between Synlogic, Inc. and Aoife Brennan, MB,</w:t>
              </w:r>
            </w:hyperlink>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6"/>
              </w:rPr>
              <w:t>(Exhibit 10.1)</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5"/>
              </w:rPr>
            </w:pPr>
            <w:hyperlink r:id="rId126">
              <w:r>
                <w:rPr>
                  <w:rFonts w:ascii="Arial" w:cs="Arial" w:eastAsia="Arial" w:hAnsi="Arial"/>
                  <w:sz w:val="18"/>
                  <w:szCs w:val="18"/>
                  <w:color w:val="0000EE"/>
                  <w:w w:val="95"/>
                </w:rPr>
                <w:t>BCh, BAO, MMSc</w:t>
              </w:r>
            </w:hyperlink>
          </w:p>
        </w:tc>
        <w:tc>
          <w:tcPr>
            <w:tcW w:w="2520" w:type="dxa"/>
            <w:vAlign w:val="bottom"/>
            <w:tcBorders>
              <w:top w:val="single" w:sz="8" w:color="0000EE"/>
            </w:tcBorders>
            <w:gridSpan w:val="22"/>
          </w:tcPr>
          <w:p>
            <w:pPr>
              <w:spacing w:after="0"/>
              <w:rPr>
                <w:sz w:val="17"/>
                <w:szCs w:val="17"/>
                <w:color w:val="auto"/>
              </w:rPr>
            </w:pPr>
          </w:p>
        </w:tc>
        <w:tc>
          <w:tcPr>
            <w:tcW w:w="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Amended and Restated Letter Agreement by and</w:t>
              </w:r>
            </w:hyperlink>
          </w:p>
        </w:tc>
        <w:tc>
          <w:tcPr>
            <w:tcW w:w="48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4"/>
              </w:rPr>
              <w:t>10-Q</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11/13/2018</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w w:val="99"/>
              </w:rPr>
            </w:pPr>
            <w:hyperlink r:id="rId127">
              <w:r>
                <w:rPr>
                  <w:rFonts w:ascii="Arial" w:cs="Arial" w:eastAsia="Arial" w:hAnsi="Arial"/>
                  <w:sz w:val="18"/>
                  <w:szCs w:val="18"/>
                  <w:color w:val="0000EE"/>
                  <w:w w:val="99"/>
                </w:rPr>
                <w:t>between Synlogic, Inc. and Aoife M. Brennan, MB,</w:t>
              </w:r>
            </w:hyperlink>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6"/>
              </w:rPr>
              <w:t>(Exhibit 10.1)</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BCh, BAO, MMSc, dated as of October 1, 2018</w:t>
              </w:r>
            </w:hyperlink>
          </w:p>
        </w:tc>
        <w:tc>
          <w:tcPr>
            <w:tcW w:w="240" w:type="dxa"/>
            <w:vAlign w:val="bottom"/>
            <w:tcBorders>
              <w:top w:val="single" w:sz="8" w:color="0000EE"/>
            </w:tcBorders>
            <w:gridSpan w:val="9"/>
          </w:tcPr>
          <w:p>
            <w:pPr>
              <w:spacing w:after="0"/>
              <w:rPr>
                <w:sz w:val="17"/>
                <w:szCs w:val="17"/>
                <w:color w:val="auto"/>
              </w:rPr>
            </w:pPr>
          </w:p>
        </w:tc>
        <w:tc>
          <w:tcPr>
            <w:tcW w:w="2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4000" w:type="dxa"/>
            <w:vAlign w:val="bottom"/>
            <w:gridSpan w:val="27"/>
          </w:tcPr>
          <w:p>
            <w:pPr>
              <w:spacing w:after="0"/>
              <w:rPr>
                <w:rFonts w:ascii="Arial" w:cs="Arial" w:eastAsia="Arial" w:hAnsi="Arial"/>
                <w:sz w:val="18"/>
                <w:szCs w:val="18"/>
                <w:color w:val="0000EE"/>
                <w:w w:val="96"/>
              </w:rPr>
            </w:pPr>
            <w:hyperlink r:id="rId128">
              <w:r>
                <w:rPr>
                  <w:rFonts w:ascii="Arial" w:cs="Arial" w:eastAsia="Arial" w:hAnsi="Arial"/>
                  <w:sz w:val="18"/>
                  <w:szCs w:val="18"/>
                  <w:color w:val="0000EE"/>
                  <w:w w:val="96"/>
                </w:rPr>
                <w:t>Employment Letter Agreement dated July 17, 2019,</w:t>
              </w:r>
            </w:hyperlink>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03/25/2021</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by and between Synlogic and Richard Riese</w:t>
              </w:r>
            </w:hyperlink>
          </w:p>
        </w:tc>
        <w:tc>
          <w:tcPr>
            <w:tcW w:w="560" w:type="dxa"/>
            <w:vAlign w:val="bottom"/>
            <w:tcBorders>
              <w:top w:val="single" w:sz="8" w:color="0000EE"/>
            </w:tcBorders>
            <w:gridSpan w:val="12"/>
          </w:tcPr>
          <w:p>
            <w:pPr>
              <w:spacing w:after="0"/>
              <w:rPr>
                <w:sz w:val="17"/>
                <w:szCs w:val="17"/>
                <w:color w:val="auto"/>
              </w:rPr>
            </w:pPr>
          </w:p>
        </w:tc>
        <w:tc>
          <w:tcPr>
            <w:tcW w:w="26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4"/>
              </w:rPr>
              <w:t>(Exhibit 10.13)</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10.14.1</w:t>
            </w:r>
          </w:p>
        </w:tc>
        <w:tc>
          <w:tcPr>
            <w:tcW w:w="3760" w:type="dxa"/>
            <w:vAlign w:val="bottom"/>
            <w:tcBorders>
              <w:bottom w:val="single" w:sz="8" w:color="0000EE"/>
            </w:tcBorders>
            <w:gridSpan w:val="21"/>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Employment Letter Agreement dated November 28,</w:t>
              </w:r>
            </w:hyperlink>
          </w:p>
        </w:tc>
        <w:tc>
          <w:tcPr>
            <w:tcW w:w="24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03/25/2021</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2018, by and between Synlogic and Antoine Awad</w:t>
              </w:r>
            </w:hyperlink>
          </w:p>
        </w:tc>
        <w:tc>
          <w:tcPr>
            <w:tcW w:w="3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jc w:val="center"/>
              <w:ind w:right="153"/>
              <w:spacing w:after="0" w:line="196" w:lineRule="exact"/>
              <w:rPr>
                <w:sz w:val="20"/>
                <w:szCs w:val="20"/>
                <w:color w:val="auto"/>
              </w:rPr>
            </w:pPr>
            <w:r>
              <w:rPr>
                <w:rFonts w:ascii="Arial" w:cs="Arial" w:eastAsia="Arial" w:hAnsi="Arial"/>
                <w:sz w:val="18"/>
                <w:szCs w:val="18"/>
                <w:color w:val="auto"/>
                <w:w w:val="94"/>
              </w:rPr>
              <w:t>(Exhibit 10.14.1)</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10.14.2</w:t>
            </w:r>
          </w:p>
        </w:tc>
        <w:tc>
          <w:tcPr>
            <w:tcW w:w="3660" w:type="dxa"/>
            <w:vAlign w:val="bottom"/>
            <w:tcBorders>
              <w:bottom w:val="single" w:sz="8" w:color="0000EE"/>
            </w:tcBorders>
            <w:gridSpan w:val="16"/>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Promotion Letter, dated July 21, 2020, for Antoine</w:t>
              </w:r>
            </w:hyperlink>
          </w:p>
        </w:tc>
        <w:tc>
          <w:tcPr>
            <w:tcW w:w="34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03/25/2021</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Awad</w:t>
              </w:r>
            </w:hyperlink>
          </w:p>
        </w:tc>
        <w:tc>
          <w:tcPr>
            <w:tcW w:w="3580" w:type="dxa"/>
            <w:vAlign w:val="bottom"/>
            <w:gridSpan w:val="26"/>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jc w:val="center"/>
              <w:ind w:right="153"/>
              <w:spacing w:after="0" w:line="196" w:lineRule="exact"/>
              <w:rPr>
                <w:sz w:val="20"/>
                <w:szCs w:val="20"/>
                <w:color w:val="auto"/>
              </w:rPr>
            </w:pPr>
            <w:r>
              <w:rPr>
                <w:rFonts w:ascii="Arial" w:cs="Arial" w:eastAsia="Arial" w:hAnsi="Arial"/>
                <w:sz w:val="18"/>
                <w:szCs w:val="18"/>
                <w:color w:val="auto"/>
                <w:w w:val="94"/>
              </w:rPr>
              <w:t>(Exhibit 10.14.2)</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4000" w:type="dxa"/>
            <w:vAlign w:val="bottom"/>
            <w:gridSpan w:val="27"/>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Agreement and Plan of Merger by and among AbbVie</w:t>
              </w:r>
            </w:hyperlink>
          </w:p>
        </w:tc>
        <w:tc>
          <w:tcPr>
            <w:tcW w:w="900" w:type="dxa"/>
            <w:vAlign w:val="bottom"/>
          </w:tcPr>
          <w:p>
            <w:pPr>
              <w:spacing w:after="0"/>
              <w:rPr>
                <w:sz w:val="24"/>
                <w:szCs w:val="24"/>
                <w:color w:val="auto"/>
              </w:rPr>
            </w:pPr>
          </w:p>
        </w:tc>
        <w:tc>
          <w:tcPr>
            <w:tcW w:w="2040" w:type="dxa"/>
            <w:vAlign w:val="bottom"/>
          </w:tcPr>
          <w:p>
            <w:pPr>
              <w:jc w:val="center"/>
              <w:ind w:right="153"/>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08/28/2017</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S.à.r.l., Suffolk Merger Sub, Inc., Synlogic IBDCo,</w:t>
              </w:r>
            </w:hyperlink>
          </w:p>
        </w:tc>
        <w:tc>
          <w:tcPr>
            <w:tcW w:w="200" w:type="dxa"/>
            <w:vAlign w:val="bottom"/>
            <w:tcBorders>
              <w:top w:val="single" w:sz="8" w:color="0000EE"/>
            </w:tcBorders>
            <w:gridSpan w:val="6"/>
          </w:tcPr>
          <w:p>
            <w:pPr>
              <w:spacing w:after="0"/>
              <w:rPr>
                <w:sz w:val="17"/>
                <w:szCs w:val="17"/>
                <w:color w:val="auto"/>
              </w:rPr>
            </w:pPr>
          </w:p>
        </w:tc>
        <w:tc>
          <w:tcPr>
            <w:tcW w:w="1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4"/>
              </w:rPr>
              <w:t>(Exhibit 10.12)</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0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Inc., Synlogic, LLC, Synlogic, Inc. and the founders</w:t>
              </w:r>
            </w:hyperlink>
          </w:p>
        </w:tc>
        <w:tc>
          <w:tcPr>
            <w:tcW w:w="2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named therein, dated as of July 16, 2015; as amended</w:t>
              </w:r>
            </w:hyperlink>
          </w:p>
        </w:tc>
        <w:tc>
          <w:tcPr>
            <w:tcW w:w="14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by a First Amendment to Agreement and Plan of</w:t>
              </w:r>
            </w:hyperlink>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Merger, dated as of December 14, 2015</w:t>
              </w:r>
            </w:hyperlink>
          </w:p>
        </w:tc>
        <w:tc>
          <w:tcPr>
            <w:tcW w:w="50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3940" w:type="dxa"/>
            <w:vAlign w:val="bottom"/>
            <w:tcBorders>
              <w:bottom w:val="single" w:sz="8" w:color="0000EE"/>
            </w:tcBorders>
            <w:gridSpan w:val="26"/>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Second Amendment to Agreement and Plan of Merger</w:t>
              </w:r>
            </w:hyperlink>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tcPr>
          <w:p>
            <w:pPr>
              <w:jc w:val="center"/>
              <w:ind w:right="133"/>
              <w:spacing w:after="0"/>
              <w:rPr>
                <w:sz w:val="20"/>
                <w:szCs w:val="20"/>
                <w:color w:val="auto"/>
              </w:rPr>
            </w:pPr>
            <w:r>
              <w:rPr>
                <w:rFonts w:ascii="Arial" w:cs="Arial" w:eastAsia="Arial" w:hAnsi="Arial"/>
                <w:sz w:val="18"/>
                <w:szCs w:val="18"/>
                <w:color w:val="auto"/>
                <w:w w:val="94"/>
              </w:rPr>
              <w:t>10-Q</w:t>
            </w:r>
          </w:p>
        </w:tc>
        <w:tc>
          <w:tcPr>
            <w:tcW w:w="1720" w:type="dxa"/>
            <w:vAlign w:val="bottom"/>
          </w:tcPr>
          <w:p>
            <w:pPr>
              <w:jc w:val="center"/>
              <w:ind w:left="53"/>
              <w:spacing w:after="0"/>
              <w:rPr>
                <w:sz w:val="20"/>
                <w:szCs w:val="20"/>
                <w:color w:val="auto"/>
              </w:rPr>
            </w:pPr>
            <w:r>
              <w:rPr>
                <w:rFonts w:ascii="Arial" w:cs="Arial" w:eastAsia="Arial" w:hAnsi="Arial"/>
                <w:sz w:val="18"/>
                <w:szCs w:val="18"/>
                <w:color w:val="auto"/>
                <w:w w:val="90"/>
              </w:rPr>
              <w:t>11/13/2018</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w w:val="97"/>
              </w:rPr>
            </w:pPr>
            <w:hyperlink r:id="rId132">
              <w:r>
                <w:rPr>
                  <w:rFonts w:ascii="Arial" w:cs="Arial" w:eastAsia="Arial" w:hAnsi="Arial"/>
                  <w:sz w:val="18"/>
                  <w:szCs w:val="18"/>
                  <w:color w:val="0000EE"/>
                  <w:w w:val="97"/>
                </w:rPr>
                <w:t>by and among AbbVie S.à.r.l., Synlogic IBDCo, Inc.</w:t>
              </w:r>
            </w:hyperlink>
          </w:p>
        </w:tc>
        <w:tc>
          <w:tcPr>
            <w:tcW w:w="900" w:type="dxa"/>
            <w:vAlign w:val="bottom"/>
          </w:tcPr>
          <w:p>
            <w:pPr>
              <w:spacing w:after="0"/>
              <w:rPr>
                <w:sz w:val="17"/>
                <w:szCs w:val="17"/>
                <w:color w:val="auto"/>
              </w:rPr>
            </w:pPr>
          </w:p>
        </w:tc>
        <w:tc>
          <w:tcPr>
            <w:tcW w:w="2040" w:type="dxa"/>
            <w:vAlign w:val="bottom"/>
          </w:tcPr>
          <w:p>
            <w:pPr>
              <w:jc w:val="center"/>
              <w:ind w:right="133"/>
              <w:spacing w:after="0" w:line="196" w:lineRule="exact"/>
              <w:rPr>
                <w:sz w:val="20"/>
                <w:szCs w:val="20"/>
                <w:color w:val="auto"/>
              </w:rPr>
            </w:pPr>
            <w:r>
              <w:rPr>
                <w:rFonts w:ascii="Arial" w:cs="Arial" w:eastAsia="Arial" w:hAnsi="Arial"/>
                <w:sz w:val="18"/>
                <w:szCs w:val="18"/>
                <w:color w:val="auto"/>
                <w:w w:val="96"/>
              </w:rPr>
              <w:t>(Exhibit 10.2)</w:t>
            </w: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and Synlogic Operating Company, Inc., dated as of</w:t>
              </w:r>
            </w:hyperlink>
          </w:p>
        </w:tc>
        <w:tc>
          <w:tcPr>
            <w:tcW w:w="120" w:type="dxa"/>
            <w:vAlign w:val="bottom"/>
            <w:tcBorders>
              <w:top w:val="single" w:sz="8" w:color="0000EE"/>
            </w:tcBorders>
            <w:gridSpan w:val="5"/>
          </w:tcPr>
          <w:p>
            <w:pPr>
              <w:spacing w:after="0"/>
              <w:rPr>
                <w:sz w:val="17"/>
                <w:szCs w:val="17"/>
                <w:color w:val="auto"/>
              </w:rPr>
            </w:pPr>
          </w:p>
        </w:tc>
        <w:tc>
          <w:tcPr>
            <w:tcW w:w="20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2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September 27, 2018</w:t>
              </w:r>
            </w:hyperlink>
          </w:p>
        </w:tc>
        <w:tc>
          <w:tcPr>
            <w:tcW w:w="9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jc w:val="right"/>
              <w:ind w:right="244"/>
              <w:spacing w:after="0"/>
              <w:rPr>
                <w:sz w:val="20"/>
                <w:szCs w:val="20"/>
                <w:color w:val="auto"/>
              </w:rPr>
            </w:pPr>
            <w:r>
              <w:rPr>
                <w:rFonts w:ascii="Arial" w:cs="Arial" w:eastAsia="Arial" w:hAnsi="Arial"/>
                <w:sz w:val="18"/>
                <w:szCs w:val="18"/>
                <w:color w:val="auto"/>
              </w:rPr>
              <w:t>87</w:t>
            </w: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restart"/>
          </w:tcPr>
          <w:p>
            <w:pPr>
              <w:jc w:val="center"/>
              <w:ind w:right="184"/>
              <w:spacing w:after="0"/>
              <w:rPr>
                <w:sz w:val="20"/>
                <w:szCs w:val="20"/>
                <w:color w:val="auto"/>
              </w:rPr>
            </w:pPr>
            <w:r>
              <w:rPr>
                <w:rFonts w:ascii="Arial" w:cs="Arial" w:eastAsia="Arial" w:hAnsi="Arial"/>
                <w:sz w:val="14"/>
                <w:szCs w:val="14"/>
                <w:b w:val="1"/>
                <w:bCs w:val="1"/>
                <w:color w:val="auto"/>
                <w:w w:val="91"/>
              </w:rPr>
              <w:t>Filed</w:t>
            </w:r>
          </w:p>
        </w:tc>
        <w:tc>
          <w:tcPr>
            <w:tcW w:w="198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Incorporated by</w:t>
            </w:r>
          </w:p>
        </w:tc>
        <w:tc>
          <w:tcPr>
            <w:tcW w:w="1780" w:type="dxa"/>
            <w:vAlign w:val="bottom"/>
          </w:tcPr>
          <w:p>
            <w:pPr>
              <w:spacing w:after="0"/>
              <w:rPr>
                <w:sz w:val="14"/>
                <w:szCs w:val="14"/>
                <w:color w:val="auto"/>
              </w:rPr>
            </w:pPr>
          </w:p>
        </w:tc>
        <w:tc>
          <w:tcPr>
            <w:tcW w:w="142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98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78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96"/>
              </w:rPr>
              <w:t>Filing</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00" w:type="dxa"/>
            <w:vAlign w:val="bottom"/>
            <w:gridSpan w:val="30"/>
            <w:vMerge w:val="restart"/>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with this</w:t>
            </w:r>
          </w:p>
        </w:tc>
        <w:tc>
          <w:tcPr>
            <w:tcW w:w="198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780" w:type="dxa"/>
            <w:vAlign w:val="bottom"/>
            <w:vMerge w:val="continue"/>
          </w:tcPr>
          <w:p>
            <w:pPr>
              <w:spacing w:after="0"/>
              <w:rPr>
                <w:sz w:val="12"/>
                <w:szCs w:val="12"/>
                <w:color w:val="auto"/>
              </w:rPr>
            </w:pPr>
          </w:p>
        </w:tc>
        <w:tc>
          <w:tcPr>
            <w:tcW w:w="1420" w:type="dxa"/>
            <w:vAlign w:val="bottom"/>
          </w:tcPr>
          <w:p>
            <w:pPr>
              <w:jc w:val="center"/>
              <w:ind w:left="73"/>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30"/>
            <w:vMerge w:val="continue"/>
          </w:tcPr>
          <w:p>
            <w:pPr>
              <w:spacing w:after="0"/>
              <w:rPr>
                <w:sz w:val="14"/>
                <w:szCs w:val="14"/>
                <w:color w:val="auto"/>
              </w:rPr>
            </w:pPr>
          </w:p>
        </w:tc>
        <w:tc>
          <w:tcPr>
            <w:tcW w:w="92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Report</w:t>
            </w:r>
          </w:p>
        </w:tc>
        <w:tc>
          <w:tcPr>
            <w:tcW w:w="19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6"/>
              </w:rPr>
              <w:t>Schedule</w:t>
            </w:r>
          </w:p>
        </w:tc>
        <w:tc>
          <w:tcPr>
            <w:tcW w:w="178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8"/>
              </w:rPr>
              <w:t>Date</w:t>
            </w:r>
          </w:p>
        </w:tc>
        <w:tc>
          <w:tcPr>
            <w:tcW w:w="142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0"/>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3820" w:type="dxa"/>
            <w:vAlign w:val="bottom"/>
            <w:tcBorders>
              <w:bottom w:val="single" w:sz="8" w:color="0000EE"/>
            </w:tcBorders>
            <w:gridSpan w:val="27"/>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Third Amendment to Agreement and Plan of Merger</w:t>
              </w:r>
            </w:hyperlink>
          </w:p>
        </w:tc>
        <w:tc>
          <w:tcPr>
            <w:tcW w:w="18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03/12/2019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and First Amendment to License Agreement by and</w:t>
              </w:r>
            </w:hyperlink>
          </w:p>
        </w:tc>
        <w:tc>
          <w:tcPr>
            <w:tcW w:w="26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4"/>
              </w:rPr>
              <w:t>(Exhibit 10.25)</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among AbbVie S.à.r.l., Synlogic IBDCo, Inc. and</w:t>
              </w:r>
            </w:hyperlink>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Synlogic Operating Company, Inc., dated as of</w:t>
              </w:r>
            </w:hyperlink>
          </w:p>
        </w:tc>
        <w:tc>
          <w:tcPr>
            <w:tcW w:w="180" w:type="dxa"/>
            <w:vAlign w:val="bottom"/>
            <w:tcBorders>
              <w:top w:val="single" w:sz="8" w:color="0000EE"/>
            </w:tcBorders>
            <w:gridSpan w:val="5"/>
          </w:tcPr>
          <w:p>
            <w:pPr>
              <w:spacing w:after="0"/>
              <w:rPr>
                <w:sz w:val="17"/>
                <w:szCs w:val="17"/>
                <w:color w:val="auto"/>
              </w:rPr>
            </w:pPr>
          </w:p>
        </w:tc>
        <w:tc>
          <w:tcPr>
            <w:tcW w:w="44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December 18, 2018</w:t>
              </w:r>
            </w:hyperlink>
          </w:p>
        </w:tc>
        <w:tc>
          <w:tcPr>
            <w:tcW w:w="2580" w:type="dxa"/>
            <w:vAlign w:val="bottom"/>
            <w:gridSpan w:val="29"/>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3940" w:type="dxa"/>
            <w:vAlign w:val="bottom"/>
            <w:tcBorders>
              <w:bottom w:val="single" w:sz="8" w:color="0000EE"/>
            </w:tcBorders>
            <w:gridSpan w:val="32"/>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License Agreement by and between Synlogic, Inc. and</w:t>
              </w:r>
            </w:hyperlink>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08/28/2017</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Synlogic IBDCo, Inc., dated as of July 16, 2015</w:t>
              </w:r>
            </w:hyperlink>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4"/>
              </w:rPr>
              <w:t>(Exhibit 10.13)</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4000" w:type="dxa"/>
            <w:vAlign w:val="bottom"/>
            <w:gridSpan w:val="33"/>
          </w:tcPr>
          <w:p>
            <w:pPr>
              <w:spacing w:after="0"/>
              <w:rPr>
                <w:rFonts w:ascii="Arial" w:cs="Arial" w:eastAsia="Arial" w:hAnsi="Arial"/>
                <w:sz w:val="18"/>
                <w:szCs w:val="18"/>
                <w:color w:val="0000EE"/>
                <w:w w:val="97"/>
              </w:rPr>
            </w:pPr>
            <w:hyperlink r:id="rId137">
              <w:r>
                <w:rPr>
                  <w:rFonts w:ascii="Arial" w:cs="Arial" w:eastAsia="Arial" w:hAnsi="Arial"/>
                  <w:sz w:val="18"/>
                  <w:szCs w:val="18"/>
                  <w:color w:val="0000EE"/>
                  <w:w w:val="97"/>
                </w:rPr>
                <w:t>Sales Agreement, dated as of July 23, 2021 by and</w:t>
              </w:r>
            </w:hyperlink>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11/10/2021</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between the registrant and Jefferies LLC</w:t>
              </w:r>
            </w:hyperlink>
          </w:p>
        </w:tc>
        <w:tc>
          <w:tcPr>
            <w:tcW w:w="700" w:type="dxa"/>
            <w:vAlign w:val="bottom"/>
            <w:tcBorders>
              <w:top w:val="single" w:sz="8" w:color="0000EE"/>
            </w:tcBorders>
            <w:gridSpan w:val="12"/>
          </w:tcPr>
          <w:p>
            <w:pPr>
              <w:spacing w:after="0"/>
              <w:rPr>
                <w:sz w:val="17"/>
                <w:szCs w:val="17"/>
                <w:color w:val="auto"/>
              </w:rPr>
            </w:pPr>
          </w:p>
        </w:tc>
        <w:tc>
          <w:tcPr>
            <w:tcW w:w="3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32"/>
              <w:spacing w:after="0" w:line="196" w:lineRule="exact"/>
              <w:rPr>
                <w:sz w:val="20"/>
                <w:szCs w:val="20"/>
                <w:color w:val="auto"/>
              </w:rPr>
            </w:pPr>
            <w:r>
              <w:rPr>
                <w:rFonts w:ascii="Arial" w:cs="Arial" w:eastAsia="Arial" w:hAnsi="Arial"/>
                <w:sz w:val="18"/>
                <w:szCs w:val="18"/>
                <w:color w:val="auto"/>
                <w:w w:val="95"/>
              </w:rPr>
              <w:t>(Exhibit 1.1)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3860" w:type="dxa"/>
            <w:vAlign w:val="bottom"/>
            <w:tcBorders>
              <w:bottom w:val="single" w:sz="8" w:color="0000EE"/>
            </w:tcBorders>
            <w:gridSpan w:val="28"/>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Form of Subscription Agreement, dated as of April 6,</w:t>
              </w:r>
            </w:hyperlink>
          </w:p>
        </w:tc>
        <w:tc>
          <w:tcPr>
            <w:tcW w:w="14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2"/>
              </w:rPr>
              <w:t>04/6/2018</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2018, by and among Synlogic, Inc. and certain</w:t>
              </w:r>
            </w:hyperlink>
          </w:p>
        </w:tc>
        <w:tc>
          <w:tcPr>
            <w:tcW w:w="640" w:type="dxa"/>
            <w:vAlign w:val="bottom"/>
            <w:gridSpan w:val="21"/>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investors.</w:t>
              </w:r>
            </w:hyperlink>
          </w:p>
        </w:tc>
        <w:tc>
          <w:tcPr>
            <w:tcW w:w="3300" w:type="dxa"/>
            <w:vAlign w:val="bottom"/>
            <w:gridSpan w:val="31"/>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10.21†</w:t>
            </w:r>
          </w:p>
        </w:tc>
        <w:tc>
          <w:tcPr>
            <w:tcW w:w="3540" w:type="dxa"/>
            <w:vAlign w:val="bottom"/>
            <w:tcBorders>
              <w:bottom w:val="single" w:sz="8" w:color="0000EE"/>
            </w:tcBorders>
            <w:gridSpan w:val="17"/>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Master Contract Services Agreement, dated as of</w:t>
              </w:r>
            </w:hyperlink>
          </w:p>
        </w:tc>
        <w:tc>
          <w:tcPr>
            <w:tcW w:w="460" w:type="dxa"/>
            <w:vAlign w:val="bottom"/>
            <w:gridSpan w:val="16"/>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03/12/2019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September 8, 2018, between Synlogic, Inc. and Azzur</w:t>
              </w:r>
            </w:hyperlink>
          </w:p>
        </w:tc>
        <w:tc>
          <w:tcPr>
            <w:tcW w:w="10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4"/>
              </w:rPr>
              <w:t>(Exhibit 10.29)</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Group (d/b/a Azzur of New England LLC).</w:t>
              </w:r>
            </w:hyperlink>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10.22†</w:t>
            </w:r>
          </w:p>
        </w:tc>
        <w:tc>
          <w:tcPr>
            <w:tcW w:w="4000" w:type="dxa"/>
            <w:vAlign w:val="bottom"/>
            <w:gridSpan w:val="33"/>
          </w:tcPr>
          <w:p>
            <w:pPr>
              <w:spacing w:after="0"/>
              <w:rPr>
                <w:rFonts w:ascii="Arial" w:cs="Arial" w:eastAsia="Arial" w:hAnsi="Arial"/>
                <w:sz w:val="18"/>
                <w:szCs w:val="18"/>
                <w:color w:val="0000EE"/>
              </w:rPr>
            </w:pPr>
            <w:hyperlink r:id="rId140">
              <w:r>
                <w:rPr>
                  <w:rFonts w:ascii="Arial" w:cs="Arial" w:eastAsia="Arial" w:hAnsi="Arial"/>
                  <w:sz w:val="18"/>
                  <w:szCs w:val="18"/>
                  <w:color w:val="0000EE"/>
                </w:rPr>
                <w:t>Statement of Work dated September 10, 2018</w:t>
              </w:r>
            </w:hyperlink>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03/12/2019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pursuant to Master Contract Services Agreement</w:t>
              </w:r>
            </w:hyperlink>
          </w:p>
        </w:tc>
        <w:tc>
          <w:tcPr>
            <w:tcW w:w="480" w:type="dxa"/>
            <w:vAlign w:val="bottom"/>
            <w:gridSpan w:val="17"/>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4"/>
              </w:rPr>
              <w:t>(Exhibit 10.30)</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between Synlogic, Inc. and Azzur Group (d/b/a Azzur</w:t>
              </w:r>
            </w:hyperlink>
          </w:p>
        </w:tc>
        <w:tc>
          <w:tcPr>
            <w:tcW w:w="10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140">
              <w:r>
                <w:rPr>
                  <w:rFonts w:ascii="Arial" w:cs="Arial" w:eastAsia="Arial" w:hAnsi="Arial"/>
                  <w:sz w:val="18"/>
                  <w:szCs w:val="18"/>
                  <w:color w:val="0000EE"/>
                  <w:w w:val="94"/>
                </w:rPr>
                <w:t>of New England LLC).</w:t>
              </w:r>
            </w:hyperlink>
          </w:p>
        </w:tc>
        <w:tc>
          <w:tcPr>
            <w:tcW w:w="2320" w:type="dxa"/>
            <w:vAlign w:val="bottom"/>
            <w:gridSpan w:val="28"/>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40" w:type="dxa"/>
            <w:vAlign w:val="bottom"/>
          </w:tcPr>
          <w:p>
            <w:pPr>
              <w:spacing w:after="0"/>
              <w:rPr>
                <w:sz w:val="20"/>
                <w:szCs w:val="20"/>
                <w:color w:val="auto"/>
              </w:rPr>
            </w:pPr>
            <w:r>
              <w:rPr>
                <w:rFonts w:ascii="Arial" w:cs="Arial" w:eastAsia="Arial" w:hAnsi="Arial"/>
                <w:sz w:val="18"/>
                <w:szCs w:val="18"/>
                <w:color w:val="auto"/>
              </w:rPr>
              <w:t>10.23†</w:t>
            </w:r>
          </w:p>
        </w:tc>
        <w:tc>
          <w:tcPr>
            <w:tcW w:w="4000" w:type="dxa"/>
            <w:vAlign w:val="bottom"/>
            <w:gridSpan w:val="33"/>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Statement of Work dated December 7, 2018 pursuant</w:t>
              </w:r>
            </w:hyperlink>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9"/>
              </w:rPr>
              <w:t>10-K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03/12/2019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to Master Contract Services Agreement between</w:t>
              </w:r>
            </w:hyperlink>
          </w:p>
        </w:tc>
        <w:tc>
          <w:tcPr>
            <w:tcW w:w="320" w:type="dxa"/>
            <w:vAlign w:val="bottom"/>
            <w:tcBorders>
              <w:top w:val="single" w:sz="8" w:color="0000EE"/>
            </w:tcBorders>
            <w:gridSpan w:val="12"/>
          </w:tcPr>
          <w:p>
            <w:pPr>
              <w:spacing w:after="0"/>
              <w:rPr>
                <w:sz w:val="17"/>
                <w:szCs w:val="17"/>
                <w:color w:val="auto"/>
              </w:rPr>
            </w:pPr>
          </w:p>
        </w:tc>
        <w:tc>
          <w:tcPr>
            <w:tcW w:w="1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4"/>
              </w:rPr>
              <w:t>(Exhibit 10.31)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Synlogic, Inc. and Azzur Group (d/b/a Azzur of New</w:t>
              </w:r>
            </w:hyperlink>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England LLC).</w:t>
              </w:r>
            </w:hyperlink>
          </w:p>
        </w:tc>
        <w:tc>
          <w:tcPr>
            <w:tcW w:w="2720" w:type="dxa"/>
            <w:vAlign w:val="bottom"/>
            <w:tcBorders>
              <w:top w:val="single" w:sz="8" w:color="0000EE"/>
            </w:tcBorders>
            <w:gridSpan w:val="24"/>
          </w:tcPr>
          <w:p>
            <w:pPr>
              <w:spacing w:after="0"/>
              <w:rPr>
                <w:sz w:val="17"/>
                <w:szCs w:val="17"/>
                <w:color w:val="auto"/>
              </w:rPr>
            </w:pPr>
          </w:p>
        </w:tc>
        <w:tc>
          <w:tcPr>
            <w:tcW w:w="1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10.24</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Subscription Agreement dated June 11, 2019 by and</w:t>
              </w:r>
            </w:hyperlink>
          </w:p>
        </w:tc>
        <w:tc>
          <w:tcPr>
            <w:tcW w:w="22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06/12/2019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between the Company and Ginkgo Bioworks, Inc.</w:t>
              </w:r>
            </w:hyperlink>
          </w:p>
        </w:tc>
        <w:tc>
          <w:tcPr>
            <w:tcW w:w="3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10.25†</w:t>
            </w:r>
          </w:p>
        </w:tc>
        <w:tc>
          <w:tcPr>
            <w:tcW w:w="4000" w:type="dxa"/>
            <w:vAlign w:val="bottom"/>
            <w:gridSpan w:val="33"/>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Foundry Terms of Service Agreement dated June 11,</w:t>
              </w:r>
            </w:hyperlink>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08/08/2019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00" w:type="dxa"/>
            <w:vAlign w:val="bottom"/>
            <w:tcBorders>
              <w:top w:val="single" w:sz="8" w:color="0000EE"/>
            </w:tcBorders>
            <w:gridSpan w:val="26"/>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2019 by and between Synlogic Operating Company</w:t>
              </w:r>
            </w:hyperlink>
          </w:p>
        </w:tc>
        <w:tc>
          <w:tcPr>
            <w:tcW w:w="20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10.2)</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Inc. and Ginkgo Bioworks, Inc.</w:t>
              </w:r>
            </w:hyperlink>
          </w:p>
        </w:tc>
        <w:tc>
          <w:tcPr>
            <w:tcW w:w="1440" w:type="dxa"/>
            <w:vAlign w:val="bottom"/>
            <w:tcBorders>
              <w:top w:val="single" w:sz="8" w:color="0000EE"/>
            </w:tcBorders>
            <w:gridSpan w:val="14"/>
          </w:tcPr>
          <w:p>
            <w:pPr>
              <w:spacing w:after="0"/>
              <w:rPr>
                <w:sz w:val="17"/>
                <w:szCs w:val="17"/>
                <w:color w:val="auto"/>
              </w:rPr>
            </w:pPr>
          </w:p>
        </w:tc>
        <w:tc>
          <w:tcPr>
            <w:tcW w:w="2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10.26</w:t>
            </w:r>
          </w:p>
        </w:tc>
        <w:tc>
          <w:tcPr>
            <w:tcW w:w="3600" w:type="dxa"/>
            <w:vAlign w:val="bottom"/>
            <w:tcBorders>
              <w:bottom w:val="single" w:sz="8" w:color="0000EE"/>
            </w:tcBorders>
            <w:gridSpan w:val="19"/>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Consulting Agreement effective as of October 13,</w:t>
              </w:r>
            </w:hyperlink>
          </w:p>
        </w:tc>
        <w:tc>
          <w:tcPr>
            <w:tcW w:w="40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10/24/2019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2019 by and between the Company and Danforth</w:t>
              </w:r>
            </w:hyperlink>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Advisors, LLC, as amended</w:t>
              </w:r>
            </w:hyperlink>
          </w:p>
        </w:tc>
        <w:tc>
          <w:tcPr>
            <w:tcW w:w="1520" w:type="dxa"/>
            <w:vAlign w:val="bottom"/>
            <w:tcBorders>
              <w:top w:val="single" w:sz="8" w:color="0000EE"/>
            </w:tcBorders>
            <w:gridSpan w:val="10"/>
          </w:tcPr>
          <w:p>
            <w:pPr>
              <w:spacing w:after="0"/>
              <w:rPr>
                <w:sz w:val="17"/>
                <w:szCs w:val="17"/>
                <w:color w:val="auto"/>
              </w:rPr>
            </w:pPr>
          </w:p>
        </w:tc>
        <w:tc>
          <w:tcPr>
            <w:tcW w:w="46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10.27</w:t>
            </w:r>
          </w:p>
        </w:tc>
        <w:tc>
          <w:tcPr>
            <w:tcW w:w="3940" w:type="dxa"/>
            <w:vAlign w:val="bottom"/>
            <w:tcBorders>
              <w:bottom w:val="single" w:sz="8" w:color="0000EE"/>
            </w:tcBorders>
            <w:gridSpan w:val="32"/>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Synlogic, Inc. 2015 Employee Stock Purchase Plan, as</w:t>
              </w:r>
            </w:hyperlink>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80" w:type="dxa"/>
            <w:vAlign w:val="bottom"/>
          </w:tcPr>
          <w:p>
            <w:pPr>
              <w:jc w:val="center"/>
              <w:ind w:right="132"/>
              <w:spacing w:after="0"/>
              <w:rPr>
                <w:sz w:val="20"/>
                <w:szCs w:val="20"/>
                <w:color w:val="auto"/>
              </w:rPr>
            </w:pPr>
            <w:r>
              <w:rPr>
                <w:rFonts w:ascii="Arial" w:cs="Arial" w:eastAsia="Arial" w:hAnsi="Arial"/>
                <w:sz w:val="18"/>
                <w:szCs w:val="18"/>
                <w:color w:val="auto"/>
                <w:w w:val="99"/>
              </w:rPr>
              <w:t>8-K</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12/20/2019</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44">
              <w:r>
                <w:rPr>
                  <w:rFonts w:ascii="Arial" w:cs="Arial" w:eastAsia="Arial" w:hAnsi="Arial"/>
                  <w:sz w:val="18"/>
                  <w:szCs w:val="18"/>
                  <w:color w:val="0000EE"/>
                  <w:w w:val="85"/>
                </w:rPr>
                <w:t>amended</w:t>
              </w:r>
            </w:hyperlink>
          </w:p>
        </w:tc>
        <w:tc>
          <w:tcPr>
            <w:tcW w:w="3340" w:type="dxa"/>
            <w:vAlign w:val="bottom"/>
            <w:gridSpan w:val="32"/>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16"/>
                <w:szCs w:val="16"/>
                <w:color w:val="auto"/>
              </w:rPr>
              <w:t>†</w:t>
            </w:r>
          </w:p>
        </w:tc>
        <w:tc>
          <w:tcPr>
            <w:tcW w:w="4000" w:type="dxa"/>
            <w:vAlign w:val="bottom"/>
            <w:gridSpan w:val="33"/>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License and Services Agreement and Statement of</w:t>
              </w:r>
            </w:hyperlink>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08/12/2021</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gridSpan w:val="13"/>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w w:val="94"/>
              </w:rPr>
            </w:pPr>
            <w:hyperlink r:id="rId145">
              <w:r>
                <w:rPr>
                  <w:rFonts w:ascii="Arial" w:cs="Arial" w:eastAsia="Arial" w:hAnsi="Arial"/>
                  <w:sz w:val="18"/>
                  <w:szCs w:val="18"/>
                  <w:color w:val="0000EE"/>
                  <w:w w:val="94"/>
                </w:rPr>
                <w:t>Work, dated April 28, 2021, by and between Synlogic</w:t>
              </w:r>
            </w:hyperlink>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10.1)</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80" w:type="dxa"/>
            <w:vAlign w:val="bottom"/>
            <w:tcBorders>
              <w:top w:val="single" w:sz="8" w:color="0000EE"/>
            </w:tcBorders>
            <w:gridSpan w:val="29"/>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Operating Company, Inc. and Azzur Cleanrooms-On-</w:t>
              </w:r>
            </w:hyperlink>
          </w:p>
        </w:tc>
        <w:tc>
          <w:tcPr>
            <w:tcW w:w="12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Demand – Boston, LLC.</w:t>
              </w:r>
            </w:hyperlink>
          </w:p>
        </w:tc>
        <w:tc>
          <w:tcPr>
            <w:tcW w:w="2080" w:type="dxa"/>
            <w:vAlign w:val="bottom"/>
            <w:tcBorders>
              <w:top w:val="single" w:sz="8" w:color="0000EE"/>
            </w:tcBorders>
            <w:gridSpan w:val="22"/>
          </w:tcPr>
          <w:p>
            <w:pPr>
              <w:spacing w:after="0"/>
              <w:rPr>
                <w:sz w:val="17"/>
                <w:szCs w:val="17"/>
                <w:color w:val="auto"/>
              </w:rPr>
            </w:pPr>
          </w:p>
        </w:tc>
        <w:tc>
          <w:tcPr>
            <w:tcW w:w="1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16"/>
                <w:szCs w:val="16"/>
                <w:color w:val="auto"/>
              </w:rPr>
              <w:t>†</w:t>
            </w:r>
          </w:p>
        </w:tc>
        <w:tc>
          <w:tcPr>
            <w:tcW w:w="4000" w:type="dxa"/>
            <w:vAlign w:val="bottom"/>
            <w:gridSpan w:val="33"/>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Pilot Collaboration and Option Agreement, dated June</w:t>
              </w:r>
            </w:hyperlink>
          </w:p>
        </w:tc>
        <w:tc>
          <w:tcPr>
            <w:tcW w:w="920" w:type="dxa"/>
            <w:vAlign w:val="bottom"/>
          </w:tcPr>
          <w:p>
            <w:pPr>
              <w:spacing w:after="0"/>
              <w:rPr>
                <w:sz w:val="24"/>
                <w:szCs w:val="24"/>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color w:val="auto"/>
                <w:w w:val="94"/>
              </w:rPr>
              <w:t>10-Q</w:t>
            </w:r>
          </w:p>
        </w:tc>
        <w:tc>
          <w:tcPr>
            <w:tcW w:w="1780" w:type="dxa"/>
            <w:vAlign w:val="bottom"/>
          </w:tcPr>
          <w:p>
            <w:pPr>
              <w:jc w:val="center"/>
              <w:ind w:left="72"/>
              <w:spacing w:after="0"/>
              <w:rPr>
                <w:sz w:val="20"/>
                <w:szCs w:val="20"/>
                <w:color w:val="auto"/>
              </w:rPr>
            </w:pPr>
            <w:r>
              <w:rPr>
                <w:rFonts w:ascii="Arial" w:cs="Arial" w:eastAsia="Arial" w:hAnsi="Arial"/>
                <w:sz w:val="18"/>
                <w:szCs w:val="18"/>
                <w:color w:val="auto"/>
                <w:w w:val="90"/>
              </w:rPr>
              <w:t>08/12/2021</w:t>
            </w:r>
          </w:p>
        </w:tc>
        <w:tc>
          <w:tcPr>
            <w:tcW w:w="1420" w:type="dxa"/>
            <w:vAlign w:val="bottom"/>
          </w:tcPr>
          <w:p>
            <w:pPr>
              <w:jc w:val="center"/>
              <w:ind w:left="73"/>
              <w:spacing w:after="0"/>
              <w:rPr>
                <w:sz w:val="20"/>
                <w:szCs w:val="20"/>
                <w:color w:val="auto"/>
              </w:rPr>
            </w:pPr>
            <w:r>
              <w:rPr>
                <w:rFonts w:ascii="Arial" w:cs="Arial" w:eastAsia="Arial" w:hAnsi="Arial"/>
                <w:sz w:val="18"/>
                <w:szCs w:val="18"/>
                <w:color w:val="auto"/>
                <w:w w:val="90"/>
              </w:rPr>
              <w:t>001-37566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16, 2021, among Synlogic Operating Company, Inc.</w:t>
              </w:r>
            </w:hyperlink>
          </w:p>
        </w:tc>
        <w:tc>
          <w:tcPr>
            <w:tcW w:w="160" w:type="dxa"/>
            <w:vAlign w:val="bottom"/>
            <w:tcBorders>
              <w:top w:val="single" w:sz="8" w:color="0000EE"/>
            </w:tcBorders>
            <w:gridSpan w:val="7"/>
          </w:tcPr>
          <w:p>
            <w:pPr>
              <w:spacing w:after="0"/>
              <w:rPr>
                <w:sz w:val="17"/>
                <w:szCs w:val="17"/>
                <w:color w:val="auto"/>
              </w:rPr>
            </w:pPr>
          </w:p>
        </w:tc>
        <w:tc>
          <w:tcPr>
            <w:tcW w:w="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980" w:type="dxa"/>
            <w:vAlign w:val="bottom"/>
          </w:tcPr>
          <w:p>
            <w:pPr>
              <w:jc w:val="center"/>
              <w:ind w:right="112"/>
              <w:spacing w:after="0" w:line="196" w:lineRule="exact"/>
              <w:rPr>
                <w:sz w:val="20"/>
                <w:szCs w:val="20"/>
                <w:color w:val="auto"/>
              </w:rPr>
            </w:pPr>
            <w:r>
              <w:rPr>
                <w:rFonts w:ascii="Arial" w:cs="Arial" w:eastAsia="Arial" w:hAnsi="Arial"/>
                <w:sz w:val="18"/>
                <w:szCs w:val="18"/>
                <w:color w:val="auto"/>
                <w:w w:val="96"/>
              </w:rPr>
              <w:t>(Exhibit 10.2)</w:t>
            </w: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3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and Hoffman-La Roche Inc.</w:t>
              </w:r>
            </w:hyperlink>
          </w:p>
        </w:tc>
        <w:tc>
          <w:tcPr>
            <w:tcW w:w="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14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ind w:right="264"/>
              <w:spacing w:after="0"/>
              <w:rPr>
                <w:sz w:val="20"/>
                <w:szCs w:val="20"/>
                <w:color w:val="auto"/>
              </w:rPr>
            </w:pPr>
            <w:r>
              <w:rPr>
                <w:rFonts w:ascii="Arial" w:cs="Arial" w:eastAsia="Arial" w:hAnsi="Arial"/>
                <w:sz w:val="18"/>
                <w:szCs w:val="18"/>
                <w:color w:val="auto"/>
              </w:rPr>
              <w:t>88</w:t>
            </w:r>
          </w:p>
        </w:tc>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1"/>
              </w:rPr>
              <w:t>Filed</w:t>
            </w: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Incorporated by</w:t>
            </w:r>
          </w:p>
        </w:tc>
        <w:tc>
          <w:tcPr>
            <w:tcW w:w="1620" w:type="dxa"/>
            <w:vAlign w:val="bottom"/>
          </w:tcPr>
          <w:p>
            <w:pPr>
              <w:spacing w:after="0"/>
              <w:rPr>
                <w:sz w:val="14"/>
                <w:szCs w:val="14"/>
                <w:color w:val="auto"/>
              </w:rPr>
            </w:pPr>
          </w:p>
        </w:tc>
        <w:tc>
          <w:tcPr>
            <w:tcW w:w="148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1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6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6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6"/>
              </w:rPr>
              <w:t>Filing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gridSpan w:val="14"/>
            <w:vMerge w:val="restart"/>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5"/>
              </w:rPr>
              <w:t>with this</w:t>
            </w:r>
          </w:p>
        </w:tc>
        <w:tc>
          <w:tcPr>
            <w:tcW w:w="20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620" w:type="dxa"/>
            <w:vAlign w:val="bottom"/>
            <w:vMerge w:val="continue"/>
          </w:tcPr>
          <w:p>
            <w:pPr>
              <w:spacing w:after="0"/>
              <w:rPr>
                <w:sz w:val="12"/>
                <w:szCs w:val="12"/>
                <w:color w:val="auto"/>
              </w:rPr>
            </w:pPr>
          </w:p>
        </w:tc>
        <w:tc>
          <w:tcPr>
            <w:tcW w:w="14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14"/>
            <w:vMerge w:val="continue"/>
          </w:tcPr>
          <w:p>
            <w:pPr>
              <w:spacing w:after="0"/>
              <w:rPr>
                <w:sz w:val="14"/>
                <w:szCs w:val="14"/>
                <w:color w:val="auto"/>
              </w:rPr>
            </w:pPr>
          </w:p>
        </w:tc>
        <w:tc>
          <w:tcPr>
            <w:tcW w:w="9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Report</w:t>
            </w:r>
          </w:p>
        </w:tc>
        <w:tc>
          <w:tcPr>
            <w:tcW w:w="2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86"/>
              </w:rPr>
              <w:t>Schedule</w:t>
            </w:r>
          </w:p>
        </w:tc>
        <w:tc>
          <w:tcPr>
            <w:tcW w:w="16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8"/>
              </w:rPr>
              <w:t>Date</w:t>
            </w:r>
          </w:p>
        </w:tc>
        <w:tc>
          <w:tcPr>
            <w:tcW w:w="14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Arial" w:cs="Arial" w:eastAsia="Arial" w:hAnsi="Arial"/>
                <w:sz w:val="18"/>
                <w:szCs w:val="18"/>
                <w:color w:val="auto"/>
              </w:rPr>
              <w:t>10.30</w:t>
            </w:r>
          </w:p>
        </w:tc>
        <w:tc>
          <w:tcPr>
            <w:tcW w:w="4000" w:type="dxa"/>
            <w:vAlign w:val="bottom"/>
            <w:gridSpan w:val="16"/>
          </w:tcPr>
          <w:p>
            <w:pPr>
              <w:spacing w:after="0" w:line="169"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Statement of Work dated January 21, 2022 pursuant to</w:t>
              </w:r>
            </w:hyperlink>
          </w:p>
        </w:tc>
        <w:tc>
          <w:tcPr>
            <w:tcW w:w="940" w:type="dxa"/>
            <w:vAlign w:val="bottom"/>
          </w:tcPr>
          <w:p>
            <w:pPr>
              <w:jc w:val="center"/>
              <w:ind w:right="193"/>
              <w:spacing w:after="0" w:line="169" w:lineRule="exact"/>
              <w:rPr>
                <w:sz w:val="20"/>
                <w:szCs w:val="20"/>
                <w:color w:val="auto"/>
              </w:rPr>
            </w:pPr>
            <w:r>
              <w:rPr>
                <w:rFonts w:ascii="Arial" w:cs="Arial" w:eastAsia="Arial" w:hAnsi="Arial"/>
                <w:sz w:val="18"/>
                <w:szCs w:val="18"/>
                <w:color w:val="auto"/>
              </w:rPr>
              <w:t>X</w:t>
            </w:r>
          </w:p>
        </w:tc>
        <w:tc>
          <w:tcPr>
            <w:tcW w:w="20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Master Contract Services Agreement between</w:t>
              </w:r>
            </w:hyperlink>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16"/>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Synlogic, Inc. and Azzur Group (d/b/a Azzur of New</w:t>
              </w:r>
            </w:hyperlink>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120">
              <w:r>
                <w:rPr>
                  <w:rFonts w:ascii="Arial" w:cs="Arial" w:eastAsia="Arial" w:hAnsi="Arial"/>
                  <w:sz w:val="18"/>
                  <w:szCs w:val="18"/>
                  <w:color w:val="0000EE"/>
                  <w:w w:val="92"/>
                </w:rPr>
                <w:t>England LLC), SOW P-10558-01</w:t>
              </w:r>
            </w:hyperlink>
          </w:p>
        </w:tc>
        <w:tc>
          <w:tcPr>
            <w:tcW w:w="1380" w:type="dxa"/>
            <w:vAlign w:val="bottom"/>
            <w:tcBorders>
              <w:top w:val="single" w:sz="8" w:color="0000EE"/>
            </w:tcBorders>
            <w:gridSpan w:val="8"/>
          </w:tcPr>
          <w:p>
            <w:pPr>
              <w:spacing w:after="0"/>
              <w:rPr>
                <w:sz w:val="17"/>
                <w:szCs w:val="17"/>
                <w:color w:val="auto"/>
              </w:rPr>
            </w:pPr>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10.31</w:t>
            </w:r>
          </w:p>
        </w:tc>
        <w:tc>
          <w:tcPr>
            <w:tcW w:w="4000" w:type="dxa"/>
            <w:vAlign w:val="bottom"/>
            <w:gridSpan w:val="16"/>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Statement of Work dated January 21, 2022 pursuant to</w:t>
              </w:r>
            </w:hyperlink>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Master Contract Services Agreement between</w:t>
              </w:r>
            </w:hyperlink>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16"/>
          </w:tcPr>
          <w:p>
            <w:pPr>
              <w:spacing w:after="0" w:line="196" w:lineRule="exact"/>
              <w:rPr>
                <w:rFonts w:ascii="Arial" w:cs="Arial" w:eastAsia="Arial" w:hAnsi="Arial"/>
                <w:sz w:val="18"/>
                <w:szCs w:val="18"/>
                <w:color w:val="0000EE"/>
                <w:w w:val="96"/>
              </w:rPr>
            </w:pPr>
            <w:hyperlink w:anchor="page130">
              <w:r>
                <w:rPr>
                  <w:rFonts w:ascii="Arial" w:cs="Arial" w:eastAsia="Arial" w:hAnsi="Arial"/>
                  <w:sz w:val="18"/>
                  <w:szCs w:val="18"/>
                  <w:color w:val="0000EE"/>
                  <w:w w:val="96"/>
                </w:rPr>
                <w:t>Synlogic, Inc. and Azzur Group (d/b/a Azzur of New</w:t>
              </w:r>
            </w:hyperlink>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England LLC), SOW P-10558-2</w:t>
              </w:r>
            </w:hyperlink>
          </w:p>
        </w:tc>
        <w:tc>
          <w:tcPr>
            <w:tcW w:w="1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2340" w:type="dxa"/>
            <w:vAlign w:val="bottom"/>
            <w:tcBorders>
              <w:top w:val="single" w:sz="8" w:color="0000EE"/>
            </w:tcBorders>
            <w:gridSpan w:val="4"/>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Subsidiaries of the registrant</w:t>
              </w:r>
            </w:hyperlink>
          </w:p>
        </w:tc>
        <w:tc>
          <w:tcPr>
            <w:tcW w:w="1660" w:type="dxa"/>
            <w:vAlign w:val="bottom"/>
            <w:gridSpan w:val="12"/>
          </w:tcPr>
          <w:p>
            <w:pPr>
              <w:spacing w:after="0"/>
              <w:rPr>
                <w:sz w:val="24"/>
                <w:szCs w:val="24"/>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4000" w:type="dxa"/>
            <w:vAlign w:val="bottom"/>
            <w:gridSpan w:val="16"/>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Consent of Independent Registered Public Accounting</w:t>
              </w:r>
            </w:hyperlink>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36">
              <w:r>
                <w:rPr>
                  <w:rFonts w:ascii="Arial" w:cs="Arial" w:eastAsia="Arial" w:hAnsi="Arial"/>
                  <w:sz w:val="18"/>
                  <w:szCs w:val="18"/>
                  <w:color w:val="0000EE"/>
                  <w:w w:val="94"/>
                </w:rPr>
                <w:t>Firm</w:t>
              </w:r>
            </w:hyperlink>
          </w:p>
        </w:tc>
        <w:tc>
          <w:tcPr>
            <w:tcW w:w="3560" w:type="dxa"/>
            <w:vAlign w:val="bottom"/>
            <w:tcBorders>
              <w:top w:val="single" w:sz="8" w:color="0000EE"/>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24.1</w:t>
            </w:r>
          </w:p>
        </w:tc>
        <w:tc>
          <w:tcPr>
            <w:tcW w:w="4000" w:type="dxa"/>
            <w:vAlign w:val="bottom"/>
            <w:gridSpan w:val="1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Power of Attorney (included in the signature page</w:t>
              </w:r>
            </w:hyperlink>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hereto)</w:t>
              </w:r>
            </w:hyperlink>
          </w:p>
        </w:tc>
        <w:tc>
          <w:tcPr>
            <w:tcW w:w="3080" w:type="dxa"/>
            <w:vAlign w:val="bottom"/>
            <w:tcBorders>
              <w:top w:val="single" w:sz="8" w:color="0000EE"/>
            </w:tcBorders>
            <w:gridSpan w:val="7"/>
          </w:tcPr>
          <w:p>
            <w:pPr>
              <w:spacing w:after="0"/>
              <w:rPr>
                <w:sz w:val="17"/>
                <w:szCs w:val="17"/>
                <w:color w:val="auto"/>
              </w:rPr>
            </w:pPr>
          </w:p>
        </w:tc>
        <w:tc>
          <w:tcPr>
            <w:tcW w:w="400" w:type="dxa"/>
            <w:vAlign w:val="bottom"/>
            <w:gridSpan w:val="7"/>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4000" w:type="dxa"/>
            <w:vAlign w:val="bottom"/>
            <w:gridSpan w:val="16"/>
          </w:tcPr>
          <w:p>
            <w:pPr>
              <w:spacing w:after="0"/>
              <w:rPr>
                <w:rFonts w:ascii="Arial" w:cs="Arial" w:eastAsia="Arial" w:hAnsi="Arial"/>
                <w:sz w:val="18"/>
                <w:szCs w:val="18"/>
                <w:color w:val="0000EE"/>
                <w:w w:val="99"/>
              </w:rPr>
            </w:pPr>
            <w:hyperlink w:anchor="page137">
              <w:r>
                <w:rPr>
                  <w:rFonts w:ascii="Arial" w:cs="Arial" w:eastAsia="Arial" w:hAnsi="Arial"/>
                  <w:sz w:val="18"/>
                  <w:szCs w:val="18"/>
                  <w:color w:val="0000EE"/>
                  <w:w w:val="99"/>
                </w:rPr>
                <w:t>Certification of Chief Executive Officer required by</w:t>
              </w:r>
            </w:hyperlink>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Rule 13a-14(a) or Rule 15d-14(a).</w:t>
              </w:r>
            </w:hyperlink>
          </w:p>
        </w:tc>
        <w:tc>
          <w:tcPr>
            <w:tcW w:w="26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37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138">
              <w:r>
                <w:rPr>
                  <w:rFonts w:ascii="Arial" w:cs="Arial" w:eastAsia="Arial" w:hAnsi="Arial"/>
                  <w:sz w:val="18"/>
                  <w:szCs w:val="18"/>
                  <w:color w:val="0000EE"/>
                  <w:w w:val="93"/>
                </w:rPr>
                <w:t>Certification of Chief Financial Officer required by</w:t>
              </w:r>
            </w:hyperlink>
          </w:p>
        </w:tc>
        <w:tc>
          <w:tcPr>
            <w:tcW w:w="300" w:type="dxa"/>
            <w:vAlign w:val="bottom"/>
            <w:gridSpan w:val="6"/>
          </w:tcPr>
          <w:p>
            <w:pPr>
              <w:spacing w:after="0"/>
              <w:rPr>
                <w:sz w:val="24"/>
                <w:szCs w:val="24"/>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gridSpan w:val="16"/>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Rule 13a-14(a) or Rule 15d-14(a).</w:t>
              </w:r>
            </w:hyperlink>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3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39">
              <w:r>
                <w:rPr>
                  <w:rFonts w:ascii="Arial" w:cs="Arial" w:eastAsia="Arial" w:hAnsi="Arial"/>
                  <w:sz w:val="18"/>
                  <w:szCs w:val="18"/>
                  <w:color w:val="0000EE"/>
                  <w:w w:val="92"/>
                </w:rPr>
                <w:t>Certification required by Rule 13a-14(b) or Rule 15d-</w:t>
              </w:r>
            </w:hyperlink>
          </w:p>
        </w:tc>
        <w:tc>
          <w:tcPr>
            <w:tcW w:w="120" w:type="dxa"/>
            <w:vAlign w:val="bottom"/>
            <w:gridSpan w:val="2"/>
          </w:tcPr>
          <w:p>
            <w:pPr>
              <w:spacing w:after="0"/>
              <w:rPr>
                <w:sz w:val="24"/>
                <w:szCs w:val="24"/>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14(b) and Section 1350 of Chapter 63 of Title 18 of</w:t>
              </w:r>
            </w:hyperlink>
          </w:p>
        </w:tc>
        <w:tc>
          <w:tcPr>
            <w:tcW w:w="2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39">
              <w:r>
                <w:rPr>
                  <w:rFonts w:ascii="Arial" w:cs="Arial" w:eastAsia="Arial" w:hAnsi="Arial"/>
                  <w:sz w:val="18"/>
                  <w:szCs w:val="18"/>
                  <w:color w:val="0000EE"/>
                  <w:w w:val="89"/>
                </w:rPr>
                <w:t>the United States Code (18 U.S.C. §1350).</w:t>
              </w:r>
            </w:hyperlink>
          </w:p>
        </w:tc>
        <w:tc>
          <w:tcPr>
            <w:tcW w:w="9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38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40">
              <w:r>
                <w:rPr>
                  <w:rFonts w:ascii="Arial" w:cs="Arial" w:eastAsia="Arial" w:hAnsi="Arial"/>
                  <w:sz w:val="18"/>
                  <w:szCs w:val="18"/>
                  <w:color w:val="0000EE"/>
                  <w:w w:val="92"/>
                </w:rPr>
                <w:t>Certification required by Rule 13a-14(b) or Rule 15d-</w:t>
              </w:r>
            </w:hyperlink>
          </w:p>
        </w:tc>
        <w:tc>
          <w:tcPr>
            <w:tcW w:w="120" w:type="dxa"/>
            <w:vAlign w:val="bottom"/>
            <w:gridSpan w:val="2"/>
          </w:tcPr>
          <w:p>
            <w:pPr>
              <w:spacing w:after="0"/>
              <w:rPr>
                <w:sz w:val="24"/>
                <w:szCs w:val="24"/>
                <w:color w:val="auto"/>
              </w:rPr>
            </w:pP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14(b) and Section 1350 of Chapter 63 of Title 18 of</w:t>
              </w:r>
            </w:hyperlink>
          </w:p>
        </w:tc>
        <w:tc>
          <w:tcPr>
            <w:tcW w:w="28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the United States Code (18 U.S.C. §1350).</w:t>
              </w:r>
            </w:hyperlink>
          </w:p>
        </w:tc>
        <w:tc>
          <w:tcPr>
            <w:tcW w:w="920" w:type="dxa"/>
            <w:vAlign w:val="bottom"/>
            <w:gridSpan w:val="9"/>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4000" w:type="dxa"/>
            <w:vAlign w:val="bottom"/>
            <w:gridSpan w:val="16"/>
          </w:tcPr>
          <w:p>
            <w:pPr>
              <w:spacing w:after="0"/>
              <w:rPr>
                <w:sz w:val="20"/>
                <w:szCs w:val="20"/>
                <w:color w:val="auto"/>
              </w:rPr>
            </w:pPr>
            <w:r>
              <w:rPr>
                <w:rFonts w:ascii="Arial" w:cs="Arial" w:eastAsia="Arial" w:hAnsi="Arial"/>
                <w:sz w:val="18"/>
                <w:szCs w:val="18"/>
                <w:color w:val="auto"/>
              </w:rPr>
              <w:t>Inline XBRL Instance Document - – the instance</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w w:val="92"/>
              </w:rPr>
              <w:t>document does not appear in the Interactive Data File</w:t>
            </w:r>
          </w:p>
        </w:tc>
        <w:tc>
          <w:tcPr>
            <w:tcW w:w="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w w:val="97"/>
              </w:rPr>
              <w:t>because XBRL tags are embedded within the Inline</w:t>
            </w:r>
          </w:p>
        </w:tc>
        <w:tc>
          <w:tcPr>
            <w:tcW w:w="9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rPr>
              <w:t>XBRL document.</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40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40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rPr>
              <w:t>Linkbase Document.</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40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rPr>
              <w:t>Linkbase Document.</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40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40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4000" w:type="dxa"/>
            <w:vAlign w:val="bottom"/>
            <w:gridSpan w:val="16"/>
          </w:tcPr>
          <w:p>
            <w:pPr>
              <w:spacing w:after="0"/>
              <w:rPr>
                <w:sz w:val="20"/>
                <w:szCs w:val="20"/>
                <w:color w:val="auto"/>
              </w:rPr>
            </w:pPr>
            <w:r>
              <w:rPr>
                <w:rFonts w:ascii="Arial" w:cs="Arial" w:eastAsia="Arial" w:hAnsi="Arial"/>
                <w:sz w:val="18"/>
                <w:szCs w:val="18"/>
                <w:color w:val="auto"/>
              </w:rPr>
              <w:t>Linkbase Document.</w:t>
            </w:r>
          </w:p>
        </w:tc>
        <w:tc>
          <w:tcPr>
            <w:tcW w:w="9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4000" w:type="dxa"/>
            <w:vAlign w:val="bottom"/>
            <w:gridSpan w:val="16"/>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940" w:type="dxa"/>
            <w:vAlign w:val="bottom"/>
          </w:tcPr>
          <w:p>
            <w:pPr>
              <w:jc w:val="center"/>
              <w:ind w:right="193"/>
              <w:spacing w:after="0"/>
              <w:rPr>
                <w:sz w:val="20"/>
                <w:szCs w:val="20"/>
                <w:color w:val="auto"/>
              </w:rPr>
            </w:pPr>
            <w:r>
              <w:rPr>
                <w:rFonts w:ascii="Arial" w:cs="Arial" w:eastAsia="Arial" w:hAnsi="Arial"/>
                <w:sz w:val="18"/>
                <w:szCs w:val="18"/>
                <w:color w:val="auto"/>
              </w:rPr>
              <w:t>X</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4000" w:type="dxa"/>
            <w:vAlign w:val="bottom"/>
            <w:gridSpan w:val="16"/>
          </w:tcPr>
          <w:p>
            <w:pPr>
              <w:spacing w:after="0"/>
              <w:rPr>
                <w:sz w:val="20"/>
                <w:szCs w:val="20"/>
                <w:color w:val="auto"/>
              </w:rPr>
            </w:pPr>
            <w:r>
              <w:rPr>
                <w:rFonts w:ascii="Arial" w:cs="Arial" w:eastAsia="Arial" w:hAnsi="Arial"/>
                <w:sz w:val="16"/>
                <w:szCs w:val="16"/>
                <w:color w:val="auto"/>
              </w:rPr>
              <w:t>Inline XBRL document)</w:t>
            </w:r>
          </w:p>
        </w:tc>
        <w:tc>
          <w:tcPr>
            <w:tcW w:w="9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9512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1" w:lineRule="exact"/>
        <w:rPr>
          <w:sz w:val="20"/>
          <w:szCs w:val="20"/>
          <w:color w:val="auto"/>
        </w:rPr>
      </w:pPr>
    </w:p>
    <w:p>
      <w:pPr>
        <w:ind w:left="500" w:right="180" w:hanging="492"/>
        <w:spacing w:after="0" w:line="25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schedules and exhibits to this exhibit have been omitted pursuant to Item 601(b)(2) of Regulation S-K. A copy of any omitted schedule and/or exhibit will be furnished to the SEC upon request.</w:t>
      </w:r>
    </w:p>
    <w:p>
      <w:pPr>
        <w:spacing w:after="0" w:line="1"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plans or arrangements.</w:t>
      </w:r>
    </w:p>
    <w:p>
      <w:pPr>
        <w:spacing w:after="0" w:line="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 Exchange Commission.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3860" w:type="dxa"/>
            <w:vAlign w:val="bottom"/>
            <w:gridSpan w:val="2"/>
          </w:tcPr>
          <w:p>
            <w:pPr>
              <w:ind w:left="2560"/>
              <w:spacing w:after="0"/>
              <w:rPr>
                <w:sz w:val="20"/>
                <w:szCs w:val="20"/>
                <w:color w:val="auto"/>
              </w:rPr>
            </w:pPr>
            <w:r>
              <w:rPr>
                <w:rFonts w:ascii="Arial" w:cs="Arial" w:eastAsia="Arial" w:hAnsi="Arial"/>
                <w:sz w:val="18"/>
                <w:szCs w:val="18"/>
                <w:color w:val="auto"/>
              </w:rPr>
              <w:t>Synlogic, Inc.</w:t>
            </w:r>
          </w:p>
        </w:tc>
        <w:tc>
          <w:tcPr>
            <w:tcW w:w="4280" w:type="dxa"/>
            <w:vAlign w:val="bottom"/>
          </w:tcPr>
          <w:p>
            <w:pPr>
              <w:spacing w:after="0"/>
              <w:rPr>
                <w:sz w:val="20"/>
                <w:szCs w:val="20"/>
                <w:color w:val="auto"/>
              </w:rPr>
            </w:pPr>
          </w:p>
        </w:tc>
      </w:tr>
      <w:tr>
        <w:trPr>
          <w:trHeight w:val="459"/>
        </w:trPr>
        <w:tc>
          <w:tcPr>
            <w:tcW w:w="3100" w:type="dxa"/>
            <w:vAlign w:val="bottom"/>
          </w:tcPr>
          <w:p>
            <w:pPr>
              <w:spacing w:after="0"/>
              <w:rPr>
                <w:sz w:val="20"/>
                <w:szCs w:val="20"/>
                <w:color w:val="auto"/>
              </w:rPr>
            </w:pPr>
            <w:r>
              <w:rPr>
                <w:rFonts w:ascii="Arial" w:cs="Arial" w:eastAsia="Arial" w:hAnsi="Arial"/>
                <w:sz w:val="18"/>
                <w:szCs w:val="18"/>
                <w:color w:val="auto"/>
              </w:rPr>
              <w:t>Date: March 17, 2022</w:t>
            </w:r>
          </w:p>
        </w:tc>
        <w:tc>
          <w:tcPr>
            <w:tcW w:w="3860" w:type="dxa"/>
            <w:vAlign w:val="bottom"/>
            <w:gridSpan w:val="2"/>
          </w:tcPr>
          <w:p>
            <w:pPr>
              <w:ind w:left="2560"/>
              <w:spacing w:after="0"/>
              <w:rPr>
                <w:sz w:val="20"/>
                <w:szCs w:val="20"/>
                <w:color w:val="auto"/>
              </w:rPr>
            </w:pPr>
            <w:r>
              <w:rPr>
                <w:rFonts w:ascii="Arial" w:cs="Arial" w:eastAsia="Arial" w:hAnsi="Arial"/>
                <w:sz w:val="18"/>
                <w:szCs w:val="18"/>
                <w:color w:val="auto"/>
              </w:rPr>
              <w:t>By:</w:t>
            </w:r>
          </w:p>
        </w:tc>
        <w:tc>
          <w:tcPr>
            <w:tcW w:w="4280" w:type="dxa"/>
            <w:vAlign w:val="bottom"/>
          </w:tcPr>
          <w:p>
            <w:pPr>
              <w:jc w:val="center"/>
              <w:ind w:right="890"/>
              <w:spacing w:after="0"/>
              <w:rPr>
                <w:sz w:val="20"/>
                <w:szCs w:val="20"/>
                <w:color w:val="auto"/>
              </w:rPr>
            </w:pPr>
            <w:r>
              <w:rPr>
                <w:rFonts w:ascii="Arial" w:cs="Arial" w:eastAsia="Arial" w:hAnsi="Arial"/>
                <w:sz w:val="18"/>
                <w:szCs w:val="18"/>
                <w:color w:val="auto"/>
                <w:w w:val="97"/>
              </w:rPr>
              <w:t>/s/ AOIFE BRENNAN</w:t>
            </w:r>
          </w:p>
        </w:tc>
      </w:tr>
      <w:tr>
        <w:trPr>
          <w:trHeight w:val="222"/>
        </w:trPr>
        <w:tc>
          <w:tcPr>
            <w:tcW w:w="3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890"/>
              <w:spacing w:after="0"/>
              <w:rPr>
                <w:sz w:val="20"/>
                <w:szCs w:val="20"/>
                <w:color w:val="auto"/>
              </w:rPr>
            </w:pPr>
            <w:r>
              <w:rPr>
                <w:rFonts w:ascii="Arial" w:cs="Arial" w:eastAsia="Arial" w:hAnsi="Arial"/>
                <w:sz w:val="18"/>
                <w:szCs w:val="18"/>
                <w:color w:val="auto"/>
                <w:w w:val="92"/>
              </w:rPr>
              <w:t>Aoife Brennan</w:t>
            </w:r>
          </w:p>
        </w:tc>
      </w:tr>
      <w:tr>
        <w:trPr>
          <w:trHeight w:val="216"/>
        </w:trPr>
        <w:tc>
          <w:tcPr>
            <w:tcW w:w="3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80" w:type="dxa"/>
            <w:vAlign w:val="bottom"/>
          </w:tcPr>
          <w:p>
            <w:pPr>
              <w:jc w:val="center"/>
              <w:ind w:right="890"/>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80" w:type="dxa"/>
            <w:vAlign w:val="bottom"/>
          </w:tcPr>
          <w:p>
            <w:pPr>
              <w:jc w:val="center"/>
              <w:ind w:right="890"/>
              <w:spacing w:after="0"/>
              <w:rPr>
                <w:sz w:val="20"/>
                <w:szCs w:val="20"/>
                <w:color w:val="auto"/>
              </w:rPr>
            </w:pPr>
            <w:r>
              <w:rPr>
                <w:rFonts w:ascii="Arial" w:cs="Arial" w:eastAsia="Arial" w:hAnsi="Arial"/>
                <w:sz w:val="18"/>
                <w:szCs w:val="18"/>
                <w:color w:val="auto"/>
                <w:w w:val="94"/>
              </w:rPr>
              <w:t>(Principal Executive Officer)</w:t>
            </w:r>
          </w:p>
        </w:tc>
      </w:tr>
      <w:tr>
        <w:trPr>
          <w:trHeight w:val="338"/>
        </w:trPr>
        <w:tc>
          <w:tcPr>
            <w:tcW w:w="3100" w:type="dxa"/>
            <w:vAlign w:val="bottom"/>
          </w:tcPr>
          <w:p>
            <w:pPr>
              <w:spacing w:after="0"/>
              <w:rPr>
                <w:sz w:val="24"/>
                <w:szCs w:val="24"/>
                <w:color w:val="auto"/>
              </w:rPr>
            </w:pPr>
          </w:p>
        </w:tc>
        <w:tc>
          <w:tcPr>
            <w:tcW w:w="386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c>
          <w:tcPr>
            <w:tcW w:w="4280" w:type="dxa"/>
            <w:vAlign w:val="bottom"/>
          </w:tcPr>
          <w:p>
            <w:pPr>
              <w:spacing w:after="0"/>
              <w:rPr>
                <w:sz w:val="24"/>
                <w:szCs w:val="24"/>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Aoife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Brennan and Gregg Beloff his or her true and lawful attorney-in-fact and agent, with full power of substitution, for him or her and in his or her name, place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stead, in any and all capacities, to sign any and all amendments to this Annual Report on Form 10-K, and to file the same, with all exhibits thereto,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documents in connection therewith, with the Securities and Exchange Commission, granting unto said attorney-in-fact and agent, full power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authority to do and perform each and every act and thing requisite and necessary to be done in connection therewith, as fully to all intents and purposes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 might or could do in person, hereby ratifying and confirming all that said attorney-in-fact and agent, or his or her substitutes or substitute, may lawfully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 or cause to be done by virtue hereof.</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 name.</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indicated below and on the dates indicated.</w:t>
      </w:r>
    </w:p>
    <w:p>
      <w:pPr>
        <w:spacing w:after="0" w:line="189" w:lineRule="exact"/>
        <w:rPr>
          <w:sz w:val="20"/>
          <w:szCs w:val="20"/>
          <w:color w:val="auto"/>
        </w:rPr>
      </w:pPr>
    </w:p>
    <w:p>
      <w:pPr>
        <w:ind w:left="1680"/>
        <w:spacing w:after="0"/>
        <w:tabs>
          <w:tab w:leader="none" w:pos="608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AOIFE BRENNAN</w:t>
            </w:r>
          </w:p>
        </w:tc>
        <w:tc>
          <w:tcPr>
            <w:tcW w:w="4540" w:type="dxa"/>
            <w:vAlign w:val="bottom"/>
          </w:tcPr>
          <w:p>
            <w:pPr>
              <w:ind w:left="120"/>
              <w:spacing w:after="0"/>
              <w:rPr>
                <w:sz w:val="20"/>
                <w:szCs w:val="20"/>
                <w:color w:val="auto"/>
              </w:rPr>
            </w:pPr>
            <w:r>
              <w:rPr>
                <w:rFonts w:ascii="Arial" w:cs="Arial" w:eastAsia="Arial" w:hAnsi="Arial"/>
                <w:sz w:val="17"/>
                <w:szCs w:val="17"/>
                <w:color w:val="auto"/>
              </w:rPr>
              <w:t>President, Chief Executive Officer, and 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Aoife Brennan</w:t>
            </w:r>
          </w:p>
        </w:tc>
        <w:tc>
          <w:tcPr>
            <w:tcW w:w="4540" w:type="dxa"/>
            <w:vAlign w:val="bottom"/>
          </w:tcPr>
          <w:p>
            <w:pPr>
              <w:ind w:left="120"/>
              <w:spacing w:after="0"/>
              <w:rPr>
                <w:sz w:val="20"/>
                <w:szCs w:val="20"/>
                <w:color w:val="auto"/>
              </w:rPr>
            </w:pPr>
            <w:r>
              <w:rPr>
                <w:rFonts w:ascii="Arial" w:cs="Arial" w:eastAsia="Arial" w:hAnsi="Arial"/>
                <w:sz w:val="15"/>
                <w:szCs w:val="15"/>
                <w:i w:val="1"/>
                <w:iCs w:val="1"/>
                <w:color w:val="auto"/>
              </w:rPr>
              <w:t>(Principal Executive Officer)</w:t>
            </w:r>
          </w:p>
        </w:tc>
        <w:tc>
          <w:tcPr>
            <w:tcW w:w="16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GREGG BELOFF</w:t>
            </w:r>
          </w:p>
        </w:tc>
        <w:tc>
          <w:tcPr>
            <w:tcW w:w="4540" w:type="dxa"/>
            <w:vAlign w:val="bottom"/>
          </w:tcPr>
          <w:p>
            <w:pPr>
              <w:ind w:left="120"/>
              <w:spacing w:after="0"/>
              <w:rPr>
                <w:sz w:val="20"/>
                <w:szCs w:val="20"/>
                <w:color w:val="auto"/>
              </w:rPr>
            </w:pPr>
            <w:r>
              <w:rPr>
                <w:rFonts w:ascii="Arial" w:cs="Arial" w:eastAsia="Arial" w:hAnsi="Arial"/>
                <w:sz w:val="17"/>
                <w:szCs w:val="17"/>
                <w:color w:val="auto"/>
              </w:rPr>
              <w:t>Interim Chief Financial Officer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228"/>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Gregg Beloff</w:t>
            </w:r>
          </w:p>
        </w:tc>
        <w:tc>
          <w:tcPr>
            <w:tcW w:w="4540" w:type="dxa"/>
            <w:vAlign w:val="bottom"/>
          </w:tcPr>
          <w:p>
            <w:pPr>
              <w:ind w:left="120"/>
              <w:spacing w:after="0"/>
              <w:rPr>
                <w:sz w:val="20"/>
                <w:szCs w:val="20"/>
                <w:color w:val="auto"/>
              </w:rPr>
            </w:pPr>
            <w:r>
              <w:rPr>
                <w:rFonts w:ascii="Arial" w:cs="Arial" w:eastAsia="Arial" w:hAnsi="Arial"/>
                <w:sz w:val="15"/>
                <w:szCs w:val="15"/>
                <w:i w:val="1"/>
                <w:iCs w:val="1"/>
                <w:color w:val="auto"/>
              </w:rPr>
              <w:t>(Principal Financial Officer and Principal Accounting Officer)</w:t>
            </w:r>
          </w:p>
        </w:tc>
        <w:tc>
          <w:tcPr>
            <w:tcW w:w="1660" w:type="dxa"/>
            <w:vAlign w:val="bottom"/>
          </w:tcPr>
          <w:p>
            <w:pPr>
              <w:spacing w:after="0"/>
              <w:rPr>
                <w:sz w:val="19"/>
                <w:szCs w:val="19"/>
                <w:color w:val="auto"/>
              </w:rPr>
            </w:pPr>
          </w:p>
        </w:tc>
      </w:tr>
      <w:tr>
        <w:trPr>
          <w:trHeight w:val="30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PETER BARRETT</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5"/>
              </w:rPr>
              <w:t>Peter Barrett</w:t>
            </w:r>
          </w:p>
        </w:tc>
        <w:tc>
          <w:tcPr>
            <w:tcW w:w="4540" w:type="dxa"/>
            <w:vAlign w:val="bottom"/>
          </w:tcPr>
          <w:p>
            <w:pPr>
              <w:ind w:left="120"/>
              <w:spacing w:after="0"/>
              <w:rPr>
                <w:sz w:val="20"/>
                <w:szCs w:val="20"/>
                <w:color w:val="auto"/>
              </w:rPr>
            </w:pPr>
            <w:r>
              <w:rPr>
                <w:rFonts w:ascii="Arial" w:cs="Arial" w:eastAsia="Arial" w:hAnsi="Arial"/>
                <w:sz w:val="17"/>
                <w:szCs w:val="17"/>
                <w:color w:val="auto"/>
              </w:rPr>
              <w:t>Chairman of the Board</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BURGESS</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0"/>
              </w:rPr>
              <w:t>Michael Burgess</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MICHAEL HEFFERNAN</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4"/>
              </w:rPr>
              <w:t>Michael Heffernan</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PATRICIA HURTER</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7"/>
              </w:rPr>
              <w:t>Patricia Hurter</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LISA KELLY-CROSWELL</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3"/>
              </w:rPr>
              <w:t>Lisa Kelly-Croswell</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NICK LESCHLY</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0"/>
              </w:rPr>
              <w:t>Nick Leschly</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EDWARD MATHERS</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5"/>
              </w:rPr>
              <w:t>Edward Mathers</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r>
        <w:trPr>
          <w:trHeight w:val="32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RICHARD P. SHEA</w:t>
            </w:r>
          </w:p>
        </w:tc>
        <w:tc>
          <w:tcPr>
            <w:tcW w:w="45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4"/>
        </w:trPr>
        <w:tc>
          <w:tcPr>
            <w:tcW w:w="3700" w:type="dxa"/>
            <w:vAlign w:val="bottom"/>
          </w:tcPr>
          <w:p>
            <w:pPr>
              <w:jc w:val="center"/>
              <w:spacing w:after="0"/>
              <w:rPr>
                <w:sz w:val="20"/>
                <w:szCs w:val="20"/>
                <w:color w:val="auto"/>
              </w:rPr>
            </w:pPr>
            <w:r>
              <w:rPr>
                <w:rFonts w:ascii="Arial" w:cs="Arial" w:eastAsia="Arial" w:hAnsi="Arial"/>
                <w:sz w:val="17"/>
                <w:szCs w:val="17"/>
                <w:b w:val="1"/>
                <w:bCs w:val="1"/>
                <w:color w:val="auto"/>
                <w:w w:val="91"/>
              </w:rPr>
              <w:t>Richard P. Shea</w:t>
            </w:r>
          </w:p>
        </w:tc>
        <w:tc>
          <w:tcPr>
            <w:tcW w:w="4540" w:type="dxa"/>
            <w:vAlign w:val="bottom"/>
          </w:tcPr>
          <w:p>
            <w:pPr>
              <w:ind w:left="120"/>
              <w:spacing w:after="0"/>
              <w:rPr>
                <w:sz w:val="20"/>
                <w:szCs w:val="20"/>
                <w:color w:val="auto"/>
              </w:rPr>
            </w:pPr>
            <w:r>
              <w:rPr>
                <w:rFonts w:ascii="Arial" w:cs="Arial" w:eastAsia="Arial" w:hAnsi="Arial"/>
                <w:sz w:val="17"/>
                <w:szCs w:val="17"/>
                <w:color w:val="auto"/>
              </w:rPr>
              <w:t>Director</w:t>
            </w:r>
          </w:p>
        </w:tc>
        <w:tc>
          <w:tcPr>
            <w:tcW w:w="1660" w:type="dxa"/>
            <w:vAlign w:val="bottom"/>
          </w:tcPr>
          <w:p>
            <w:pPr>
              <w:ind w:left="580"/>
              <w:spacing w:after="0"/>
              <w:rPr>
                <w:sz w:val="20"/>
                <w:szCs w:val="20"/>
                <w:color w:val="auto"/>
              </w:rPr>
            </w:pPr>
            <w:r>
              <w:rPr>
                <w:rFonts w:ascii="Arial" w:cs="Arial" w:eastAsia="Arial" w:hAnsi="Arial"/>
                <w:sz w:val="17"/>
                <w:szCs w:val="17"/>
                <w:color w:val="auto"/>
                <w:w w:val="89"/>
              </w:rPr>
              <w:t>March 17, 2022</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00" w:type="dxa"/>
            <w:vAlign w:val="bottom"/>
            <w:gridSpan w:val="4"/>
          </w:tcPr>
          <w:p>
            <w:pPr>
              <w:ind w:left="160"/>
              <w:spacing w:after="0"/>
              <w:rPr>
                <w:sz w:val="20"/>
                <w:szCs w:val="20"/>
                <w:color w:val="auto"/>
              </w:rPr>
            </w:pPr>
            <w:r>
              <w:rPr>
                <w:rFonts w:ascii="Arial" w:cs="Arial" w:eastAsia="Arial" w:hAnsi="Arial"/>
                <w:sz w:val="18"/>
                <w:szCs w:val="18"/>
                <w:b w:val="1"/>
                <w:bCs w:val="1"/>
                <w:color w:val="auto"/>
              </w:rPr>
              <w:t>Index to Consolidated Financial Statements of Synlogic, Inc.</w:t>
            </w:r>
          </w:p>
        </w:tc>
        <w:tc>
          <w:tcPr>
            <w:tcW w:w="1780" w:type="dxa"/>
            <w:vAlign w:val="bottom"/>
          </w:tcPr>
          <w:p>
            <w:pPr>
              <w:spacing w:after="0"/>
              <w:rPr>
                <w:sz w:val="20"/>
                <w:szCs w:val="20"/>
                <w:color w:val="auto"/>
              </w:rPr>
            </w:pPr>
          </w:p>
        </w:tc>
      </w:tr>
      <w:tr>
        <w:trPr>
          <w:trHeight w:val="418"/>
        </w:trPr>
        <w:tc>
          <w:tcPr>
            <w:tcW w:w="9460" w:type="dxa"/>
            <w:vAlign w:val="bottom"/>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EE"/>
              </w:rPr>
              <w:t xml:space="preserve"> </w:t>
            </w:r>
            <w:r>
              <w:rPr>
                <w:rFonts w:ascii="Arial" w:cs="Arial" w:eastAsia="Arial" w:hAnsi="Arial"/>
                <w:sz w:val="18"/>
                <w:szCs w:val="18"/>
                <w:color w:val="000000"/>
              </w:rPr>
              <w:t>LLP, Boston, MA, Auditor Firm ID: 185)</w:t>
            </w: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F-2</w:t>
            </w:r>
          </w:p>
        </w:tc>
      </w:tr>
      <w:tr>
        <w:trPr>
          <w:trHeight w:val="210"/>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8"/>
                <w:szCs w:val="18"/>
                <w:color w:val="auto"/>
              </w:rPr>
            </w:pPr>
          </w:p>
        </w:tc>
        <w:tc>
          <w:tcPr>
            <w:tcW w:w="5240" w:type="dxa"/>
            <w:vAlign w:val="bottom"/>
            <w:gridSpan w:val="2"/>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F-4</w:t>
            </w:r>
          </w:p>
        </w:tc>
      </w:tr>
      <w:tr>
        <w:trPr>
          <w:trHeight w:val="209"/>
        </w:trPr>
        <w:tc>
          <w:tcPr>
            <w:tcW w:w="9460" w:type="dxa"/>
            <w:vAlign w:val="bottom"/>
            <w:gridSpan w:val="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Consolidated Statements of Operations and Comprehensive Loss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F-5</w:t>
            </w:r>
          </w:p>
        </w:tc>
      </w:tr>
      <w:tr>
        <w:trPr>
          <w:trHeight w:val="210"/>
        </w:trPr>
        <w:tc>
          <w:tcPr>
            <w:tcW w:w="3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2"/>
          </w:tcPr>
          <w:p>
            <w:pPr>
              <w:spacing w:after="0"/>
              <w:rPr>
                <w:sz w:val="18"/>
                <w:szCs w:val="18"/>
                <w:color w:val="auto"/>
              </w:rPr>
            </w:pPr>
          </w:p>
        </w:tc>
        <w:tc>
          <w:tcPr>
            <w:tcW w:w="4780" w:type="dxa"/>
            <w:vAlign w:val="bottom"/>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F-6</w:t>
            </w:r>
          </w:p>
        </w:tc>
      </w:tr>
      <w:tr>
        <w:trPr>
          <w:trHeight w:val="209"/>
        </w:trPr>
        <w:tc>
          <w:tcPr>
            <w:tcW w:w="28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Consolidated Statements of Cash Flows</w:t>
              </w:r>
            </w:hyperlink>
          </w:p>
        </w:tc>
        <w:tc>
          <w:tcPr>
            <w:tcW w:w="6580" w:type="dxa"/>
            <w:vAlign w:val="bottom"/>
            <w:gridSpan w:val="5"/>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F-7</w:t>
            </w:r>
          </w:p>
        </w:tc>
      </w:tr>
      <w:tr>
        <w:trPr>
          <w:trHeight w:val="209"/>
        </w:trPr>
        <w:tc>
          <w:tcPr>
            <w:tcW w:w="9460" w:type="dxa"/>
            <w:vAlign w:val="bottom"/>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Notes to Consolidated Financial Statements</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F-8</w:t>
            </w:r>
          </w:p>
        </w:tc>
      </w:tr>
      <w:tr>
        <w:trPr>
          <w:trHeight w:val="1040"/>
        </w:trPr>
        <w:tc>
          <w:tcPr>
            <w:tcW w:w="210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Synlogic,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audited the accompanying consolidated balance sheets of Synlogic, Inc. and subsidiaries (the Company) as of December 31, 2021 and 2020, the related consolidated statements of operations and comprehensive loss,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then ended, in conformity with U.S. generally accepted accounting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5"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Evaluation of accrued expenses related to research and development activities performed by third parties</w:t>
      </w:r>
    </w:p>
    <w:p>
      <w:pPr>
        <w:spacing w:after="0" w:line="225" w:lineRule="exact"/>
        <w:rPr>
          <w:sz w:val="20"/>
          <w:szCs w:val="20"/>
          <w:color w:val="auto"/>
        </w:rPr>
      </w:pPr>
    </w:p>
    <w:p>
      <w:pPr>
        <w:ind w:left="860" w:right="60"/>
        <w:spacing w:after="0" w:line="272" w:lineRule="auto"/>
        <w:rPr>
          <w:sz w:val="20"/>
          <w:szCs w:val="20"/>
          <w:color w:val="auto"/>
        </w:rPr>
      </w:pPr>
      <w:r>
        <w:rPr>
          <w:rFonts w:ascii="Arial" w:cs="Arial" w:eastAsia="Arial" w:hAnsi="Arial"/>
          <w:sz w:val="17"/>
          <w:szCs w:val="17"/>
          <w:color w:val="auto"/>
        </w:rPr>
        <w:t>As discussed in Note 2 to the consolidated financial statements, costs incurred in research and development are expensed as incurred. 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its knowledge of the research and development programs, services performed for the period and the expected duration of the third-party service contract, where applicable. As discussed in Note 7 to the consolidated financial statements, the accrued expenses balance related to research and development activities performed by third parties was $336 thousand at December 31, 2021.</w:t>
      </w:r>
    </w:p>
    <w:p>
      <w:pPr>
        <w:spacing w:after="0" w:line="177" w:lineRule="exact"/>
        <w:rPr>
          <w:sz w:val="20"/>
          <w:szCs w:val="20"/>
          <w:color w:val="auto"/>
        </w:rPr>
      </w:pPr>
    </w:p>
    <w:p>
      <w:pPr>
        <w:ind w:left="860" w:right="140"/>
        <w:spacing w:after="0" w:line="311" w:lineRule="auto"/>
        <w:rPr>
          <w:sz w:val="20"/>
          <w:szCs w:val="20"/>
          <w:color w:val="auto"/>
        </w:rPr>
      </w:pPr>
      <w:r>
        <w:rPr>
          <w:rFonts w:ascii="Arial" w:cs="Arial" w:eastAsia="Arial" w:hAnsi="Arial"/>
          <w:sz w:val="16"/>
          <w:szCs w:val="16"/>
          <w:color w:val="auto"/>
        </w:rPr>
        <w:t>We identified the evaluation of accrued expenses related to research and development activities performed by third parties as a critical audit matter. The estimates made by the Company in determining the accrued expenses balance are based on a number of factors that can be challenging to assess, including the completion status of the research and development programs and the associated estimate of unbilled costs.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4" w:name="page95"/>
    <w:bookmarkEnd w:id="94"/>
    <w:p>
      <w:pPr>
        <w:ind w:left="860"/>
        <w:spacing w:after="0" w:line="290" w:lineRule="auto"/>
        <w:rPr>
          <w:sz w:val="20"/>
          <w:szCs w:val="20"/>
          <w:color w:val="auto"/>
        </w:rPr>
      </w:pPr>
      <w:r>
        <w:rPr>
          <w:rFonts w:ascii="Arial" w:cs="Arial" w:eastAsia="Arial" w:hAnsi="Arial"/>
          <w:sz w:val="16"/>
          <w:szCs w:val="16"/>
          <w:color w:val="auto"/>
        </w:rPr>
        <w:t>The following are the primary procedures we performed to address this critical audit matter. We inspected contracts with third-party service providers, including any subsequent amendments, confirmed costs incurred to date with the respective third parties under the contracts, and inspected invoices to evaluate the amounts billed to date under the contracts. Furthermore, to assess that all services rendered by the third parties prior to December 31, 2021 were appropriately included in the Company’s accrued expenses balance at December 31, 2021, we (1) inquired of the individuals at the Company who are responsible for overseeing the research and development activities of the third-party service providers to understand the progress of the respective programs, (2) inspected correspondence received from the third-party service providers, including status reports, and compared them to the estimates underlying the accrued expenses balance, and (3) compared amounts ultimately invoiced by the third-party service providers subsequent to December 31, 2021 to the amounts accrued by the Company.</w:t>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04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112,150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133,309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9,088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 - operating lease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174,736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1,944</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10,080</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Long-term liabilities: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liabilities</w:t>
            </w:r>
          </w:p>
        </w:tc>
        <w:tc>
          <w:tcPr>
            <w:tcW w:w="6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17,390</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40" w:type="dxa"/>
            <w:vAlign w:val="bottom"/>
          </w:tcPr>
          <w:p>
            <w:pPr>
              <w:ind w:left="500"/>
              <w:spacing w:after="0"/>
              <w:rPr>
                <w:sz w:val="20"/>
                <w:szCs w:val="20"/>
                <w:color w:val="auto"/>
              </w:rPr>
            </w:pPr>
            <w:r>
              <w:rPr>
                <w:rFonts w:ascii="Arial" w:cs="Arial" w:eastAsia="Arial" w:hAnsi="Arial"/>
                <w:sz w:val="18"/>
                <w:szCs w:val="18"/>
                <w:color w:val="auto"/>
                <w:w w:val="99"/>
              </w:rPr>
              <w:t>250,000,000 shares authorized as of December 31, 2021 and December 31, 2020.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40"/>
              <w:spacing w:after="0"/>
              <w:rPr>
                <w:sz w:val="20"/>
                <w:szCs w:val="20"/>
                <w:color w:val="auto"/>
              </w:rPr>
            </w:pPr>
            <w:r>
              <w:rPr>
                <w:rFonts w:ascii="Arial" w:cs="Arial" w:eastAsia="Arial" w:hAnsi="Arial"/>
                <w:sz w:val="18"/>
                <w:szCs w:val="18"/>
                <w:color w:val="auto"/>
              </w:rPr>
              <w:t>69,698,844 shares issued and outstanding as of December 31, 2021 and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640"/>
              <w:spacing w:after="0"/>
              <w:rPr>
                <w:sz w:val="20"/>
                <w:szCs w:val="20"/>
                <w:color w:val="auto"/>
              </w:rPr>
            </w:pPr>
            <w:r>
              <w:rPr>
                <w:rFonts w:ascii="Arial" w:cs="Arial" w:eastAsia="Arial" w:hAnsi="Arial"/>
                <w:sz w:val="18"/>
                <w:szCs w:val="18"/>
                <w:color w:val="auto"/>
              </w:rPr>
              <w:t>38,183,273 shares issued and outstanding as of December 31, 2020.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438,113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(290,872)</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(230,311)</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6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147,266</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174,736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63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47,127</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62,519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(60,765)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32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(60,561)</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2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7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6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Weighted-average common stock outstanding - basic and diluted</w:t>
            </w:r>
          </w:p>
        </w:tc>
        <w:tc>
          <w:tcPr>
            <w:tcW w:w="14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55,329,711</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35,835,744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(60,561)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(59,173)</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unrealized loss on marketable securities</w:t>
            </w: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6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900" w:type="dxa"/>
            <w:vAlign w:val="bottom"/>
            <w:gridSpan w:val="4"/>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9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$0.001 par value</w:t>
            </w: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paid-in</w:t>
            </w:r>
          </w:p>
        </w:tc>
        <w:tc>
          <w:tcPr>
            <w:tcW w:w="1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5"/>
              </w:rPr>
              <w:t>comprehensive</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44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7"/>
              </w:rPr>
              <w:t>capital</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income (loss)</w:t>
            </w:r>
          </w:p>
        </w:tc>
        <w:tc>
          <w:tcPr>
            <w:tcW w:w="220" w:type="dxa"/>
            <w:vAlign w:val="bottom"/>
            <w:tcBorders>
              <w:bottom w:val="single" w:sz="8" w:color="CFF0FC"/>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equity</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32,266,814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327,900</w:t>
            </w: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(171,138 )</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156,905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00" w:type="dxa"/>
            <w:vAlign w:val="bottom"/>
          </w:tcPr>
          <w:p>
            <w:pPr>
              <w:spacing w:after="0" w:line="145" w:lineRule="exact"/>
              <w:rPr>
                <w:sz w:val="20"/>
                <w:szCs w:val="20"/>
                <w:color w:val="auto"/>
              </w:rPr>
            </w:pPr>
            <w:r>
              <w:rPr>
                <w:rFonts w:ascii="Arial" w:cs="Arial" w:eastAsia="Arial" w:hAnsi="Arial"/>
                <w:sz w:val="13"/>
                <w:szCs w:val="13"/>
                <w:color w:val="auto"/>
              </w:rPr>
              <w:t>Proceeds from issuance of common stock in connection with at-the-market</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20"/>
                <w:szCs w:val="20"/>
                <w:color w:val="auto"/>
              </w:rPr>
            </w:pPr>
            <w:r>
              <w:rPr>
                <w:rFonts w:ascii="Arial" w:cs="Arial" w:eastAsia="Arial" w:hAnsi="Arial"/>
                <w:sz w:val="13"/>
                <w:szCs w:val="13"/>
                <w:color w:val="auto"/>
              </w:rPr>
              <w:t>offering, net of issuance costs</w:t>
            </w:r>
          </w:p>
        </w:tc>
        <w:tc>
          <w:tcPr>
            <w:tcW w:w="940" w:type="dxa"/>
            <w:vAlign w:val="bottom"/>
          </w:tcPr>
          <w:p>
            <w:pPr>
              <w:jc w:val="right"/>
              <w:spacing w:after="0"/>
              <w:rPr>
                <w:sz w:val="20"/>
                <w:szCs w:val="20"/>
                <w:color w:val="auto"/>
              </w:rPr>
            </w:pPr>
            <w:r>
              <w:rPr>
                <w:rFonts w:ascii="Arial" w:cs="Arial" w:eastAsia="Arial" w:hAnsi="Arial"/>
                <w:sz w:val="13"/>
                <w:szCs w:val="13"/>
                <w:color w:val="auto"/>
              </w:rPr>
              <w:t>5,866,258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13,529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13,534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Exercise of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spacing w:after="0"/>
              <w:rPr>
                <w:sz w:val="20"/>
                <w:szCs w:val="20"/>
                <w:color w:val="auto"/>
              </w:rPr>
            </w:pPr>
            <w:r>
              <w:rPr>
                <w:rFonts w:ascii="Arial" w:cs="Arial" w:eastAsia="Arial" w:hAnsi="Arial"/>
                <w:sz w:val="13"/>
                <w:szCs w:val="13"/>
                <w:color w:val="auto"/>
              </w:rPr>
              <w:t>226,335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under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29,857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Cancellation of restricted stock</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(215,463 )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Equity-based compensation expense</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3,907</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Unrealized gain (loss) on securities</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(96 )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(96 )</w:t>
            </w: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(59,173 )</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(59,173 )</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3"/>
                <w:szCs w:val="13"/>
                <w:color w:val="auto"/>
              </w:rPr>
              <w:t>Balance at December 31, 2020</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38,183,273</w:t>
            </w:r>
          </w:p>
        </w:tc>
        <w:tc>
          <w:tcPr>
            <w:tcW w:w="100" w:type="dxa"/>
            <w:vAlign w:val="bottom"/>
          </w:tcPr>
          <w:p>
            <w:pPr>
              <w:spacing w:after="0"/>
              <w:rPr>
                <w:sz w:val="17"/>
                <w:szCs w:val="17"/>
                <w:color w:val="auto"/>
              </w:rPr>
            </w:pPr>
          </w:p>
        </w:tc>
        <w:tc>
          <w:tcPr>
            <w:tcW w:w="860" w:type="dxa"/>
            <w:vAlign w:val="bottom"/>
            <w:gridSpan w:val="2"/>
          </w:tcPr>
          <w:p>
            <w:pPr>
              <w:jc w:val="right"/>
              <w:ind w:right="613"/>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345,394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(230,311)</w:t>
            </w:r>
          </w:p>
        </w:tc>
        <w:tc>
          <w:tcPr>
            <w:tcW w:w="100" w:type="dxa"/>
            <w:vAlign w:val="bottom"/>
          </w:tcPr>
          <w:p>
            <w:pPr>
              <w:spacing w:after="0"/>
              <w:rPr>
                <w:sz w:val="17"/>
                <w:szCs w:val="17"/>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115,135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400" w:type="dxa"/>
            <w:vAlign w:val="bottom"/>
            <w:tcBorders>
              <w:top w:val="single" w:sz="8" w:color="CFF0FC"/>
            </w:tcBorders>
            <w:shd w:val="clear" w:color="auto" w:fill="CFF0FC"/>
          </w:tcPr>
          <w:p>
            <w:pPr>
              <w:spacing w:after="0" w:line="132" w:lineRule="exact"/>
              <w:rPr>
                <w:sz w:val="20"/>
                <w:szCs w:val="20"/>
                <w:color w:val="auto"/>
              </w:rPr>
            </w:pPr>
            <w:r>
              <w:rPr>
                <w:rFonts w:ascii="Arial" w:cs="Arial" w:eastAsia="Arial" w:hAnsi="Arial"/>
                <w:sz w:val="13"/>
                <w:szCs w:val="13"/>
                <w:color w:val="auto"/>
              </w:rPr>
              <w:t>Proceeds from issuance of common stock in connection with at-the-market</w:t>
            </w: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right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offering, net of issuance costs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2,447,211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8,047</w:t>
            </w: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spacing w:after="0"/>
              <w:rPr>
                <w:sz w:val="13"/>
                <w:szCs w:val="13"/>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Proceeds from issuance of common stock, net of issuance costs</w:t>
            </w:r>
          </w:p>
        </w:tc>
        <w:tc>
          <w:tcPr>
            <w:tcW w:w="940" w:type="dxa"/>
            <w:vAlign w:val="bottom"/>
          </w:tcPr>
          <w:p>
            <w:pPr>
              <w:jc w:val="right"/>
              <w:spacing w:after="0"/>
              <w:rPr>
                <w:sz w:val="20"/>
                <w:szCs w:val="20"/>
                <w:color w:val="auto"/>
              </w:rPr>
            </w:pPr>
            <w:r>
              <w:rPr>
                <w:rFonts w:ascii="Arial" w:cs="Arial" w:eastAsia="Arial" w:hAnsi="Arial"/>
                <w:sz w:val="13"/>
                <w:szCs w:val="13"/>
                <w:color w:val="auto"/>
              </w:rPr>
              <w:t>28,750,000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81,010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81,039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Exercise of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139,772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spacing w:after="0"/>
              <w:rPr>
                <w:sz w:val="20"/>
                <w:szCs w:val="20"/>
                <w:color w:val="auto"/>
              </w:rPr>
            </w:pPr>
            <w:r>
              <w:rPr>
                <w:rFonts w:ascii="Arial" w:cs="Arial" w:eastAsia="Arial" w:hAnsi="Arial"/>
                <w:sz w:val="13"/>
                <w:szCs w:val="13"/>
                <w:color w:val="auto"/>
              </w:rPr>
              <w:t>242,454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under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42,653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Share withholding</w:t>
            </w: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(28,725 )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(73 )</w:t>
            </w:r>
          </w:p>
        </w:tc>
        <w:tc>
          <w:tcPr>
            <w:tcW w:w="1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(73 )</w:t>
            </w: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Cancellation of restricted stock</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(77,794 )</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Equity-based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FF0FC"/>
          </w:tcPr>
          <w:p>
            <w:pPr>
              <w:spacing w:after="0"/>
              <w:rPr>
                <w:sz w:val="20"/>
                <w:szCs w:val="20"/>
                <w:color w:val="auto"/>
              </w:rPr>
            </w:pPr>
            <w:r>
              <w:rPr>
                <w:rFonts w:ascii="Arial" w:cs="Arial" w:eastAsia="Arial" w:hAnsi="Arial"/>
                <w:sz w:val="13"/>
                <w:szCs w:val="13"/>
                <w:color w:val="auto"/>
              </w:rPr>
              <w:t>Unrealized gain (loss) on securities</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(59 )</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(59 )</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20"/>
                <w:szCs w:val="20"/>
                <w:color w:val="auto"/>
              </w:rPr>
            </w:pPr>
            <w:r>
              <w:rPr>
                <w:rFonts w:ascii="Arial" w:cs="Arial" w:eastAsia="Arial" w:hAnsi="Arial"/>
                <w:sz w:val="13"/>
                <w:szCs w:val="13"/>
                <w:color w:val="auto"/>
              </w:rPr>
              <w:t>Net loss</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(60,561 )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(60,561 )</w:t>
            </w: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at December 31, 2021</w:t>
            </w: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vMerge w:val="continue"/>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69,698,844</w:t>
            </w: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13"/>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438,113</w:t>
            </w:r>
          </w:p>
        </w:tc>
        <w:tc>
          <w:tcPr>
            <w:tcW w:w="100" w:type="dxa"/>
            <w:vAlign w:val="bottom"/>
            <w:shd w:val="clear" w:color="auto" w:fill="CFF0FC"/>
          </w:tcPr>
          <w:p>
            <w:pPr>
              <w:spacing w:after="0"/>
              <w:rPr>
                <w:sz w:val="13"/>
                <w:szCs w:val="13"/>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(290,872 )</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147,266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r>
      <w:tr>
        <w:trPr>
          <w:trHeight w:val="156"/>
        </w:trPr>
        <w:tc>
          <w:tcPr>
            <w:tcW w:w="75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(60,561)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(59,173)</w:t>
            </w: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29"/>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 of use asset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6,791</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r>
      <w:tr>
        <w:trPr>
          <w:trHeight w:val="230"/>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w:t>
            </w: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29"/>
        </w:trPr>
        <w:tc>
          <w:tcPr>
            <w:tcW w:w="75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(52,198)</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(167,866)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(86,474)</w:t>
            </w: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114,022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90,836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28,515</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w:t>
            </w: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(53,253)</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32,482</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awards withheld for payment of employees'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withholding tax liability</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580" w:type="dxa"/>
            <w:vAlign w:val="bottom"/>
          </w:tcPr>
          <w:p>
            <w:pPr>
              <w:ind w:left="260"/>
              <w:spacing w:after="0"/>
              <w:rPr>
                <w:sz w:val="20"/>
                <w:szCs w:val="20"/>
                <w:color w:val="auto"/>
              </w:rPr>
            </w:pPr>
            <w:r>
              <w:rPr>
                <w:rFonts w:ascii="Arial" w:cs="Arial" w:eastAsia="Arial" w:hAnsi="Arial"/>
                <w:sz w:val="18"/>
                <w:szCs w:val="18"/>
                <w:color w:val="auto"/>
                <w:w w:val="92"/>
              </w:rPr>
              <w:t>Proceeds from issuance of common stock in connection with at-the-market offering, net of issuance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13,544</w:t>
            </w:r>
          </w:p>
        </w:tc>
        <w:tc>
          <w:tcPr>
            <w:tcW w:w="120" w:type="dxa"/>
            <w:vAlign w:val="bottom"/>
          </w:tcPr>
          <w:p>
            <w:pPr>
              <w:spacing w:after="0"/>
              <w:rPr>
                <w:sz w:val="20"/>
                <w:szCs w:val="20"/>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81,042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89,382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(16,069)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33,604</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27,281</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33,604</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acquired under operating lease obligation</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under finance lease</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Issuance costs included in accounts payable and accrued expenses</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Synlogic, Inc., together with its wholly owned and consolidated subsidiaries (Synlogic or the Company), is a clinical-stage biopharmaceutical company applying synthetic biology to the discovery and development of Synthetic Biotic medicines. Synthetic Biotic medicines are generated from Synlogic’s proprietary platform, leveraging a reproducible, modular approach to the generation of novel drug candidates that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Since incorporation, the Company has devoted substantially all of its efforts to the research and development of its product candidates.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At December 31, 2021, the Company had approximately $136.6 million in cash, cash equivalents, and marketable securities, $1.1 million of restricted cash and an accumulated deficit of approximately $290.9 million. Since its inception through December 31, 2021, the Company has primarily financed its operations through the issuance of preferred stock, units and warrants, the sale of its common stock, the Roche and AbbVie collaborations,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92" w:lineRule="exact"/>
        <w:rPr>
          <w:sz w:val="20"/>
          <w:szCs w:val="20"/>
          <w:color w:val="auto"/>
        </w:rPr>
      </w:pPr>
    </w:p>
    <w:p>
      <w:pPr>
        <w:ind w:right="16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alliances.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While the Company is not aware of a material impact from the continuation of the COVID-19 pandemic through December 31, 2021, the full extent to which the COVID-19 pandemic will directly or indirectly impact the Company’s business, results of operations, and financial condition, including expenses and manufacturing, clinical trials, and research and development costs, depends on future developments that are highly uncertain at this time.</w:t>
      </w:r>
    </w:p>
    <w:p>
      <w:pPr>
        <w:spacing w:after="0" w:line="253"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(U.S. GAAP or GAAP).</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revenues and expenses, and related disclosure of contingent assets and liabilities 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date of the consolidated financial statements and the reported amounts of expenses during the reporting period. On an on-going basis, the Company’s management evaluates its estimates, including those related to revenue recognition, income taxes including the valuation allowance for deferred tax assets, research and development accruals and prepaids, accrued expenses, investments, contingencies and equity-based compensation. The Company bases its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The Company considers all highly liquid investment instruments with a remaining maturity when purchased of three months or less to be cash equivalents. Investments qualifying as cash equivalents consist of money market funds, including money market funds held in a sweep account. Cash equivalents are stated at cost plus accrued interest, which approximates fair value. The amount of cash equivalents included in cash and cash equivalents was approximately $16.4 million and $32.5 million at December 31, 2021 and 2020,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include amounts held as cash, cash equivalents, marketable securities and restricted cash. The Company uses high quality, accredited financial institutions to maintain its balances,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held cash of approximately $1.1 million at December 31, 2021 and 2020 in a letter of credit to secure its lease at the 301 Binney Street facility. The Company has classified this deposit as long-term restricted cash on its balance sheet.</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 (in thousands).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Borders>
              <w:bottom w:val="single" w:sz="8" w:color="CFF0FC"/>
            </w:tcBorders>
          </w:tcPr>
          <w:p>
            <w:pPr>
              <w:spacing w:after="0"/>
              <w:rPr>
                <w:sz w:val="19"/>
                <w:szCs w:val="19"/>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consolidated statement of cash flows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17,535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33,604</w:t>
            </w:r>
          </w:p>
        </w:tc>
        <w:tc>
          <w:tcPr>
            <w:tcW w:w="80" w:type="dxa"/>
            <w:vAlign w:val="bottom"/>
            <w:shd w:val="clear" w:color="auto" w:fill="CFF0FC"/>
          </w:tcPr>
          <w:p>
            <w:pPr>
              <w:spacing w:after="0"/>
              <w:rPr>
                <w:sz w:val="20"/>
                <w:szCs w:val="20"/>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establishes a fair value hierarchy for those instruments measured at fair value that distinguishes between assumptions based on market data (observable inputs) and the Company’s own assumptions (unobservable inputs). The hierarchy consists of three levels:</w:t>
      </w:r>
    </w:p>
    <w:p>
      <w:pPr>
        <w:spacing w:after="0" w:line="79"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 – Utilize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Level 2 – Utilize data points that are either directly or indirectly observable, such as quoted prices, interest rates and yield curves;</w:t>
      </w:r>
    </w:p>
    <w:p>
      <w:pPr>
        <w:spacing w:after="0" w:line="128" w:lineRule="exact"/>
        <w:rPr>
          <w:rFonts w:ascii="Arial" w:cs="Arial" w:eastAsia="Arial" w:hAnsi="Arial"/>
          <w:sz w:val="17"/>
          <w:szCs w:val="17"/>
          <w:color w:val="auto"/>
        </w:rPr>
      </w:pPr>
    </w:p>
    <w:p>
      <w:pPr>
        <w:ind w:left="1000" w:right="76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 – Utilize unobservable data points in which there is little or no market data, which require the Company to develop its own assumptions for the asset or liability.</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of assets or liabilities between Level 1, Level 2 or Level 3 during the years ended December 31, 2021 and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17"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The Company classifies all of its investments as available-for-sale based upon its intent with regard to such investments. The Company classifies investments as short-term when their remaining contractual maturities are one year or less from the balance sheet date, and as long-term when the investment has a remaining contractual maturity of more than one year from the balance sheet date. Available-for-sale securities are carried at fair value, with the unrealized gains and losses reported in other comprehensive income (loss). The amortized cost of debt securities in this category is adjusted for amortization of premiums and accretion of discounts to maturity. Such amortization is included in interest and investment income. Realized gains and losses and declines in value judged to be other than temporary on available-for-sale securities, are included in interest and investment income.</w:t>
      </w:r>
    </w:p>
    <w:p>
      <w:pPr>
        <w:spacing w:after="0" w:line="164"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The cost of securities sold is based on the specific identification method. Interest and dividends on securities classified as available-for-sale are included in interest and investment income. To determine whether an other-than-temporary impairment exists, the Company considers whether it has the ability and intent to hold the investment until a market price recovery, and whether evidence indicating the recoverability of the cost of the investment outweighs evidence to the contrary.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300" w:firstLine="510"/>
        <w:spacing w:after="0" w:line="220" w:lineRule="exact"/>
        <w:rPr>
          <w:sz w:val="20"/>
          <w:szCs w:val="20"/>
          <w:color w:val="auto"/>
        </w:rPr>
      </w:pPr>
      <w:r>
        <w:rPr>
          <w:rFonts w:ascii="Arial" w:cs="Arial" w:eastAsia="Arial" w:hAnsi="Arial"/>
          <w:sz w:val="18"/>
          <w:szCs w:val="18"/>
          <w:color w:val="auto"/>
        </w:rPr>
        <w:t>Property and equipment, including leasehold improvements, are recorded at cost and depreciated over their estimated useful lives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Repairs and maintenance costs are expensed as incurred, whereas major improvements are capitalized as additions to property and equipment.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begins at the time the asset is placed in service. Depreciation is provided over the following estimated useful lives:</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8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Asset classification</w:t>
            </w:r>
          </w:p>
        </w:tc>
        <w:tc>
          <w:tcPr>
            <w:tcW w:w="160" w:type="dxa"/>
            <w:vAlign w:val="bottom"/>
            <w:tcBorders>
              <w:bottom w:val="single" w:sz="8" w:color="CFF0FC"/>
            </w:tcBorders>
          </w:tcPr>
          <w:p>
            <w:pPr>
              <w:spacing w:after="0"/>
              <w:rPr>
                <w:sz w:val="14"/>
                <w:szCs w:val="14"/>
                <w:color w:val="auto"/>
              </w:rPr>
            </w:pPr>
          </w:p>
        </w:tc>
        <w:tc>
          <w:tcPr>
            <w:tcW w:w="38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Useful life</w:t>
            </w: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160" w:type="dxa"/>
            <w:vAlign w:val="bottom"/>
            <w:shd w:val="clear" w:color="auto" w:fill="CFF0FC"/>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3 years</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5 years</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40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5 years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Lesser of useful life or remaining lease term</w:t>
            </w:r>
          </w:p>
        </w:tc>
      </w:tr>
    </w:tbl>
    <w:p>
      <w:pPr>
        <w:spacing w:after="0" w:line="3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17" w:lineRule="exact"/>
        <w:rPr>
          <w:sz w:val="20"/>
          <w:szCs w:val="20"/>
          <w:color w:val="auto"/>
        </w:rPr>
      </w:pPr>
    </w:p>
    <w:p>
      <w:pPr>
        <w:ind w:right="20" w:firstLine="510"/>
        <w:spacing w:after="0" w:line="220"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of the asset. To date, no such impairments have been recognized.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80" w:firstLine="578"/>
        <w:spacing w:after="0" w:line="286" w:lineRule="auto"/>
        <w:rPr>
          <w:sz w:val="20"/>
          <w:szCs w:val="20"/>
          <w:color w:val="auto"/>
        </w:rPr>
      </w:pPr>
      <w:r>
        <w:rPr>
          <w:rFonts w:ascii="Arial" w:cs="Arial" w:eastAsia="Arial" w:hAnsi="Arial"/>
          <w:sz w:val="16"/>
          <w:szCs w:val="16"/>
          <w:color w:val="auto"/>
        </w:rPr>
        <w:t>The Company uses judgement to assess if an arrangement is a lease at contract inception. An arrangement is a lease if the contract involves the use of a distinct identified asset, the lessor does not have substantive substitution rights and the Company obtains control of the asset throughout the period by obtaining substantially all of the economic benefit of the asset and the right to direct the use of the asset. Leases classified as operating leases are included in operating lease right-of-use (ROU) assets, current operating lease liabilities and noncurrent operating lease liabilities in our consolidated balance sheet.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Finance leases are included in property and equipment and finance lease obligations in our consolidated balance sheet.</w:t>
      </w:r>
    </w:p>
    <w:p>
      <w:pPr>
        <w:spacing w:after="0" w:line="211" w:lineRule="exact"/>
        <w:rPr>
          <w:sz w:val="20"/>
          <w:szCs w:val="20"/>
          <w:color w:val="auto"/>
        </w:rPr>
      </w:pPr>
    </w:p>
    <w:p>
      <w:pPr>
        <w:ind w:right="360" w:firstLine="510"/>
        <w:spacing w:after="0" w:line="301" w:lineRule="auto"/>
        <w:rPr>
          <w:sz w:val="20"/>
          <w:szCs w:val="20"/>
          <w:color w:val="auto"/>
        </w:rPr>
      </w:pPr>
      <w:r>
        <w:rPr>
          <w:rFonts w:ascii="Arial" w:cs="Arial" w:eastAsia="Arial" w:hAnsi="Arial"/>
          <w:sz w:val="16"/>
          <w:szCs w:val="16"/>
          <w:color w:val="auto"/>
        </w:rPr>
        <w:t>ROU assets represent the right-to-use an underlying asset for the lease term and lease liabilities represent the obligation to make lease payments arising from the lease. ROU assets and lease liabilities are recognized at the lease commencement date based on the estimated present value of lease payments over the lease term. The Company utilizes its incremental borrowing rate to determine the present value of lease payments. The incremental borrowing rate is the rate incurred to borrow similar funds, on a collateralized basis, over a comparable term in a similar economic environment.</w:t>
      </w:r>
    </w:p>
    <w:p>
      <w:pPr>
        <w:spacing w:after="0" w:line="15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has elected to account for the lease and non-lease components for leases as a single component for classes of all underlying assets and allocate all of the contract consideration to the lease component only. Lease cost for operating leases is recognized on a straight-line basis over the lease term and is included in operating expenses on the statements of operations and comprehensive loss. Variable lease payments are included in lease operating expenses.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lease term includes options to extend the lease when it is reasonably certain that option will be exercised. Leases with a term of 12 months or less are not recorded on the Company’s consolidated balance sheet.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Costs incurred in research and development are expensed as incurred. The Company defers and capitalizes nonrefundable advance payments made by the Company for research and development activities until the related goods are received or the related services are performed.</w:t>
      </w:r>
    </w:p>
    <w:p>
      <w:pPr>
        <w:spacing w:after="0" w:line="124"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Research and development expenses are comprised of costs incurred in performing research and development activities, including salary and benefits, equity-based compensation expense, laboratory supplies and other direct expenses, facilities expenses, overhead expenses, contractual services and other outside expenses.</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When third-party service providers’ billing terms do not coincide with the Company’s period-end, the Company is required to make estimates of its obligations to those third parties, including clinical trial costs, contractual services costs and costs for supply of its drug candidates, incurred in a given accounting period and record accruals at the end of the period. The Company bases its estimates on the completion status of the research and development programs and the associated estimate of unbilled costs.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Company generates revenue through a collaboration and option agreement with Roche for the development and commercialization of product candidates.</w:t>
      </w:r>
    </w:p>
    <w:p>
      <w:pPr>
        <w:spacing w:after="0" w:line="170"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 xml:space="preserve">The Company evaluates collaboration agreements with respect to FASB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considering the nature and contractual terms of the arrangement and the nature of its business operations to determine the classification of the transactions. When the Company is an active participant in the activity and exposed to significant risks and rewards dependent on the commercial success of the collaboration, it will record its transactions on a gross basis in the consolidated financial statements and describe the rights and obligations under the collaborative arrangement in the notes to the consolidated financial statements.</w:t>
      </w:r>
    </w:p>
    <w:p>
      <w:pPr>
        <w:spacing w:after="0" w:line="188"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6"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Variable consideration is constrained until it is deemed not be at significant risk of reversal.</w:t>
      </w:r>
    </w:p>
    <w:p>
      <w:pPr>
        <w:spacing w:after="0" w:line="157"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4" w:lineRule="exact"/>
        <w:rPr>
          <w:sz w:val="20"/>
          <w:szCs w:val="20"/>
          <w:color w:val="auto"/>
        </w:rPr>
      </w:pPr>
    </w:p>
    <w:p>
      <w:pPr>
        <w:ind w:right="160" w:firstLine="8"/>
        <w:spacing w:after="0" w:line="323" w:lineRule="auto"/>
        <w:tabs>
          <w:tab w:leader="none" w:pos="2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full-time equivalent time as a measure of satisfaction of performance obligations.</w:t>
      </w:r>
    </w:p>
    <w:p>
      <w:pPr>
        <w:spacing w:after="0" w:line="184"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of Intellectual Property</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assessing whether a promise or performance obligation is distinct from the other promises, we consider factors such as the research, manufacturing and commercialization capabilities of the customer and the availability of the associated expertise in the general marketplace. In addition, we consider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Services</w:t>
      </w:r>
    </w:p>
    <w:p>
      <w:pPr>
        <w:spacing w:after="0" w:line="117"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If an arrangement is determined to contain a promise or obligation for us to perform research and development services, we must determine whether these services are distinct from the other promises in the arrangement. In assessing whether the services are distinct from the other promises, we consider the capabilities of the customer to perform these same services. In addition, we consider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estimates we use to record revenue relating to the combined performance obligation on an over time basis, include input methods such as full-time equivalent time incurred compared to the full-time equivalent time expected to be incurred in the future to satisfy the performance obligation, which require management judgment. We evaluate the measure of progress each reporting period and, if necessary, adjust the measure of performance and related revenue recognition. With this method, we must estimate total inputs required to satisfy a performance obligation and measure efforts expended to date to determine revenue recognition. This estimate of remaining inputs is subjective, as the research is novel, and therefore efforts to be successful may be different than the estimated efforts at the balance sheet date.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Options</w:t>
      </w:r>
    </w:p>
    <w:p>
      <w:pPr>
        <w:spacing w:after="0" w:line="11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Milestone Payments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5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117"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29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Equity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7" w:lineRule="exact"/>
        <w:rPr>
          <w:sz w:val="20"/>
          <w:szCs w:val="20"/>
          <w:color w:val="auto"/>
        </w:rPr>
      </w:pPr>
    </w:p>
    <w:p>
      <w:pPr>
        <w:ind w:right="60" w:firstLine="510"/>
        <w:spacing w:after="0" w:line="217" w:lineRule="exact"/>
        <w:rPr>
          <w:sz w:val="20"/>
          <w:szCs w:val="20"/>
          <w:color w:val="auto"/>
        </w:rPr>
      </w:pPr>
      <w:r>
        <w:rPr>
          <w:rFonts w:ascii="Arial" w:cs="Arial" w:eastAsia="Arial" w:hAnsi="Arial"/>
          <w:sz w:val="16"/>
          <w:szCs w:val="16"/>
          <w:color w:val="auto"/>
        </w:rPr>
        <w:t>The Company measures equity-based compensation to employees, non-employees and directors based on the grant date fair value of the awards and recognizes the associated expense in the financial statements over the requisite service period of the award, which is generally the vesting period. The fair value of each option and purchase rights under the employee stock purchase plan (ESPP)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Expected volatility for the Company’s common stock is determined based on an average of the historical volatility of the Company and the historical volatility of a peer</w:t>
      </w:r>
      <w:r>
        <w:rPr>
          <w:rFonts w:ascii="MS PGothic" w:cs="MS PGothic" w:eastAsia="MS PGothic" w:hAnsi="MS PGothic"/>
          <w:sz w:val="16"/>
          <w:szCs w:val="16"/>
          <w:color w:val="auto"/>
        </w:rPr>
        <w:t>‑</w:t>
      </w:r>
      <w:r>
        <w:rPr>
          <w:rFonts w:ascii="Arial" w:cs="Arial" w:eastAsia="Arial" w:hAnsi="Arial"/>
          <w:sz w:val="16"/>
          <w:szCs w:val="16"/>
          <w:color w:val="auto"/>
        </w:rPr>
        <w:t>group of similar public companies. The expected term of options granted to employees is calculated using the simplified method, which represents the average of the contractual term of the option and the weighted-average vesting period of the option. The expected term of purchase rights for the ESPP is based on the duration of an offering period. The assumed dividend yield is based upon the Company’s expectation of not paying dividends in the foreseeable future.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upon the U.S. Treasury yield curve commensurate with the expected term at the time of grant or remeasurement. Forfeitures are recognized as they occur.</w:t>
      </w:r>
    </w:p>
    <w:p>
      <w:pPr>
        <w:spacing w:after="0" w:line="207" w:lineRule="exact"/>
        <w:rPr>
          <w:sz w:val="20"/>
          <w:szCs w:val="20"/>
          <w:color w:val="auto"/>
        </w:rPr>
      </w:pPr>
    </w:p>
    <w:p>
      <w:pPr>
        <w:ind w:right="580" w:firstLine="510"/>
        <w:spacing w:after="0" w:line="308"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and comprehensive loss in the same manner in which the award recipient’s payroll costs are classified or in which the award recipients’ service payments are classified.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8"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income taxes includes the effects of any resulting tax reserves, or unrecognized tax benefits, that are considered appropriate as well as the related net interest and penalties.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outstanding stock options and potential shares issuable under the ESPP.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 maker, or decision-making group, in deciding how to allocate resources and in assessing performance. The Company operates</w:t>
      </w:r>
    </w:p>
    <w:p>
      <w:pPr>
        <w:ind w:right="280"/>
        <w:spacing w:after="0" w:line="253" w:lineRule="auto"/>
        <w:rPr>
          <w:sz w:val="20"/>
          <w:szCs w:val="20"/>
          <w:color w:val="auto"/>
        </w:rPr>
      </w:pPr>
      <w:r>
        <w:rPr>
          <w:rFonts w:ascii="Arial" w:cs="Arial" w:eastAsia="Arial" w:hAnsi="Arial"/>
          <w:sz w:val="18"/>
          <w:szCs w:val="18"/>
          <w:color w:val="auto"/>
        </w:rPr>
        <w:t>in one operating segment: discovery and development of synthetic biology therapeutics for the treatment of rare, infectious and other diseases. The Company’s chief executive officer, as chief operating decision maker, manages and allocates resources to the operations of the Company on a total company basis. All of the Company’s equipment, leasehold improvements and other fixed assets are physically located within the United States, and all agreements with its partners are denominated in U.S. dollars, except where noted.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31"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New accounting pronouncements are issued by the FASB from time to time, and rules are issued by the SEC that the Company has or will adopt as of a specified date. Unless otherwise noted, management does not believe that any recently issued accounting pronouncements issued by the FASB or guidance issued by the SEC had, or is expected to have, a material impact on the Company’s present or future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October 2020, the FASB issued an amendment, ASU 2020-08, </w:t>
      </w:r>
      <w:r>
        <w:rPr>
          <w:rFonts w:ascii="Arial" w:cs="Arial" w:eastAsia="Arial" w:hAnsi="Arial"/>
          <w:sz w:val="18"/>
          <w:szCs w:val="18"/>
          <w:i w:val="1"/>
          <w:iCs w:val="1"/>
          <w:color w:val="auto"/>
        </w:rPr>
        <w:t>Codification Improvements to Subtopic 310-20, Receivables – Nonrefundable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Costs, </w:t>
      </w:r>
      <w:r>
        <w:rPr>
          <w:rFonts w:ascii="Arial" w:cs="Arial" w:eastAsia="Arial" w:hAnsi="Arial"/>
          <w:sz w:val="18"/>
          <w:szCs w:val="18"/>
          <w:color w:val="auto"/>
        </w:rPr>
        <w:t>to the guidance in ASU 2017-08,</w:t>
      </w:r>
      <w:r>
        <w:rPr>
          <w:rFonts w:ascii="Arial" w:cs="Arial" w:eastAsia="Arial" w:hAnsi="Arial"/>
          <w:sz w:val="18"/>
          <w:szCs w:val="18"/>
          <w:i w:val="1"/>
          <w:iCs w:val="1"/>
          <w:color w:val="auto"/>
        </w:rPr>
        <w:t xml:space="preserve"> Receivables-Nonrefundable Fees and Other Costs (Subtopic 310-20): Premium Amortization on Purchased Callable Debt Securities. </w:t>
      </w:r>
      <w:r>
        <w:rPr>
          <w:rFonts w:ascii="Arial" w:cs="Arial" w:eastAsia="Arial" w:hAnsi="Arial"/>
          <w:sz w:val="18"/>
          <w:szCs w:val="18"/>
          <w:color w:val="auto"/>
        </w:rPr>
        <w:t>The amendment requires companies to reevaluate whether a callable debt security that has multiple call dates is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paragraph 310-20-65-2. The amendment shall be effective for fiscal years, and interim periods within those fiscal years, beginning after December 15, 2020. The Company adopted the new guidance effective on January 1, 2021 which had an immaterial impact on its consolidated financial statements.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Statements</w:t>
      </w:r>
      <w:r>
        <w:rPr>
          <w:rFonts w:ascii="Arial" w:cs="Arial" w:eastAsia="Arial" w:hAnsi="Arial"/>
          <w:sz w:val="17"/>
          <w:szCs w:val="17"/>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7"/>
          <w:szCs w:val="17"/>
          <w:i w:val="1"/>
          <w:iCs w:val="1"/>
          <w:color w:val="auto"/>
        </w:rPr>
        <w:t>Financial Instruments – Credit Losses (Topic 326), Derivatives and Hedging (Topic 815), and Leases (Topic 842): Effective Dates</w:t>
      </w:r>
      <w:r>
        <w:rPr>
          <w:rFonts w:ascii="Arial" w:cs="Arial" w:eastAsia="Arial" w:hAnsi="Arial"/>
          <w:sz w:val="17"/>
          <w:szCs w:val="17"/>
          <w:color w:val="auto"/>
        </w:rPr>
        <w:t>, which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for certain companies. The standard is effective for public companies eligible to be smaller reporting companies for annual and interim periods beginning after December 15, 2022. Early adoption is available. The Company does not anticipate a material impact to its net financial position or disclosures as a result of adoption of ASU 2016-13.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9"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as of December 31, 2021 and 2020 and indicate the fair value hierarchy of the valuation techniques the Company utilized to determine such fair value, as described under Note 2</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w:t>
      </w:r>
    </w:p>
    <w:p>
      <w:pPr>
        <w:spacing w:after="0" w:line="184"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2021 and 2020, the Company has classified assets measured at fair value on a recurring basis as follows (in thousands):</w:t>
      </w:r>
    </w:p>
    <w:p>
      <w:pPr>
        <w:spacing w:after="0" w:line="33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0"/>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106,277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w w:val="98"/>
              </w:rPr>
              <w:t>U.S. government agency securities and treasuries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136,628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Quoted Prices in Active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16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w w:val="98"/>
              </w:rPr>
              <w:t>U.S. government agency securities and treasuries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December 31, 2021 and December 31, 2020 are carried at amounts that approximate fair value due to their short-term maturities. Finance lease obligations at December 31, 2021 and December 31, 2020 approximate fair value as they bear interest at a rate approximating a market interest rate.</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3"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December 31, 2021 and 2020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Gross unrealized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2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106,298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 and treasuries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120,236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Gross unrealized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20" w:type="dxa"/>
            <w:vAlign w:val="bottom"/>
          </w:tcPr>
          <w:p>
            <w:pPr>
              <w:spacing w:after="0"/>
              <w:rPr>
                <w:sz w:val="24"/>
                <w:szCs w:val="24"/>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gains</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 and treasuries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contractual maturity of all securities held at December 31, 2021 was fifteen months or less. There were twenty investments in an unrealized loss position at December 31, 2021, none of which had been in an unrealized loss position for more than twelve months. The aggregate fair value of the securities in an unrealized loss position at December 31, 2021 and 2020 was $72.2 million and $20.1 million, respectively. The Company reviews its investments for other-than-temporary impairment whenever the fair value of an investment is less than amortized cost and evidence indicates that an investment’s carrying amount is not recoverable within a reasonable period of time. To determine whether an impairment is other-than-temporary, the Company considers whether it has the ability and intent to hold the investment until maturity or a market price recovery and considers whether evidence indicating the cost of the investment is recoverable outweighs evidence to the contrary. The Company did not hold any securities with an other-than-temporary impairment at December 31, 2021.</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41"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56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Prepaid research and development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1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Total prepaid expenses and other current assets</w:t>
            </w:r>
          </w:p>
        </w:tc>
        <w:tc>
          <w:tcPr>
            <w:tcW w:w="1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42"/>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00" w:type="dxa"/>
            <w:vAlign w:val="bottom"/>
            <w:gridSpan w:val="2"/>
          </w:tcPr>
          <w:p>
            <w:pPr>
              <w:jc w:val="right"/>
              <w:ind w:right="1287"/>
              <w:spacing w:after="0"/>
              <w:rPr>
                <w:sz w:val="20"/>
                <w:szCs w:val="20"/>
                <w:color w:val="auto"/>
              </w:rPr>
            </w:pPr>
            <w:r>
              <w:rPr>
                <w:rFonts w:ascii="Arial" w:cs="Arial" w:eastAsia="Arial" w:hAnsi="Arial"/>
                <w:sz w:val="18"/>
                <w:szCs w:val="18"/>
                <w:color w:val="auto"/>
              </w:rPr>
              <w:t>F-16</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1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19,025</w:t>
            </w:r>
          </w:p>
        </w:tc>
        <w:tc>
          <w:tcPr>
            <w:tcW w:w="8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(10,626)</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(8,249)</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on property and equipment was $2.4 million and $2.6 million in 2021 and 2020, respectively.</w:t>
      </w:r>
    </w:p>
    <w:p>
      <w:pPr>
        <w:spacing w:after="0" w:line="200" w:lineRule="exact"/>
        <w:rPr>
          <w:sz w:val="20"/>
          <w:szCs w:val="20"/>
          <w:color w:val="auto"/>
        </w:rPr>
      </w:pPr>
    </w:p>
    <w:p>
      <w:pPr>
        <w:spacing w:after="0" w:line="210"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common stock has the following characteristics:</w:t>
      </w:r>
    </w:p>
    <w:p>
      <w:pPr>
        <w:spacing w:after="0" w:line="117" w:lineRule="exact"/>
        <w:rPr>
          <w:rFonts w:ascii="Arial" w:cs="Arial" w:eastAsia="Arial" w:hAnsi="Arial"/>
          <w:sz w:val="18"/>
          <w:szCs w:val="18"/>
          <w:b w:val="1"/>
          <w:bCs w:val="1"/>
          <w:color w:val="auto"/>
        </w:rPr>
      </w:pPr>
    </w:p>
    <w:p>
      <w:pPr>
        <w:ind w:left="1000" w:hanging="493"/>
        <w:spacing w:after="0"/>
        <w:tabs>
          <w:tab w:leader="none" w:pos="10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holders of shares of common stock are entitled to one vote for each share of common stock held at all meetings of stockholders.</w:t>
      </w:r>
    </w:p>
    <w:p>
      <w:pPr>
        <w:spacing w:after="0" w:line="34" w:lineRule="exact"/>
        <w:rPr>
          <w:rFonts w:ascii="Arial" w:cs="Arial" w:eastAsia="Arial" w:hAnsi="Arial"/>
          <w:sz w:val="17"/>
          <w:szCs w:val="17"/>
          <w:color w:val="auto"/>
        </w:rPr>
      </w:pPr>
    </w:p>
    <w:p>
      <w:pPr>
        <w:ind w:left="1000" w:right="120" w:hanging="493"/>
        <w:spacing w:after="0" w:line="260" w:lineRule="auto"/>
        <w:tabs>
          <w:tab w:leader="none" w:pos="10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receive dividends, if and when, declared by the Company’s board of directors. Since inception, no cash dividends have been declared.</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 xml:space="preserve">In June 2019, the Company issued to Ginkgo Bioworks, Inc. (Ginkgo) 6,340,771 shares of common stock and accompanying Pre-Funded Warrants (the Pre-Funded Warrants) to purchase up to an aggregate of 2,548,117 shares of common stock, at a combined purchase price per share and Pre-Funded Warrant of $9.00. The Pre-Funded Warrants have an exercise price of $9.00 per share, with $8.99 of such exercise price paid at the closing of the offering. The proceeds, net of issuance costs, were approximately $79.9 million, $57.0 million related to the proceeds from sale of the common stock and $22.9 million related to the proceeds from sale of the Pre-Funded Warrants. The Pre-Funded Warrants may be exercised at any time until all of the Pre-Funded Warrants are exercised in full to the extent that, after giving effect to such issuance after exercise, Ginkgo would not beneficially own in excess of 19.99% of the number of shares of common stock outstanding immediately after giving effect to the issuance. The Pre-Funded Warrants were classified as a component of permanent equity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and permit the holders to receive a fixed number of common shares upon exercise. In addition, such warrants do not provide any guarantee of value or return. In addition, in connection with the issuance to Ginkgo of common stock and Pre-Funded Warrants, the Company expanded its existing collaboration and entered into an agreement with Ginkgo for the research and development of engineered microbial therapeutic products. None of the Pre-Funded Warrants have been exercised as of December 31, 2021. (See Note 10, </w:t>
      </w:r>
      <w:r>
        <w:rPr>
          <w:rFonts w:ascii="Arial" w:cs="Arial" w:eastAsia="Arial" w:hAnsi="Arial"/>
          <w:sz w:val="16"/>
          <w:szCs w:val="16"/>
          <w:i w:val="1"/>
          <w:iCs w:val="1"/>
          <w:color w:val="auto"/>
        </w:rPr>
        <w:t>Collaboration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Ginkgo Collaboration</w:t>
      </w:r>
      <w:r>
        <w:rPr>
          <w:rFonts w:ascii="Arial" w:cs="Arial" w:eastAsia="Arial" w:hAnsi="Arial"/>
          <w:sz w:val="16"/>
          <w:szCs w:val="16"/>
          <w:color w:val="auto"/>
        </w:rPr>
        <w: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On October 13, 2017, the Company entered into a sales agreement with Cowen and Company, LLC (Cowen) with respect to an at-the-market (ATM) offering program. In an ATM offering, exchange-listed companies incrementally sell newly issued shares into the secondary trading market through a designated broker-dealer at prevailing market prices. During the year ended December 31, 2021, 2,447,211 shares of common stock were sold pursuant to the ATM, resulting in net proceeds of approximately $8.0 million. There were no sales pursuant to the Cowen ATM subsequent to March 31, 2021.</w:t>
      </w:r>
    </w:p>
    <w:p>
      <w:pPr>
        <w:spacing w:after="0" w:line="15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July 2021, the Company entered into a new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year ended December 31, 2021, no shares of common stock were sold pursuant to the sales agreement with Jefferies.</w:t>
      </w:r>
    </w:p>
    <w:p>
      <w:pPr>
        <w:spacing w:after="0" w:line="157"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In April 2021, the Company sold 11,500,000 shares of its common stock at a public offering price of $3.00 per share pursuant to an underwritten public offering. The net proceeds to the Company from the offering, after deducting the underwriting discounts and commissions and offering expenses payable by the Company, were approximately $32.6 million. All shares of common stock sold in the offering were sold by the Company.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2021, the Company sold 17,250,000 shares of its common stock at a public offering price of $3.00 per share pursuant</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to an underwritten public offering. The net proceeds to the Company from the offering, after deducting the underwriting discounts and commissions and offering expenses payable by the Company, were approximately $48.4 million. All shares of common stock sold in the offering were sold by the Company.</w:t>
      </w:r>
    </w:p>
    <w:p>
      <w:pPr>
        <w:spacing w:after="0" w:line="13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60" w:type="dxa"/>
            <w:vAlign w:val="bottom"/>
            <w:tcBorders>
              <w:bottom w:val="single" w:sz="8" w:color="CFF0FC"/>
            </w:tcBorders>
          </w:tcPr>
          <w:p>
            <w:pPr>
              <w:spacing w:after="0"/>
              <w:rPr>
                <w:sz w:val="20"/>
                <w:szCs w:val="20"/>
                <w:color w:val="auto"/>
              </w:rPr>
            </w:pPr>
          </w:p>
        </w:tc>
        <w:tc>
          <w:tcPr>
            <w:tcW w:w="32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3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2,548,117</w:t>
            </w: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Options exercisable to purchase common stock</w:t>
            </w:r>
          </w:p>
        </w:tc>
        <w:tc>
          <w:tcPr>
            <w:tcW w:w="3240" w:type="dxa"/>
            <w:vAlign w:val="bottom"/>
          </w:tcPr>
          <w:p>
            <w:pPr>
              <w:jc w:val="right"/>
              <w:ind w:right="30"/>
              <w:spacing w:after="0"/>
              <w:rPr>
                <w:sz w:val="20"/>
                <w:szCs w:val="20"/>
                <w:color w:val="auto"/>
              </w:rPr>
            </w:pPr>
            <w:r>
              <w:rPr>
                <w:rFonts w:ascii="Arial" w:cs="Arial" w:eastAsia="Arial" w:hAnsi="Arial"/>
                <w:sz w:val="18"/>
                <w:szCs w:val="18"/>
                <w:color w:val="auto"/>
              </w:rPr>
              <w:t>2,032,515</w:t>
            </w:r>
          </w:p>
        </w:tc>
      </w:tr>
      <w:tr>
        <w:trPr>
          <w:trHeight w:val="230"/>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3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21,569</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3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4,602,201</w:t>
            </w:r>
          </w:p>
        </w:tc>
      </w:tr>
      <w:tr>
        <w:trPr>
          <w:trHeight w:val="20"/>
        </w:trPr>
        <w:tc>
          <w:tcPr>
            <w:tcW w:w="686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line="207" w:lineRule="exact"/>
        <w:tabs>
          <w:tab w:leader="none" w:pos="480" w:val="left"/>
        </w:tabs>
        <w:rPr>
          <w:sz w:val="20"/>
          <w:szCs w:val="20"/>
          <w:color w:val="auto"/>
        </w:rPr>
      </w:pPr>
      <w:r>
        <w:rPr>
          <w:rFonts w:ascii="Arial" w:cs="Arial" w:eastAsia="Arial" w:hAnsi="Arial"/>
          <w:sz w:val="18"/>
          <w:szCs w:val="18"/>
          <w:b w:val="1"/>
          <w:bCs w:val="1"/>
          <w:color w:val="auto"/>
        </w:rPr>
        <w:t>(9)</w:t>
        <w:tab/>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has three active equity plans.</w:t>
      </w:r>
    </w:p>
    <w:p>
      <w:pPr>
        <w:spacing w:after="0" w:line="225" w:lineRule="exact"/>
        <w:rPr>
          <w:sz w:val="20"/>
          <w:szCs w:val="20"/>
          <w:color w:val="auto"/>
        </w:rPr>
      </w:pPr>
    </w:p>
    <w:p>
      <w:pPr>
        <w:ind w:right="20" w:firstLine="510"/>
        <w:spacing w:after="0" w:line="218" w:lineRule="exact"/>
        <w:rPr>
          <w:sz w:val="20"/>
          <w:szCs w:val="20"/>
          <w:color w:val="auto"/>
        </w:rPr>
      </w:pPr>
      <w:r>
        <w:rPr>
          <w:rFonts w:ascii="Arial" w:cs="Arial" w:eastAsia="Arial" w:hAnsi="Arial"/>
          <w:sz w:val="16"/>
          <w:szCs w:val="16"/>
          <w:color w:val="auto"/>
        </w:rPr>
        <w:t>The 2015 Equity Incentive Award Plan (2015 Plan) functions as the primary equity plan for the Company. The 2015 Plan includes an “evergreen provision” that allows for an annual increase in the number of shares of common stock available for issuance under the 2015 Plan, which annual increase will be added on the first day of each fiscal year from 2016 through 2025, inclusive, and will be equal to the lesser of (i) five percent of the shares outstanding on the last day of the immediately preceding fiscal year and (ii) such smaller number of shares as determined by the Board of Directors. On January 1, 2021, the Company added 1,909,163 shares to the 2015 Plan pursuant to the “evergreen provision”.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204"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2017 Stock Incentive Plan (the 2017 Plan) provides for the grant of incentive stock options, non-qualified stock options, restricted and unrestricted stock awards and other stock-based awards.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9"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2015 Employee Stock Purchase Plan (ESPP) allows eligible employees to purchase shares of the Company’s common stock at a discount through payroll deductions of up to 15% of their eligible compensation, subject to any plan limitations. The ESPP generally provides for set offering periods, and at the end of each offering period, employees are able to purchase shares at 85% of the lower of the fair market value of the Company’s common stock on the first trading day of the offering period or on the last trading day of the offering period. The Company suspended the ESPP in 2017. In December 2019, the Board reactivated the 2015 ESPP and approved an amendment to the ESPP to (i) reduce the permitted payroll deduction and number of shares of the Company’s common stock that a participant may purchase per calendar year and offering period under the ESPP and (ii) establish a period for enrollment for eligible participants. The reactivation of the 2015 ESPP was effective immediately. The Company’s executive officers are eligible to participate in the 2015 ESPP. The ESPP includes an “evergreen provision,” allowing for an annual increase in the number of shares of common stock available for issuance. On January 1, 2021, the Company added 381,832 shares to the ESPP pursuant to the “evergreen provision”. There were 42,653 shares of common stock purchased under the ESPP during the year ended December 31, 2021.</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weighted average assumptions used in the Black-Scholes option-pricing model for stock options issued to employees and non-employees under the 2015 Plan and the 2017 Plan, during the years ended December 31, 2021 and 2020 were:</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Employees:</w:t>
            </w:r>
          </w:p>
        </w:tc>
        <w:tc>
          <w:tcPr>
            <w:tcW w:w="272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040" w:type="dxa"/>
            <w:vAlign w:val="bottom"/>
            <w:tcBorders>
              <w:bottom w:val="single" w:sz="8" w:color="CFF0FC"/>
            </w:tcBorders>
            <w:vMerge w:val="continue"/>
          </w:tcPr>
          <w:p>
            <w:pPr>
              <w:spacing w:after="0"/>
              <w:rPr>
                <w:sz w:val="13"/>
                <w:szCs w:val="13"/>
                <w:color w:val="auto"/>
              </w:rPr>
            </w:pPr>
          </w:p>
        </w:tc>
        <w:tc>
          <w:tcPr>
            <w:tcW w:w="12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1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6.2 years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 years</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84.9%</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2015 and 2017 Plans.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5"/>
              </w:rPr>
              <w:t>Stock options outstanding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remaining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term</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price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3,343,836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2,215,796</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(139,772)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Cancelled/Forfeited</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(918,947)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4,500,913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December 31, 2021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4,500,913</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920" w:type="dxa"/>
            <w:vAlign w:val="bottom"/>
          </w:tcPr>
          <w:p>
            <w:pPr>
              <w:jc w:val="right"/>
              <w:spacing w:after="0"/>
              <w:rPr>
                <w:sz w:val="20"/>
                <w:szCs w:val="20"/>
                <w:color w:val="auto"/>
              </w:rPr>
            </w:pPr>
            <w:r>
              <w:rPr>
                <w:rFonts w:ascii="Arial" w:cs="Arial" w:eastAsia="Arial" w:hAnsi="Arial"/>
                <w:sz w:val="18"/>
                <w:szCs w:val="18"/>
                <w:color w:val="auto"/>
              </w:rPr>
              <w:t>2,032,515</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00" w:right="20" w:hanging="492"/>
        <w:spacing w:after="0" w:line="230" w:lineRule="auto"/>
        <w:tabs>
          <w:tab w:leader="none" w:pos="500" w:val="left"/>
        </w:tabs>
        <w:numPr>
          <w:ilvl w:val="0"/>
          <w:numId w:val="62"/>
        </w:numPr>
        <w:rPr>
          <w:rFonts w:ascii="Arial" w:cs="Arial" w:eastAsia="Arial" w:hAnsi="Arial"/>
          <w:sz w:val="23"/>
          <w:szCs w:val="23"/>
          <w:color w:val="auto"/>
          <w:vertAlign w:val="superscript"/>
        </w:rPr>
      </w:pPr>
      <w:r>
        <w:rPr>
          <w:rFonts w:ascii="Arial" w:cs="Arial" w:eastAsia="Arial" w:hAnsi="Arial"/>
          <w:sz w:val="14"/>
          <w:szCs w:val="14"/>
          <w:color w:val="auto"/>
        </w:rPr>
        <w:t>The aggregate intrinsic value is calculated as the difference between the exercise price of the options and the fair market value of the underlying common stock for the options that were in the money at December 31, 2021 and 2020. 1,210,026 and 970,826 options were in the money at December 31, 2021 and 2020, respectively.</w:t>
      </w:r>
    </w:p>
    <w:p>
      <w:pPr>
        <w:spacing w:after="0" w:line="209"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2021 and 2020 was approximately $2.42 and $1.27, respectively. The total fair value of awards that vested during the years ended December 31, 2021 and 2020 was $2.8 million and $3.4 million, respectively.</w:t>
      </w:r>
    </w:p>
    <w:p>
      <w:pPr>
        <w:spacing w:after="0" w:line="184"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As of December 31, 2021, there was approximately $5.2 million of unrecognized share-based compensation for unvested stock option grants which is expected to be recognized over a weighted average period of 2.6 years. The total unrecognized share-based compensation cost will be adjusted for actual forfeitures as they occur.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years ended December 31, 2021 and 2020, 242,454 and 226,335 shares of restricted common stock were granted, respectively.</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common stock activity:</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b w:val="1"/>
                <w:bCs w:val="1"/>
                <w:color w:val="auto"/>
              </w:rPr>
              <w:t>Restricted stock awards</w:t>
            </w:r>
          </w:p>
        </w:tc>
      </w:tr>
      <w:tr>
        <w:trPr>
          <w:trHeight w:val="133"/>
        </w:trPr>
        <w:tc>
          <w:tcPr>
            <w:tcW w:w="538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62"/>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grant date</w:t>
            </w:r>
          </w:p>
        </w:tc>
      </w:tr>
      <w:tr>
        <w:trPr>
          <w:trHeight w:val="162"/>
        </w:trPr>
        <w:tc>
          <w:tcPr>
            <w:tcW w:w="53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fair value</w:t>
            </w:r>
          </w:p>
        </w:tc>
      </w:tr>
      <w:tr>
        <w:trPr>
          <w:trHeight w:val="171"/>
        </w:trPr>
        <w:tc>
          <w:tcPr>
            <w:tcW w:w="53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(per share)</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242,454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(343,619)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(77,794)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299,248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total fair value of shares that vested during the years ended December 31, 2021 and 2020 was $0.8 million and $0.3 million, respectively.</w:t>
      </w:r>
    </w:p>
    <w:p>
      <w:pPr>
        <w:spacing w:after="0" w:line="23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As of December 31, 2021, there was approximately $0.7 million of unrecognized share-based compensation related to restricted stock awards granted, which is expected to be recognized over a weighted average period of 3.0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20" w:firstLine="510"/>
        <w:spacing w:after="0" w:line="342" w:lineRule="auto"/>
        <w:rPr>
          <w:sz w:val="20"/>
          <w:szCs w:val="20"/>
          <w:color w:val="auto"/>
        </w:rPr>
      </w:pPr>
      <w:r>
        <w:rPr>
          <w:rFonts w:ascii="Arial" w:cs="Arial" w:eastAsia="Arial" w:hAnsi="Arial"/>
          <w:sz w:val="16"/>
          <w:szCs w:val="16"/>
          <w:color w:val="auto"/>
        </w:rPr>
        <w:t>The ESPP is considered a compensatory plan with the related compensation expense recognized over the six-month offering periods. The compensation expense for the years ended December 31, 2021 and December 31, 2020 was $58,000 and $27,000,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520" w:firstLine="510"/>
        <w:spacing w:after="0" w:line="220" w:lineRule="exact"/>
        <w:rPr>
          <w:sz w:val="20"/>
          <w:szCs w:val="20"/>
          <w:color w:val="auto"/>
        </w:rPr>
      </w:pPr>
      <w:r>
        <w:rPr>
          <w:rFonts w:ascii="Arial" w:cs="Arial" w:eastAsia="Arial" w:hAnsi="Arial"/>
          <w:sz w:val="18"/>
          <w:szCs w:val="18"/>
          <w:color w:val="auto"/>
        </w:rPr>
        <w:t>The Company has recorded total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$3.4 million and $3.9 million, during the years ended December 31, 2021 and 2020, respectively. Equity compensation during the years ended December 31, 2021 and 2020 is derived from stock options, restricted stock awards, and the ESPP.</w:t>
      </w:r>
    </w:p>
    <w:p>
      <w:pPr>
        <w:spacing w:after="0" w:line="204" w:lineRule="exact"/>
        <w:rPr>
          <w:sz w:val="20"/>
          <w:szCs w:val="20"/>
          <w:color w:val="auto"/>
        </w:rPr>
      </w:pPr>
    </w:p>
    <w:p>
      <w:pPr>
        <w:ind w:right="108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years ended December 31, 2021 and 2020 (in thousands):</w:t>
      </w:r>
    </w:p>
    <w:p>
      <w:pPr>
        <w:spacing w:after="0" w:line="27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3660" w:type="dxa"/>
            <w:vAlign w:val="bottom"/>
            <w:tcBorders>
              <w:bottom w:val="single" w:sz="8" w:color="CFF0FC"/>
            </w:tcBorders>
          </w:tcPr>
          <w:p>
            <w:pPr>
              <w:spacing w:after="0"/>
              <w:rPr>
                <w:sz w:val="13"/>
                <w:szCs w:val="13"/>
                <w:color w:val="auto"/>
              </w:rPr>
            </w:pPr>
          </w:p>
        </w:tc>
        <w:tc>
          <w:tcPr>
            <w:tcW w:w="170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1,373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80" w:type="dxa"/>
            <w:vAlign w:val="bottom"/>
            <w:shd w:val="clear" w:color="auto" w:fill="CFF0FC"/>
          </w:tcPr>
          <w:p>
            <w:pPr>
              <w:spacing w:after="0"/>
              <w:rPr>
                <w:sz w:val="19"/>
                <w:szCs w:val="19"/>
                <w:color w:val="auto"/>
              </w:rPr>
            </w:pPr>
          </w:p>
        </w:tc>
      </w:tr>
      <w:tr>
        <w:trPr>
          <w:trHeight w:val="229"/>
        </w:trPr>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1,988</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Borders>
              <w:bottom w:val="single" w:sz="8" w:color="CFF0FC"/>
            </w:tcBorders>
          </w:tcPr>
          <w:p>
            <w:pPr>
              <w:spacing w:after="0"/>
              <w:rPr>
                <w:sz w:val="19"/>
                <w:szCs w:val="19"/>
                <w:color w:val="auto"/>
              </w:rPr>
            </w:pPr>
          </w:p>
        </w:tc>
      </w:tr>
      <w:tr>
        <w:trPr>
          <w:trHeight w:val="223"/>
        </w:trPr>
        <w:tc>
          <w:tcPr>
            <w:tcW w:w="36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3,361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years ended December 31, 2021 and 2020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0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720" w:type="dxa"/>
            <w:vAlign w:val="bottom"/>
            <w:tcBorders>
              <w:bottom w:val="single" w:sz="8" w:color="CFF0FC"/>
            </w:tcBorders>
          </w:tcPr>
          <w:p>
            <w:pPr>
              <w:spacing w:after="0"/>
              <w:rPr>
                <w:sz w:val="13"/>
                <w:szCs w:val="13"/>
                <w:color w:val="auto"/>
              </w:rPr>
            </w:pPr>
          </w:p>
        </w:tc>
        <w:tc>
          <w:tcPr>
            <w:tcW w:w="264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6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2,969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2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6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3,361</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340" w:type="dxa"/>
            <w:vAlign w:val="bottom"/>
            <w:gridSpan w:val="2"/>
          </w:tcPr>
          <w:p>
            <w:pPr>
              <w:jc w:val="right"/>
              <w:ind w:right="1887"/>
              <w:spacing w:after="0"/>
              <w:rPr>
                <w:sz w:val="20"/>
                <w:szCs w:val="20"/>
                <w:color w:val="auto"/>
              </w:rPr>
            </w:pPr>
            <w:r>
              <w:rPr>
                <w:rFonts w:ascii="Arial" w:cs="Arial" w:eastAsia="Arial" w:hAnsi="Arial"/>
                <w:sz w:val="18"/>
                <w:szCs w:val="18"/>
                <w:color w:val="auto"/>
              </w:rPr>
              <w:t>F-20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87"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31"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 medicines for addressing an undisclosed novel target for the treatment of inflammatory bowel disease (the Product Candidate).</w:t>
      </w:r>
    </w:p>
    <w:p>
      <w:pPr>
        <w:spacing w:after="0" w:line="19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Pursuant to the Roche Collaboration and Option Agreement, Roche agreed to pay the Company, an upfront, nonrefundable technology access fee of $1.0 million, which the Company received in July 2021. In addition, the Company is eligible to receive up to $5.0 million in milestone payments upon the achievement of certain success criteria. Following the research period, Roche holds an exclusive option right (the Option) to negotiate a definitive Collaboration and License Agreement (CLA) for further development and commercialization of the Product Candidate.</w:t>
      </w:r>
    </w:p>
    <w:p>
      <w:pPr>
        <w:spacing w:after="0" w:line="198"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(JRC) to oversee and manage the execution of the underlying study plan for the Roche Collaboration and Option Agreement.</w:t>
      </w:r>
    </w:p>
    <w:p>
      <w:pPr>
        <w:spacing w:after="0" w:line="184"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the Company. Either party may terminate the Roche Collaboration and Option Agreement in the event of an uncured material breach of the other party.</w:t>
      </w:r>
    </w:p>
    <w:p>
      <w:pPr>
        <w:spacing w:after="0" w:line="198"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research and development will be performed by the Company for approximately 12 to 18 months according to three phases of research as defined in the research plan. The Company is eligible to receive milestone payments from Roche upon the achievement of success criteria for respective milestones.</w:t>
      </w:r>
    </w:p>
    <w:p>
      <w:pPr>
        <w:spacing w:after="0" w:line="211"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 xml:space="preserve">The Company assessed this arrangement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concluded that the contract counterparty, Roche, is a customer. The Company identified the following material promises made by the Company to Roche at the outset of the arrangement: (1) a non-exclusive royalty-free research and development license; (2) research and development services for pre-clinical activities under the research plan; (3) implicit renewal options created by Roche’s decision not to terminate the contract; (4) the Company’s participation on the JRC; and (5) an exclusive right to negotiate a definitive CLA for further development and commercialization of the Product Candidate. The Company determined</w:t>
      </w:r>
    </w:p>
    <w:p>
      <w:pPr>
        <w:spacing w:after="0" w:line="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that the license and research and development activities were not distinct from one another, as the license has limited value without the performance of research and development activities. The Company’s participation on the JRC was determined to be quantitatively and qualitatively immaterial and therefore is excluded from performance obligations. As such, the Company determined that the promises associated with the license and research and development services should be combined into a single performance obligation.</w:t>
      </w:r>
    </w:p>
    <w:p>
      <w:pPr>
        <w:spacing w:after="0" w:line="22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next evaluated the milestone payments relating to the three phases of research as defined in the research plan and the option to negotiate and enter into the CLA, to determine whether they provide Roche with any material rights. The Company concluded that the option was not issued at a significant and incremental discount, and therefore do not provide material rights. As such, they were excluded as performance obligations at the outset of the arrangement. If Roche elects to exercise the options, the additional consideration will be added to the transaction price and allocated to the resulting performance obligations.</w:t>
      </w:r>
    </w:p>
    <w:p>
      <w:pPr>
        <w:spacing w:after="0" w:line="21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Collaboration and Option Agreement, which consists of: (1) the non-exclusive license and (2) the research and development activities.</w:t>
      </w:r>
    </w:p>
    <w:p>
      <w:pPr>
        <w:spacing w:after="0" w:line="19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At the outset of the arrangement, the transaction price included only the $1.0 million up-front consideration received and which was allocated to the single performance obligation. The milestone payments that may be received are excluded from the transaction price until each respective milestone has been achieved. The Company will reevaluate the transaction price at the end of each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reporting period and as uncertain events are resolved or other changes in circumstances occur, and, if necessary, adjust its estimate of the transaction price.</w:t>
      </w:r>
    </w:p>
    <w:p>
      <w:pPr>
        <w:spacing w:after="0" w:line="27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June 2021, the Company began work on the research and development services for the first phase of the research plan and the $1.0 million upfront payment is being recognized over the time of the first phase of the research plan. In September 2021, the Company completed the research and development services for the first phase of the research plan and achieved a milestone payment of $1.0 million, which was paid by Roche in November 2021. At this time, the milestone payment was allocated to a new performance obligation consisting of the underlying research and development services to be performed over the second phase of the research plan. Upon the Company’s completion of these activities and subject to Roche’s termination right, the additional milestone payments based on the achievement of specific events outlined in the Roche Collaboration and Option Agreement will become due.</w:t>
      </w:r>
    </w:p>
    <w:p>
      <w:pPr>
        <w:spacing w:after="0" w:line="19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Revenue associated with performance obligations under the Roche Collaboration and Option Agreement are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98"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Company recognized $1.5 million for the year ended December 31, 2021 as collaboration revenue in the Company’s consolidated statements of operations and comprehensive loss. Deferred revenue from the collaboration amounted to $0.5 million as of December 31, 2021, all of which is included in current liabilities.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2017, the Company established a technology collaboration with Ginkgo. In June 2019, in connection with the issuance to Ginkgo of an aggregate of 6,340,771 shares of common stock and Pre-Funded Warrants to purchase an aggregate of 2,548,117 common stock (See Note 8), the Company expanded its collaboration and entered into an agreement with Ginkgo for the research and development of engineered microbial therapeutic products.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December 31, 2020 consolidated balance sheet. At December 31, 2021, the Company had remaining balances of $1.9 million and $9.3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31" w:lineRule="exact"/>
        <w:rPr>
          <w:sz w:val="20"/>
          <w:szCs w:val="20"/>
          <w:color w:val="auto"/>
        </w:rPr>
      </w:pPr>
    </w:p>
    <w:p>
      <w:pPr>
        <w:jc w:val="both"/>
        <w:ind w:right="200" w:firstLine="510"/>
        <w:spacing w:after="0" w:line="301" w:lineRule="auto"/>
        <w:rPr>
          <w:sz w:val="20"/>
          <w:szCs w:val="20"/>
          <w:color w:val="auto"/>
        </w:rPr>
      </w:pPr>
      <w:r>
        <w:rPr>
          <w:rFonts w:ascii="Arial" w:cs="Arial" w:eastAsia="Arial" w:hAnsi="Arial"/>
          <w:sz w:val="16"/>
          <w:szCs w:val="16"/>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 engineering, quantitative biology, regulatory, and manufacturing to expand our wholly owned GI-based program portfolio to include IBD. We further regained the rights to partner these IBD programs.</w:t>
      </w:r>
    </w:p>
    <w:p>
      <w:pPr>
        <w:spacing w:after="0" w:line="15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Company recognized the remainder of the deferred revenue when the agreement was terminated in 2020. For the year ended December 31, 2020, $0.5 million was recognized for services performed and payments received under the AbbVie collaboration.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9"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computation of basic and diluted net loss per share (in thousands, except for share and per share amounts):</w:t>
      </w:r>
    </w:p>
    <w:p>
      <w:pPr>
        <w:spacing w:after="0" w:line="25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69"/>
        </w:trPr>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(60,561)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(59,173)</w:t>
            </w:r>
          </w:p>
        </w:tc>
      </w:tr>
      <w:tr>
        <w:trPr>
          <w:trHeight w:val="210"/>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7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7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72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55,329,711</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35,835,744</w:t>
            </w:r>
          </w:p>
        </w:tc>
        <w:tc>
          <w:tcPr>
            <w:tcW w:w="80" w:type="dxa"/>
            <w:vAlign w:val="bottom"/>
            <w:tcBorders>
              <w:bottom w:val="single" w:sz="8" w:color="CFF0FC"/>
            </w:tcBorders>
          </w:tcPr>
          <w:p>
            <w:pPr>
              <w:spacing w:after="0"/>
              <w:rPr>
                <w:sz w:val="23"/>
                <w:szCs w:val="23"/>
                <w:color w:val="auto"/>
              </w:rPr>
            </w:pPr>
          </w:p>
        </w:tc>
      </w:tr>
      <w:tr>
        <w:trPr>
          <w:trHeight w:val="210"/>
        </w:trPr>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7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Company’s potentially dilutive shares, which include outstanding stock options, unvested restricted common stock and potential shares issuable under the ESPP, are considered to be common share equivalents and are only included in the calculation of diluted net loss per share when their effect is dilutive.</w:t>
      </w:r>
    </w:p>
    <w:p>
      <w:pPr>
        <w:spacing w:after="0" w:line="184"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4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80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618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299,248</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240" w:type="dxa"/>
            <w:vAlign w:val="bottom"/>
          </w:tcPr>
          <w:p>
            <w:pPr>
              <w:jc w:val="right"/>
              <w:spacing w:after="0"/>
              <w:rPr>
                <w:sz w:val="20"/>
                <w:szCs w:val="20"/>
                <w:color w:val="auto"/>
              </w:rPr>
            </w:pPr>
            <w:r>
              <w:rPr>
                <w:rFonts w:ascii="Arial" w:cs="Arial" w:eastAsia="Arial" w:hAnsi="Arial"/>
                <w:sz w:val="18"/>
                <w:szCs w:val="18"/>
                <w:color w:val="auto"/>
              </w:rPr>
              <w:t>4,500,913</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3,343,836</w:t>
            </w: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Potential shares issuable under the ESPP</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21,569</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12,037</w:t>
            </w:r>
          </w:p>
        </w:tc>
        <w:tc>
          <w:tcPr>
            <w:tcW w:w="80" w:type="dxa"/>
            <w:vAlign w:val="bottom"/>
            <w:shd w:val="clear" w:color="auto" w:fill="CFF0FC"/>
          </w:tcPr>
          <w:p>
            <w:pPr>
              <w:spacing w:after="0"/>
              <w:rPr>
                <w:sz w:val="19"/>
                <w:szCs w:val="19"/>
                <w:color w:val="auto"/>
              </w:rPr>
            </w:pPr>
          </w:p>
        </w:tc>
      </w:tr>
    </w:tbl>
    <w:p>
      <w:pPr>
        <w:spacing w:after="0" w:line="346"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During the years ended December 31, 2021 and 2020, the Company recorded no income tax benefits for the net operating losses incurred due to its uncertainty of reclaiming a benefit for those losses.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consist of the following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9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76,802</w:t>
            </w:r>
          </w:p>
        </w:tc>
        <w:tc>
          <w:tcPr>
            <w:tcW w:w="140" w:type="dxa"/>
            <w:vAlign w:val="bottom"/>
          </w:tcPr>
          <w:p>
            <w:pPr>
              <w:spacing w:after="0"/>
              <w:rPr>
                <w:sz w:val="19"/>
                <w:szCs w:val="19"/>
                <w:color w:val="auto"/>
              </w:rPr>
            </w:pP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61,181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2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w:t>
            </w:r>
          </w:p>
        </w:tc>
        <w:tc>
          <w:tcPr>
            <w:tcW w:w="2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compensation</w:t>
            </w:r>
          </w:p>
        </w:tc>
        <w:tc>
          <w:tcPr>
            <w:tcW w:w="2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Amortizable intangibles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6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460" w:type="dxa"/>
            <w:vAlign w:val="bottom"/>
          </w:tcPr>
          <w:p>
            <w:pPr>
              <w:ind w:left="480"/>
              <w:spacing w:after="0"/>
              <w:rPr>
                <w:sz w:val="20"/>
                <w:szCs w:val="20"/>
                <w:color w:val="auto"/>
              </w:rPr>
            </w:pPr>
            <w:r>
              <w:rPr>
                <w:rFonts w:ascii="Arial" w:cs="Arial" w:eastAsia="Arial" w:hAnsi="Arial"/>
                <w:sz w:val="18"/>
                <w:szCs w:val="18"/>
                <w:color w:val="auto"/>
              </w:rPr>
              <w:t>Gross deferred tax assets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94,271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77,033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(4,242)</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Gross deferred tax liabilities</w:t>
            </w:r>
          </w:p>
        </w:tc>
        <w:tc>
          <w:tcPr>
            <w:tcW w:w="26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Valuation allowance</w:t>
            </w:r>
          </w:p>
        </w:tc>
        <w:tc>
          <w:tcPr>
            <w:tcW w:w="2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(90,477)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(72,791)</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4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deferred tax assets</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2"/>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60" w:type="dxa"/>
            <w:vAlign w:val="bottom"/>
            <w:gridSpan w:val="2"/>
          </w:tcPr>
          <w:p>
            <w:pPr>
              <w:jc w:val="right"/>
              <w:ind w:right="1687"/>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8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the Company’s deferred tax assets, which are comprised principally of net operating loss carryforwards, and determined that it is more likely than not that the Company will not recognize the benefits of the deferred tax assets. As a result, a full valuation allowance of approximately $90.5 million and $72.8 million was established at December 31, 2021 and 2020,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statutory federal income tax rate to the Company’s effective income tax rate is as follows:</w:t>
      </w:r>
    </w:p>
    <w:p>
      <w:pPr>
        <w:spacing w:after="0" w:line="244"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59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208"/>
              <w:spacing w:after="0" w:line="155" w:lineRule="exact"/>
              <w:rPr>
                <w:sz w:val="20"/>
                <w:szCs w:val="20"/>
                <w:color w:val="auto"/>
              </w:rPr>
            </w:pPr>
            <w:r>
              <w:rPr>
                <w:rFonts w:ascii="Arial" w:cs="Arial" w:eastAsia="Arial" w:hAnsi="Arial"/>
                <w:sz w:val="14"/>
                <w:szCs w:val="14"/>
                <w:b w:val="1"/>
                <w:bCs w:val="1"/>
                <w:color w:val="auto"/>
                <w:w w:val="95"/>
              </w:rPr>
              <w:t>Tax Rate</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Tax Rate</w:t>
            </w:r>
          </w:p>
        </w:tc>
        <w:tc>
          <w:tcPr>
            <w:tcW w:w="24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9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r>
      <w:tr>
        <w:trPr>
          <w:trHeight w:val="229"/>
        </w:trPr>
        <w:tc>
          <w:tcPr>
            <w:tcW w:w="686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r>
      <w:tr>
        <w:trPr>
          <w:trHeight w:val="230"/>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permanent differences</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6860" w:type="dxa"/>
            <w:vAlign w:val="bottom"/>
            <w:gridSpan w:val="2"/>
          </w:tcPr>
          <w:p>
            <w:pPr>
              <w:spacing w:after="0"/>
              <w:rPr>
                <w:sz w:val="20"/>
                <w:szCs w:val="20"/>
                <w:color w:val="auto"/>
              </w:rPr>
            </w:pPr>
            <w:r>
              <w:rPr>
                <w:rFonts w:ascii="Arial" w:cs="Arial" w:eastAsia="Arial" w:hAnsi="Arial"/>
                <w:sz w:val="18"/>
                <w:szCs w:val="18"/>
                <w:color w:val="auto"/>
              </w:rPr>
              <w:t>Tax credits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items</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r>
      <w:tr>
        <w:trPr>
          <w:trHeight w:val="229"/>
        </w:trPr>
        <w:tc>
          <w:tcPr>
            <w:tcW w:w="6860" w:type="dxa"/>
            <w:vAlign w:val="bottom"/>
            <w:gridSpan w:val="2"/>
          </w:tcPr>
          <w:p>
            <w:pPr>
              <w:spacing w:after="0"/>
              <w:rPr>
                <w:sz w:val="20"/>
                <w:szCs w:val="20"/>
                <w:color w:val="auto"/>
              </w:rPr>
            </w:pPr>
            <w:r>
              <w:rPr>
                <w:rFonts w:ascii="Arial" w:cs="Arial" w:eastAsia="Arial" w:hAnsi="Arial"/>
                <w:sz w:val="18"/>
                <w:szCs w:val="18"/>
                <w:color w:val="auto"/>
              </w:rPr>
              <w:t>Net change in valuation allowance</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valuation allowance for the years ended December 31, 2021 and 2020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61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83"/>
              </w:rPr>
              <w:t>(72,791)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0"/>
              </w:rPr>
              <w:t>(53,834)</w:t>
            </w:r>
          </w:p>
        </w:tc>
        <w:tc>
          <w:tcPr>
            <w:tcW w:w="100" w:type="dxa"/>
            <w:vAlign w:val="bottom"/>
            <w:shd w:val="clear" w:color="auto" w:fill="CFF0FC"/>
          </w:tcPr>
          <w:p>
            <w:pPr>
              <w:spacing w:after="0"/>
              <w:rPr>
                <w:sz w:val="19"/>
                <w:szCs w:val="19"/>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28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(17,686)</w:t>
            </w:r>
          </w:p>
        </w:tc>
        <w:tc>
          <w:tcPr>
            <w:tcW w:w="280" w:type="dxa"/>
            <w:vAlign w:val="bottom"/>
          </w:tcPr>
          <w:p>
            <w:pPr>
              <w:spacing w:after="0"/>
              <w:rPr>
                <w:sz w:val="19"/>
                <w:szCs w:val="19"/>
                <w:color w:val="auto"/>
              </w:rPr>
            </w:pP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w w:val="95"/>
              </w:rPr>
              <w:t>(18,957)</w:t>
            </w:r>
          </w:p>
        </w:tc>
      </w:tr>
      <w:tr>
        <w:trPr>
          <w:trHeight w:val="223"/>
        </w:trPr>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83"/>
              </w:rPr>
              <w:t>(90,477)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0"/>
              </w:rPr>
              <w:t>(72,791)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As of December 31, 2021 and 2020, the Company had federal net operating loss carryforwards that may be available to reduce future taxable income of $284.3 million and $227.0 million, respectively. Of the $284.3 million of federal net operating loss carryforwards, $79.4 million will expire on various dates from 2034 to 2037. The remaining $204.9 million of federal net operating loss carryforwards do not expire. The Company also had state net operating loss carryforwards that may be available to reduce future taxable income of $270.7 million and $213.6 million, for the periods ended December 31, 2021 and 2020, respectively. The state net operating loss carryforwards begin to expire in 2029. In addition, at December 31, 2021, the Company had federal and state research and development tax credit carryforwards available to reduce future tax liabilities of $4.5 million and $2.9 million, respectively.</w:t>
      </w:r>
    </w:p>
    <w:p>
      <w:pPr>
        <w:spacing w:after="0" w:line="164"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Pursuant to Section 382 of the Internal Revenue Code of 1986 (IRC), certain substantial changes in the Company’s ownership may result in a limitation on the amount of net operating loss (NOL) carryforwards and research and development credit (R&amp;D credit) carryforwards that may be used in future years. Utilization of the NOL and R&amp;D credit carryforwards may be subject to a substantial annual limitation under Section 382 of the IRC due to ownership change limitations that have occurred previously or that could occur in the future. These ownership changes may limit the amount of NOL and R&amp;D credit carryforwards that can be utilized annually to offset future taxable income and tax. The Company has not completed a study to assess whether an ownership change has occurred, or whether there have been multiple ownership changes since its formation, due to the significant complexity and related costs associated with such a study. There could be additional ownership changes in the future that may result in additional limitations on the utilization of NOL carryforwards and credits.</w:t>
      </w:r>
    </w:p>
    <w:p>
      <w:pPr>
        <w:spacing w:after="0" w:line="178"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The Company is required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not recognized any liability for unrecognized tax benefits as of December 31, 2021. The Company’s policy is to record interest and penalties related to unrecognized tax benefits on the income tax expense line in the consolidated statement of operations. There are no interest or penalties accrued at December 31, 2021 and 2020.</w:t>
      </w:r>
    </w:p>
    <w:p>
      <w:pPr>
        <w:spacing w:after="0" w:line="164"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The Company files tax returns, on an entity-level basis, as prescribed by the tax laws of the jurisdictions in which it operates. In the normal course of business, the Company is subject to examination by federal and state jurisdictions, where applicable. There are currently no pending tax examinations. Tax years from 2018 to the present are open to examination under the statute. The Company’s net operating losses and other attributes generated in a closed tax year may still be adjusted to determine the amount of carryforward deduction available in an open year under examination.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In July 2017, the Company entered into an agreement to lease approximately 41,346 square feet of laboratory and office space at 301 Binney Street in Cambridge, Massachusetts. Annual rent is approximately $3.4 million. The ten-year lease commenced in January 2018 and contains provisions for a free-rent period, annual rent increases and an allowance for tenant improvements. The Company is responsible for real estate taxes, maintenance, and other operating expenses applicable to the leased premises. The Company has paid for tenant improvements of approximately $2.9 million. Additionally, the Company has capitalized approximately $6.6 million of landlord-funded tenant improvements. The Company was deemed to be the accounting owner of the tenant improvements primarily because it was responsible for project cost overruns, and as such, the amounts were recorded as a leasehold improvement. The landlord-funded tenant improvement allowance is being amortized as a reduction to lease expense ratably over the lease term. In conjunction with the lease, the Company established a letter of credit of approximately $1.0 million secured by cash balances included in restricted cash. Variable payments based on our portion of the operating expenses, including real estate taxes and insurance, are recorded as a period expense when incurred. The Company has an option to extend the term by five years and an option to terminate the agreement if a similar agreement is executed with the landlord or an affiliate of the landlord. Neither option is reasonably certain of exercise and both are excluded from the lease liability calculation.</w:t>
      </w:r>
    </w:p>
    <w:p>
      <w:pPr>
        <w:spacing w:after="0" w:line="172"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 xml:space="preserve">During the year ended December 31, 2018, the Company entered into an agreement (the First SOW) with Azzur Group, LLC (Azzur) whereby Azzur agreed to provide the Company with access to, and the use of, an approximately 700 square foot cleanroom space to be constructed in Waltham, Massachusetts (the Azzur Suite), for a period of 44 months, from May 1, 2019 to December 31, 2022 (the Initial Term). </w:t>
      </w:r>
      <w:r>
        <w:rPr>
          <w:rFonts w:ascii="Arial" w:cs="Arial" w:eastAsia="Arial" w:hAnsi="Arial"/>
          <w:sz w:val="16"/>
          <w:szCs w:val="16"/>
          <w:color w:val="333333"/>
        </w:rPr>
        <w:t>In April 2021, Synlogic entered</w:t>
      </w:r>
      <w:r>
        <w:rPr>
          <w:rFonts w:ascii="Arial" w:cs="Arial" w:eastAsia="Arial" w:hAnsi="Arial"/>
          <w:sz w:val="16"/>
          <w:szCs w:val="16"/>
          <w:color w:val="auto"/>
        </w:rPr>
        <w:t xml:space="preserve"> </w:t>
      </w:r>
      <w:r>
        <w:rPr>
          <w:rFonts w:ascii="Arial" w:cs="Arial" w:eastAsia="Arial" w:hAnsi="Arial"/>
          <w:sz w:val="16"/>
          <w:szCs w:val="16"/>
          <w:color w:val="333333"/>
        </w:rPr>
        <w:t xml:space="preserve">into a new agreement (the Second SOW) with Azzur which replaced the First SOW. Pursuant to the Second SOW, Synlogic was granted access to, and use of, the Azzur Suite for a period of 20 months, from May 2021 to December 2022 (the Second Term). </w:t>
      </w:r>
      <w:r>
        <w:rPr>
          <w:rFonts w:ascii="Arial" w:cs="Arial" w:eastAsia="Arial" w:hAnsi="Arial"/>
          <w:sz w:val="16"/>
          <w:szCs w:val="16"/>
          <w:color w:val="000000"/>
        </w:rPr>
        <w:t>The Company determined that</w:t>
      </w:r>
    </w:p>
    <w:p>
      <w:pPr>
        <w:spacing w:after="0" w:line="2"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the agreement contained an embedded lease because the Company controls the use of the Azzur Suite. Accordingly, the fixed and in-substance fixed consideration under the agreement was used to remeasure the ROU asset and lease liability at the effective date of the Second SOW.</w:t>
      </w:r>
    </w:p>
    <w:p>
      <w:pPr>
        <w:spacing w:after="0" w:line="138"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Leases classified as operating leases are included in operating lease ROU assets, current operating lease liabilities and noncurrent operating lease liabilities in our consolidated balance sheets. The operating lease right-of-use asset and operating lease liability represents the Binney Street lease and the Azzur Suite lease. Cash paid for amounts included in the present value of operating lease liabilities was $4.4 and $3.9 million during the years ended December 31, 2021 and 2020, respectively, which is included in operating cash flows.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cost for operating leases for the years ended December 31, 2021 and 2020 were (in thousands):</w:t>
      </w: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186"/>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Operating leases</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15"/>
        </w:trPr>
        <w:tc>
          <w:tcPr>
            <w:tcW w:w="2380" w:type="dxa"/>
            <w:vAlign w:val="bottom"/>
            <w:tcBorders>
              <w:bottom w:val="single" w:sz="8" w:color="CFF0FC"/>
            </w:tcBorders>
            <w:vMerge w:val="continue"/>
          </w:tcPr>
          <w:p>
            <w:pPr>
              <w:spacing w:after="0"/>
              <w:rPr>
                <w:sz w:val="18"/>
                <w:szCs w:val="18"/>
                <w:color w:val="auto"/>
              </w:rPr>
            </w:pPr>
          </w:p>
        </w:tc>
        <w:tc>
          <w:tcPr>
            <w:tcW w:w="9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right-of-use asset for the operating lease is disclosed on the consolidated balance sheets.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lease term and the weighted average discount rate for operating leases were: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For the year ended December 31,</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4"/>
        </w:trPr>
        <w:tc>
          <w:tcPr>
            <w:tcW w:w="580" w:type="dxa"/>
            <w:vAlign w:val="bottom"/>
          </w:tcPr>
          <w:p>
            <w:pPr>
              <w:spacing w:after="0"/>
              <w:rPr>
                <w:sz w:val="18"/>
                <w:szCs w:val="18"/>
                <w:color w:val="auto"/>
              </w:rPr>
            </w:pPr>
          </w:p>
        </w:tc>
        <w:tc>
          <w:tcPr>
            <w:tcW w:w="6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jc w:val="right"/>
              <w:ind w:right="81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20" w:type="dxa"/>
            <w:vAlign w:val="bottom"/>
            <w:tcBorders>
              <w:top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6380" w:type="dxa"/>
            <w:vAlign w:val="bottom"/>
            <w:gridSpan w:val="2"/>
          </w:tcPr>
          <w:p>
            <w:pPr>
              <w:ind w:left="4880"/>
              <w:spacing w:after="0"/>
              <w:rPr>
                <w:sz w:val="20"/>
                <w:szCs w:val="20"/>
                <w:color w:val="auto"/>
              </w:rPr>
            </w:pPr>
            <w:r>
              <w:rPr>
                <w:rFonts w:ascii="Arial" w:cs="Arial" w:eastAsia="Arial" w:hAnsi="Arial"/>
                <w:sz w:val="18"/>
                <w:szCs w:val="18"/>
                <w:color w:val="auto"/>
              </w:rPr>
              <w:t>F-25</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83"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table reconciles the undiscounted cash flows for the operating leases at December 31, 2021 to the operating lease liabilities recorded on the balance sheet: December 31, 2021</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60" w:type="dxa"/>
            <w:vAlign w:val="bottom"/>
          </w:tcPr>
          <w:p>
            <w:pPr>
              <w:spacing w:after="0"/>
              <w:rPr>
                <w:sz w:val="20"/>
                <w:szCs w:val="20"/>
                <w:color w:val="auto"/>
              </w:rPr>
            </w:pPr>
            <w:r>
              <w:rPr>
                <w:rFonts w:ascii="Arial" w:cs="Arial" w:eastAsia="Arial" w:hAnsi="Arial"/>
                <w:sz w:val="14"/>
                <w:szCs w:val="14"/>
                <w:b w:val="1"/>
                <w:bCs w:val="1"/>
                <w:color w:val="auto"/>
              </w:rPr>
              <w:t>Maturity of lease liabilities</w:t>
            </w:r>
          </w:p>
        </w:tc>
        <w:tc>
          <w:tcPr>
            <w:tcW w:w="600" w:type="dxa"/>
            <w:vAlign w:val="bottom"/>
          </w:tcPr>
          <w:p>
            <w:pPr>
              <w:spacing w:after="0"/>
              <w:rPr>
                <w:sz w:val="14"/>
                <w:szCs w:val="14"/>
                <w:color w:val="auto"/>
              </w:rPr>
            </w:pPr>
          </w:p>
        </w:tc>
        <w:tc>
          <w:tcPr>
            <w:tcW w:w="2840" w:type="dxa"/>
            <w:vAlign w:val="bottom"/>
            <w:gridSpan w:val="2"/>
          </w:tcPr>
          <w:p>
            <w:pPr>
              <w:ind w:left="520"/>
              <w:spacing w:after="0"/>
              <w:rPr>
                <w:sz w:val="20"/>
                <w:szCs w:val="20"/>
                <w:color w:val="auto"/>
              </w:rPr>
            </w:pPr>
            <w:r>
              <w:rPr>
                <w:rFonts w:ascii="Arial" w:cs="Arial" w:eastAsia="Arial" w:hAnsi="Arial"/>
                <w:sz w:val="14"/>
                <w:szCs w:val="14"/>
                <w:b w:val="1"/>
                <w:bCs w:val="1"/>
                <w:color w:val="auto"/>
              </w:rPr>
              <w:t>Operating Leases</w:t>
            </w:r>
          </w:p>
        </w:tc>
      </w:tr>
      <w:tr>
        <w:trPr>
          <w:trHeight w:val="155"/>
        </w:trPr>
        <w:tc>
          <w:tcPr>
            <w:tcW w:w="666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2720" w:type="dxa"/>
            <w:vAlign w:val="bottom"/>
            <w:tcBorders>
              <w:top w:val="single" w:sz="8" w:color="auto"/>
              <w:bottom w:val="single" w:sz="8" w:color="auto"/>
            </w:tcBorders>
          </w:tcPr>
          <w:p>
            <w:pPr>
              <w:jc w:val="right"/>
              <w:ind w:right="1133"/>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FF0FC"/>
            </w:tcBorders>
          </w:tcPr>
          <w:p>
            <w:pPr>
              <w:spacing w:after="0"/>
              <w:rPr>
                <w:sz w:val="13"/>
                <w:szCs w:val="13"/>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4,691</w:t>
            </w:r>
          </w:p>
        </w:tc>
        <w:tc>
          <w:tcPr>
            <w:tcW w:w="12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12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2025</w:t>
            </w:r>
          </w:p>
        </w:tc>
        <w:tc>
          <w:tcPr>
            <w:tcW w:w="6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2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26,331</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2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liabilities</w:t>
            </w: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20,563</w:t>
            </w:r>
          </w:p>
        </w:tc>
        <w:tc>
          <w:tcPr>
            <w:tcW w:w="120" w:type="dxa"/>
            <w:vAlign w:val="bottom"/>
            <w:shd w:val="clear" w:color="auto" w:fill="CFF0FC"/>
          </w:tcPr>
          <w:p>
            <w:pPr>
              <w:spacing w:after="0"/>
              <w:rPr>
                <w:sz w:val="19"/>
                <w:szCs w:val="19"/>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Current lease liabilities</w:t>
            </w:r>
          </w:p>
        </w:tc>
        <w:tc>
          <w:tcPr>
            <w:tcW w:w="60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Pr>
          <w:p>
            <w:pPr>
              <w:spacing w:after="0"/>
              <w:rPr>
                <w:sz w:val="19"/>
                <w:szCs w:val="19"/>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600" w:type="dxa"/>
            <w:vAlign w:val="bottom"/>
            <w:shd w:val="clear" w:color="auto" w:fill="CFF0FC"/>
          </w:tcPr>
          <w:p>
            <w:pPr>
              <w:spacing w:after="0"/>
              <w:rPr>
                <w:sz w:val="19"/>
                <w:szCs w:val="19"/>
                <w:color w:val="auto"/>
              </w:rPr>
            </w:pPr>
          </w:p>
        </w:tc>
        <w:tc>
          <w:tcPr>
            <w:tcW w:w="2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17,372</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lease cost for finance leases during the years ended December 31, 2021 and 2020, and the finance lease liability at December 31, 2021, were not material.</w:t>
      </w:r>
    </w:p>
    <w:p>
      <w:pPr>
        <w:spacing w:after="0" w:line="99"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91"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has a defined contribution 401(k) plan for eligible employees. Employees are eligible to participate in the plan beginning on their date of hire. Under the terms of the plan, employees may make voluntary contributions as a percentage of compensation. The Company started to match employee contributions effective January 1, 2019. The Company matched 50% of the employee contributions to the 401(k) plan up to a maximum of 4% of the participating employee’s eligible earnings, resulting in a maximum company match of 2% of the participating employee’s eligible earnings, and subject to certain additional statutory dollar limitations. In 2021, the Company increased the match to 50% of the employee contributions up to a maximum of 6% of the participating employee’s eligible earnings, resulting in a maximum company match of 3% of the participating employee’s eligible earnings, and subject to certain additional statutory dollar limitations. For the years ended December 31, 2021 and 2020, the Company made $276,000 and $229,000 contributions the plan,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8"/>
          <w:szCs w:val="18"/>
          <w:b w:val="1"/>
          <w:bCs w:val="1"/>
          <w:color w:val="auto"/>
        </w:rPr>
        <w:t>SYNLOGIC, INC. AND SUBSIDIARIES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9"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 xml:space="preserve">In June 2019, the Company expanded its collaboration and entered into an agreement with Ginkgo for the research and development of engineered microbial therapeutic products. As of December 31, 2020, Ginkgo owns 6,340,771 shares of the Company’s outstanding common stock. See Note 10, </w:t>
      </w:r>
      <w:r>
        <w:rPr>
          <w:rFonts w:ascii="Arial" w:cs="Arial" w:eastAsia="Arial" w:hAnsi="Arial"/>
          <w:sz w:val="18"/>
          <w:szCs w:val="18"/>
          <w:i w:val="1"/>
          <w:iCs w:val="1"/>
          <w:color w:val="auto"/>
        </w:rPr>
        <w:t>Collaboration Agreements</w:t>
      </w:r>
      <w:r>
        <w:rPr>
          <w:rFonts w:ascii="Arial" w:cs="Arial" w:eastAsia="Arial" w:hAnsi="Arial"/>
          <w:sz w:val="18"/>
          <w:szCs w:val="18"/>
          <w:color w:val="auto"/>
        </w:rPr>
        <w:t>:</w:t>
      </w:r>
      <w:r>
        <w:rPr>
          <w:rFonts w:ascii="Arial" w:cs="Arial" w:eastAsia="Arial" w:hAnsi="Arial"/>
          <w:sz w:val="18"/>
          <w:szCs w:val="18"/>
          <w:i w:val="1"/>
          <w:iCs w:val="1"/>
          <w:color w:val="auto"/>
        </w:rPr>
        <w:t xml:space="preserve"> Ginkgo Collaboration.</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Under the agreement the Company made a prepayment to Ginkgo of $30.0 million for its foundry services that will be provided to the Company over an initial term of five years. At December 31, 2021, the Company had remaining balances of $1.9 million and $9.3 million of current and non-current pre-paid research and development costs related to this transaction, respectively. For the year ended December 31, 2021, the Company used $2.4 million of the pre-paid research and development expenses.</w:t>
      </w:r>
    </w:p>
    <w:p>
      <w:pPr>
        <w:spacing w:after="0" w:line="200" w:lineRule="exact"/>
        <w:rPr>
          <w:sz w:val="20"/>
          <w:szCs w:val="20"/>
          <w:color w:val="auto"/>
        </w:rPr>
      </w:pPr>
    </w:p>
    <w:p>
      <w:pPr>
        <w:spacing w:after="0" w:line="361" w:lineRule="exact"/>
        <w:rPr>
          <w:sz w:val="20"/>
          <w:szCs w:val="20"/>
          <w:color w:val="auto"/>
        </w:rPr>
      </w:pPr>
    </w:p>
    <w:p>
      <w:pPr>
        <w:ind w:left="960" w:hanging="952"/>
        <w:spacing w:after="0"/>
        <w:tabs>
          <w:tab w:leader="none" w:pos="9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On January 21, 2022, the Company entered into two Statements of Work with Azzur. Pursuant to the first of the SOWs (the Third SOW), the Company has agreed to pay Azzur $650,000 to renovate and upgrade the Azzur Suite for the Company’s expanded use. The second of the SOWs (the Fourth SOW) replaces the Second SOW that the Company entered into with Azzur on April 29, 2021. Pursuant to the Second SOW, the Company was granted access to, and use of, the Azzur Suite for a period of 20 months, from May 2021 to December 2022. The Fourth SOW extends the Second Term, for the period beginning January 2022 through March 2023 (the Third Term). The total estimated project cost during the Third Term for access to, and use of, the renovated and upgraded Azzur Suite, and the personnel support and other services, is $2.4 million.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80"/>
          </w:cols>
          <w:pgMar w:left="320" w:top="121" w:right="39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10.30</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3" w:lineRule="auto"/>
        <w:tabs>
          <w:tab w:leader="none" w:pos="51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Scope of Work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777240</wp:posOffset>
            </wp:positionV>
            <wp:extent cx="4131945" cy="874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413194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Scope of Work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P-10558-01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593090</wp:posOffset>
            </wp:positionV>
            <wp:extent cx="2425700" cy="1045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24257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line="266" w:lineRule="auto"/>
        <w:rPr>
          <w:sz w:val="20"/>
          <w:szCs w:val="20"/>
          <w:color w:val="auto"/>
        </w:rPr>
      </w:pPr>
      <w:r>
        <w:rPr>
          <w:rFonts w:ascii="Arial" w:cs="Arial" w:eastAsia="Arial" w:hAnsi="Arial"/>
          <w:sz w:val="32"/>
          <w:szCs w:val="32"/>
          <w:color w:val="auto"/>
        </w:rPr>
        <w:t>Scope of Work for Cleanroom 3 Use and Customization/Expansion of Cleanroom Space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(January 1</w:t>
      </w:r>
      <w:r>
        <w:rPr>
          <w:rFonts w:ascii="Arial" w:cs="Arial" w:eastAsia="Arial" w:hAnsi="Arial"/>
          <w:sz w:val="27"/>
          <w:szCs w:val="27"/>
          <w:color w:val="auto"/>
        </w:rPr>
        <w:t>st</w:t>
      </w:r>
      <w:r>
        <w:rPr>
          <w:rFonts w:ascii="Arial" w:cs="Arial" w:eastAsia="Arial" w:hAnsi="Arial"/>
          <w:sz w:val="32"/>
          <w:szCs w:val="32"/>
          <w:color w:val="auto"/>
        </w:rPr>
        <w:t>, 2022 to March 31</w:t>
      </w:r>
      <w:r>
        <w:rPr>
          <w:rFonts w:ascii="Arial" w:cs="Arial" w:eastAsia="Arial" w:hAnsi="Arial"/>
          <w:sz w:val="27"/>
          <w:szCs w:val="27"/>
          <w:color w:val="auto"/>
        </w:rPr>
        <w:t>st</w:t>
      </w:r>
      <w:r>
        <w:rPr>
          <w:rFonts w:ascii="Arial" w:cs="Arial" w:eastAsia="Arial" w:hAnsi="Arial"/>
          <w:sz w:val="32"/>
          <w:szCs w:val="32"/>
          <w:color w:val="auto"/>
        </w:rPr>
        <w:t xml:space="preserve"> 2023)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P:01532524.1:74232.001</w:t>
      </w:r>
    </w:p>
    <w:p>
      <w:pPr>
        <w:spacing w:after="0" w:line="20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0" w:name="page121"/>
    <w:bookmarkEnd w:id="120"/>
    <w:p>
      <w:pPr>
        <w:ind w:left="40"/>
        <w:spacing w:after="0"/>
        <w:rPr>
          <w:sz w:val="20"/>
          <w:szCs w:val="20"/>
          <w:color w:val="auto"/>
        </w:rPr>
      </w:pPr>
      <w:r>
        <w:rPr>
          <w:rFonts w:ascii="Arial" w:cs="Arial" w:eastAsia="Arial" w:hAnsi="Arial"/>
          <w:sz w:val="22"/>
          <w:szCs w:val="22"/>
          <w:color w:val="12559A"/>
        </w:rPr>
        <w:t>Section 1 - Background/Scope</w:t>
      </w:r>
    </w:p>
    <w:p>
      <w:pPr>
        <w:spacing w:after="0" w:line="206" w:lineRule="exact"/>
        <w:rPr>
          <w:sz w:val="20"/>
          <w:szCs w:val="20"/>
          <w:color w:val="auto"/>
        </w:rPr>
      </w:pPr>
    </w:p>
    <w:p>
      <w:pPr>
        <w:ind w:left="40"/>
        <w:spacing w:after="0" w:line="246" w:lineRule="auto"/>
        <w:rPr>
          <w:sz w:val="20"/>
          <w:szCs w:val="20"/>
          <w:color w:val="auto"/>
        </w:rPr>
      </w:pPr>
      <w:r>
        <w:rPr>
          <w:rFonts w:ascii="Arial" w:cs="Arial" w:eastAsia="Arial" w:hAnsi="Arial"/>
          <w:sz w:val="21"/>
          <w:szCs w:val="21"/>
          <w:color w:val="auto"/>
        </w:rPr>
        <w:t xml:space="preserve">Azzur Cleanrooms On Demand (“COD”) facilities are designed for clients to utilize controlled clean areas and services related to early phase cGMP manufacturing. This Scope of Work (“SOW”) is for 15 months, subject to terms and conditions specified in the </w:t>
      </w:r>
      <w:r>
        <w:rPr>
          <w:rFonts w:ascii="Arial" w:cs="Arial" w:eastAsia="Arial" w:hAnsi="Arial"/>
          <w:sz w:val="21"/>
          <w:szCs w:val="21"/>
          <w:b w:val="1"/>
          <w:bCs w:val="1"/>
          <w:u w:val="single" w:color="auto"/>
          <w:color w:val="auto"/>
        </w:rPr>
        <w:t>LICENSE AND SERVICES AGREEMENT</w:t>
      </w:r>
      <w:r>
        <w:rPr>
          <w:rFonts w:ascii="Arial" w:cs="Arial" w:eastAsia="Arial" w:hAnsi="Arial"/>
          <w:sz w:val="21"/>
          <w:szCs w:val="21"/>
          <w:color w:val="auto"/>
        </w:rPr>
        <w:t>, of cleanroom use (“CR3”) and support related services at the COD facility located at 411 Waverley Oaks Rd., #126, Waltham, MA 02452. This SOW replaces P-9717 for the duration of January 2022 to March 2023. This SOW is entered into by and COD (“Licensor”) and Synlogic (“Licensee”) effective as of the approval date of this SOW. Upon execution of this SOW, this SOW will be incorporated into a mutually approved License and Services Agreement (“LSA”) that contains additional terms and conditions of the COD Cleanrooms and support services use.</w:t>
      </w:r>
    </w:p>
    <w:p>
      <w:pPr>
        <w:spacing w:after="0" w:line="180" w:lineRule="exact"/>
        <w:rPr>
          <w:sz w:val="20"/>
          <w:szCs w:val="20"/>
          <w:color w:val="auto"/>
        </w:rPr>
      </w:pPr>
    </w:p>
    <w:p>
      <w:pPr>
        <w:jc w:val="both"/>
        <w:ind w:left="40" w:right="240"/>
        <w:spacing w:after="0"/>
        <w:rPr>
          <w:sz w:val="20"/>
          <w:szCs w:val="20"/>
          <w:color w:val="auto"/>
        </w:rPr>
      </w:pPr>
      <w:r>
        <w:rPr>
          <w:rFonts w:ascii="Arial" w:cs="Arial" w:eastAsia="Arial" w:hAnsi="Arial"/>
          <w:sz w:val="22"/>
          <w:szCs w:val="22"/>
          <w:color w:val="auto"/>
        </w:rPr>
        <w:t>A Purchase Order (“PO”) for the license fees for the duration of 15 months and the first monthly pre-payment of the license fees, as identified this SOW, will be due no later than 30 days after the execution of this SOW and the related LSA.</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22"/>
          <w:szCs w:val="22"/>
          <w:color w:val="12559A"/>
        </w:rPr>
        <w:t>Section 2 – License and Technical Requirements</w:t>
      </w:r>
    </w:p>
    <w:p>
      <w:pPr>
        <w:spacing w:after="0" w:line="206" w:lineRule="exact"/>
        <w:rPr>
          <w:sz w:val="20"/>
          <w:szCs w:val="20"/>
          <w:color w:val="auto"/>
        </w:rPr>
      </w:pPr>
    </w:p>
    <w:p>
      <w:pPr>
        <w:ind w:left="40" w:right="60"/>
        <w:spacing w:after="0" w:line="279" w:lineRule="auto"/>
        <w:rPr>
          <w:sz w:val="20"/>
          <w:szCs w:val="20"/>
          <w:color w:val="auto"/>
        </w:rPr>
      </w:pPr>
      <w:r>
        <w:rPr>
          <w:rFonts w:ascii="Arial" w:cs="Arial" w:eastAsia="Arial" w:hAnsi="Arial"/>
          <w:sz w:val="19"/>
          <w:szCs w:val="19"/>
          <w:color w:val="auto"/>
        </w:rPr>
        <w:t>Commencing on the Effective Date and subject to the terms and conditions of the LSA, Licensor grants to Licensee a license to access and use the cleanroom with specification described in Section 3. Licensor will provide the support services described in this Section 3 using Licensor personnel. Licensor personnel will perform the services in a timely, professional and workmanlike manner and in accordance with all applicable laws, regulations and guidelines. Licensor will maintain all permits, licenses or other approvals necessary for the operation of the Cleanroom in accordance with the requirements set forth herein. Specifically, Licensor will perform Services in accordance with the following:</w:t>
      </w:r>
    </w:p>
    <w:p>
      <w:pPr>
        <w:spacing w:after="0" w:line="150" w:lineRule="exact"/>
        <w:rPr>
          <w:sz w:val="20"/>
          <w:szCs w:val="20"/>
          <w:color w:val="auto"/>
        </w:rPr>
      </w:pPr>
    </w:p>
    <w:p>
      <w:pPr>
        <w:ind w:left="40" w:right="200"/>
        <w:spacing w:after="0" w:line="250" w:lineRule="auto"/>
        <w:rPr>
          <w:sz w:val="20"/>
          <w:szCs w:val="20"/>
          <w:color w:val="auto"/>
        </w:rPr>
      </w:pPr>
      <w:r>
        <w:rPr>
          <w:rFonts w:ascii="Arial" w:cs="Arial" w:eastAsia="Arial" w:hAnsi="Arial"/>
          <w:sz w:val="22"/>
          <w:szCs w:val="22"/>
          <w:color w:val="auto"/>
        </w:rPr>
        <w:t>Licensor personnel will be experienced with FDA facility compliance expectations. Licensor has based this Statement of Work upon the following documents.</w:t>
      </w:r>
    </w:p>
    <w:p>
      <w:pPr>
        <w:spacing w:after="0" w:line="72" w:lineRule="exact"/>
        <w:rPr>
          <w:sz w:val="20"/>
          <w:szCs w:val="20"/>
          <w:color w:val="auto"/>
        </w:rPr>
      </w:pPr>
    </w:p>
    <w:p>
      <w:pPr>
        <w:ind w:left="380" w:right="460" w:hanging="375"/>
        <w:spacing w:after="0" w:line="260" w:lineRule="auto"/>
        <w:tabs>
          <w:tab w:leader="none" w:pos="3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Code of Federal Regulations Title 21 Part 210 – Current Good Manufacturing Practice in theManufacturing, Processing, Packing, or Holding of Drugs; General</w:t>
      </w:r>
    </w:p>
    <w:p>
      <w:pPr>
        <w:spacing w:after="0" w:line="69" w:lineRule="exact"/>
        <w:rPr>
          <w:sz w:val="20"/>
          <w:szCs w:val="20"/>
          <w:color w:val="auto"/>
        </w:rPr>
      </w:pPr>
    </w:p>
    <w:p>
      <w:pPr>
        <w:spacing w:after="0"/>
        <w:tabs>
          <w:tab w:leader="none" w:pos="36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Code of Federal Regulations Title 21 Part 211 – Current Good Manufacturing Practice forFinished Pharmaceutical</w:t>
      </w:r>
    </w:p>
    <w:p>
      <w:pPr>
        <w:spacing w:after="0" w:line="119" w:lineRule="exact"/>
        <w:rPr>
          <w:sz w:val="20"/>
          <w:szCs w:val="20"/>
          <w:color w:val="auto"/>
        </w:rPr>
      </w:pPr>
    </w:p>
    <w:p>
      <w:pPr>
        <w:ind w:left="5280" w:right="2440" w:hanging="5275"/>
        <w:spacing w:after="0" w:line="486" w:lineRule="auto"/>
        <w:tabs>
          <w:tab w:leader="none" w:pos="389" w:val="left"/>
        </w:tabs>
        <w:numPr>
          <w:ilvl w:val="0"/>
          <w:numId w:val="73"/>
        </w:numPr>
        <w:rPr>
          <w:rFonts w:ascii="Arial" w:cs="Arial" w:eastAsia="Arial" w:hAnsi="Arial"/>
          <w:sz w:val="20"/>
          <w:szCs w:val="20"/>
          <w:color w:val="auto"/>
        </w:rPr>
      </w:pPr>
      <w:r>
        <w:rPr>
          <w:rFonts w:ascii="Arial" w:cs="Arial" w:eastAsia="Arial" w:hAnsi="Arial"/>
          <w:sz w:val="20"/>
          <w:szCs w:val="20"/>
          <w:color w:val="auto"/>
        </w:rPr>
        <w:t>ISPE Good Practice Guide – Science and Risk-Based Approach for the Delivery of Facility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-95885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80"/>
          </w:cols>
          <w:pgMar w:left="620" w:top="415" w:right="899" w:bottom="1440" w:gutter="0" w:footer="0" w:header="0"/>
        </w:sectPr>
      </w:pPr>
    </w:p>
    <w:bookmarkStart w:id="121" w:name="page122"/>
    <w:bookmarkEnd w:id="121"/>
    <w:p>
      <w:pPr>
        <w:ind w:left="375"/>
        <w:spacing w:after="0"/>
        <w:rPr>
          <w:sz w:val="20"/>
          <w:szCs w:val="20"/>
          <w:color w:val="auto"/>
        </w:rPr>
      </w:pPr>
      <w:r>
        <w:rPr>
          <w:rFonts w:ascii="Arial" w:cs="Arial" w:eastAsia="Arial" w:hAnsi="Arial"/>
          <w:sz w:val="20"/>
          <w:szCs w:val="20"/>
          <w:color w:val="auto"/>
        </w:rPr>
        <w:t>Systems and Equipment</w:t>
      </w:r>
    </w:p>
    <w:p>
      <w:pPr>
        <w:spacing w:after="0" w:line="108" w:lineRule="exact"/>
        <w:rPr>
          <w:sz w:val="20"/>
          <w:szCs w:val="20"/>
          <w:color w:val="auto"/>
        </w:rPr>
      </w:pPr>
    </w:p>
    <w:p>
      <w:pPr>
        <w:ind w:left="375" w:hanging="375"/>
        <w:spacing w:after="0"/>
        <w:tabs>
          <w:tab w:leader="none" w:pos="375" w:val="left"/>
        </w:tabs>
        <w:numPr>
          <w:ilvl w:val="0"/>
          <w:numId w:val="74"/>
        </w:numPr>
        <w:rPr>
          <w:rFonts w:ascii="Arial" w:cs="Arial" w:eastAsia="Arial" w:hAnsi="Arial"/>
          <w:sz w:val="20"/>
          <w:szCs w:val="20"/>
          <w:color w:val="auto"/>
        </w:rPr>
      </w:pPr>
      <w:r>
        <w:rPr>
          <w:rFonts w:ascii="Arial" w:cs="Arial" w:eastAsia="Arial" w:hAnsi="Arial"/>
          <w:sz w:val="20"/>
          <w:szCs w:val="20"/>
          <w:color w:val="auto"/>
        </w:rPr>
        <w:t>ISPE Good Practice Guide – Good Engineering Practices</w:t>
      </w:r>
    </w:p>
    <w:p>
      <w:pPr>
        <w:spacing w:after="0" w:line="107" w:lineRule="exact"/>
        <w:rPr>
          <w:rFonts w:ascii="Arial" w:cs="Arial" w:eastAsia="Arial" w:hAnsi="Arial"/>
          <w:sz w:val="20"/>
          <w:szCs w:val="20"/>
          <w:color w:val="auto"/>
        </w:rPr>
      </w:pPr>
    </w:p>
    <w:p>
      <w:pPr>
        <w:ind w:left="375" w:right="1280" w:hanging="375"/>
        <w:spacing w:after="0" w:line="260" w:lineRule="auto"/>
        <w:tabs>
          <w:tab w:leader="none" w:pos="375" w:val="left"/>
        </w:tabs>
        <w:numPr>
          <w:ilvl w:val="0"/>
          <w:numId w:val="74"/>
        </w:numPr>
        <w:rPr>
          <w:rFonts w:ascii="Arial" w:cs="Arial" w:eastAsia="Arial" w:hAnsi="Arial"/>
          <w:sz w:val="20"/>
          <w:szCs w:val="20"/>
          <w:color w:val="auto"/>
        </w:rPr>
      </w:pPr>
      <w:r>
        <w:rPr>
          <w:rFonts w:ascii="Arial" w:cs="Arial" w:eastAsia="Arial" w:hAnsi="Arial"/>
          <w:sz w:val="20"/>
          <w:szCs w:val="20"/>
          <w:color w:val="auto"/>
        </w:rPr>
        <w:t>PDA Technical Report 56 – Application of Phase Appropriate Quality System and cGMP to theDevelopment of Therapeutic Protein Drug Substance</w:t>
      </w:r>
    </w:p>
    <w:p>
      <w:pPr>
        <w:spacing w:after="0" w:line="172" w:lineRule="exact"/>
        <w:rPr>
          <w:sz w:val="20"/>
          <w:szCs w:val="20"/>
          <w:color w:val="auto"/>
        </w:rPr>
      </w:pPr>
    </w:p>
    <w:p>
      <w:pPr>
        <w:ind w:left="35" w:right="540"/>
        <w:spacing w:after="0" w:line="250" w:lineRule="auto"/>
        <w:rPr>
          <w:sz w:val="20"/>
          <w:szCs w:val="20"/>
          <w:color w:val="auto"/>
        </w:rPr>
      </w:pPr>
      <w:r>
        <w:rPr>
          <w:rFonts w:ascii="Arial" w:cs="Arial" w:eastAsia="Arial" w:hAnsi="Arial"/>
          <w:sz w:val="22"/>
          <w:szCs w:val="22"/>
          <w:color w:val="auto"/>
        </w:rPr>
        <w:t>Licensee personnel using the classified areas are to be trained on Licensor SOPs on gowning, personnelmovement, material control, gowning training, safety training etc.</w:t>
      </w:r>
    </w:p>
    <w:p>
      <w:pPr>
        <w:spacing w:after="0" w:line="175" w:lineRule="exact"/>
        <w:rPr>
          <w:sz w:val="20"/>
          <w:szCs w:val="20"/>
          <w:color w:val="auto"/>
        </w:rPr>
      </w:pPr>
    </w:p>
    <w:p>
      <w:pPr>
        <w:ind w:left="35"/>
        <w:spacing w:after="0"/>
        <w:rPr>
          <w:sz w:val="20"/>
          <w:szCs w:val="20"/>
          <w:color w:val="auto"/>
        </w:rPr>
      </w:pPr>
      <w:r>
        <w:rPr>
          <w:rFonts w:ascii="Arial" w:cs="Arial" w:eastAsia="Arial" w:hAnsi="Arial"/>
          <w:sz w:val="22"/>
          <w:szCs w:val="22"/>
          <w:color w:val="12559A"/>
        </w:rPr>
        <w:t>Section 3 – Detailed Scope</w:t>
      </w:r>
    </w:p>
    <w:p>
      <w:pPr>
        <w:spacing w:after="0" w:line="206" w:lineRule="exact"/>
        <w:rPr>
          <w:sz w:val="20"/>
          <w:szCs w:val="20"/>
          <w:color w:val="auto"/>
        </w:rPr>
      </w:pPr>
    </w:p>
    <w:p>
      <w:pPr>
        <w:ind w:left="35"/>
        <w:spacing w:after="0"/>
        <w:rPr>
          <w:sz w:val="20"/>
          <w:szCs w:val="20"/>
          <w:color w:val="auto"/>
        </w:rPr>
      </w:pPr>
      <w:r>
        <w:rPr>
          <w:rFonts w:ascii="Arial" w:cs="Arial" w:eastAsia="Arial" w:hAnsi="Arial"/>
          <w:sz w:val="19"/>
          <w:szCs w:val="19"/>
          <w:color w:val="auto"/>
        </w:rPr>
        <w:t>This SOW provides details of the licensed cleanroom space, office space, support services and the related inclusions.</w:t>
      </w:r>
    </w:p>
    <w:p>
      <w:pPr>
        <w:spacing w:after="0" w:line="245" w:lineRule="exact"/>
        <w:rPr>
          <w:sz w:val="20"/>
          <w:szCs w:val="20"/>
          <w:color w:val="auto"/>
        </w:rPr>
      </w:pPr>
    </w:p>
    <w:p>
      <w:pPr>
        <w:ind w:left="375" w:hanging="375"/>
        <w:spacing w:after="0"/>
        <w:tabs>
          <w:tab w:leader="none" w:pos="375"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Cleanroom</w:t>
      </w:r>
    </w:p>
    <w:p>
      <w:pPr>
        <w:spacing w:after="0" w:line="108" w:lineRule="exact"/>
        <w:rPr>
          <w:sz w:val="20"/>
          <w:szCs w:val="20"/>
          <w:color w:val="auto"/>
        </w:rPr>
      </w:pPr>
    </w:p>
    <w:p>
      <w:pPr>
        <w:jc w:val="both"/>
        <w:ind w:left="375" w:right="820" w:hanging="375"/>
        <w:spacing w:after="0" w:line="250" w:lineRule="auto"/>
        <w:tabs>
          <w:tab w:leader="none" w:pos="375" w:val="left"/>
        </w:tabs>
        <w:numPr>
          <w:ilvl w:val="0"/>
          <w:numId w:val="76"/>
        </w:numPr>
        <w:rPr>
          <w:rFonts w:ascii="Arial" w:cs="Arial" w:eastAsia="Arial" w:hAnsi="Arial"/>
          <w:sz w:val="20"/>
          <w:szCs w:val="20"/>
          <w:color w:val="auto"/>
        </w:rPr>
      </w:pPr>
      <w:r>
        <w:rPr>
          <w:rFonts w:ascii="Arial" w:cs="Arial" w:eastAsia="Arial" w:hAnsi="Arial"/>
          <w:sz w:val="20"/>
          <w:szCs w:val="20"/>
          <w:color w:val="auto"/>
        </w:rPr>
        <w:t>Dedicated CR3 cleanroom space and expanded space (upon completion of customization project) for a duration of 15 months with a start date of January 2022, with an option to extend through Q2 2023. Licensee must notify Azzur of extension per the terms of the LSA agreement.</w:t>
      </w:r>
    </w:p>
    <w:p>
      <w:pPr>
        <w:spacing w:after="0" w:line="77" w:lineRule="exact"/>
        <w:rPr>
          <w:rFonts w:ascii="Arial" w:cs="Arial" w:eastAsia="Arial" w:hAnsi="Arial"/>
          <w:sz w:val="20"/>
          <w:szCs w:val="20"/>
          <w:color w:val="auto"/>
        </w:rPr>
      </w:pPr>
    </w:p>
    <w:p>
      <w:pPr>
        <w:ind w:left="375" w:right="620"/>
        <w:spacing w:after="0" w:line="368" w:lineRule="auto"/>
        <w:rPr>
          <w:rFonts w:ascii="Arial" w:cs="Arial" w:eastAsia="Arial" w:hAnsi="Arial"/>
          <w:sz w:val="20"/>
          <w:szCs w:val="20"/>
          <w:color w:val="auto"/>
        </w:rPr>
      </w:pPr>
      <w:r>
        <w:rPr>
          <w:rFonts w:ascii="Arial" w:cs="Arial" w:eastAsia="Arial" w:hAnsi="Arial"/>
          <w:sz w:val="19"/>
          <w:szCs w:val="19"/>
          <w:color w:val="auto"/>
        </w:rPr>
        <w:t xml:space="preserve">o All entry/exit door to controlled or classified spaces will be access controlled via badge accessand security controls o Cleanroom entry/exit doors will be interlocked with access only to </w:t>
      </w:r>
      <w:r>
        <w:rPr>
          <w:rFonts w:ascii="Arial" w:cs="Arial" w:eastAsia="Arial" w:hAnsi="Arial"/>
          <w:sz w:val="20"/>
          <w:szCs w:val="20"/>
          <w:color w:val="auto"/>
        </w:rPr>
        <w:t>Licensee</w:t>
      </w:r>
      <w:r>
        <w:rPr>
          <w:rFonts w:ascii="Arial" w:cs="Arial" w:eastAsia="Arial" w:hAnsi="Arial"/>
          <w:sz w:val="19"/>
          <w:szCs w:val="19"/>
          <w:color w:val="auto"/>
        </w:rPr>
        <w:t xml:space="preserve"> and Licensor personnel.</w:t>
      </w:r>
    </w:p>
    <w:p>
      <w:pPr>
        <w:ind w:left="375"/>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Room differential pressures which will meet ISO 7 classification in the core.</w:t>
      </w:r>
    </w:p>
    <w:p>
      <w:pPr>
        <w:spacing w:after="0" w:line="107" w:lineRule="exact"/>
        <w:rPr>
          <w:rFonts w:ascii="Arial" w:cs="Arial" w:eastAsia="Arial" w:hAnsi="Arial"/>
          <w:sz w:val="20"/>
          <w:szCs w:val="20"/>
          <w:color w:val="auto"/>
        </w:rPr>
      </w:pPr>
    </w:p>
    <w:p>
      <w:pPr>
        <w:ind w:left="375" w:right="1860"/>
        <w:spacing w:after="0" w:line="352" w:lineRule="auto"/>
        <w:rPr>
          <w:rFonts w:ascii="Arial" w:cs="Arial" w:eastAsia="Arial" w:hAnsi="Arial"/>
          <w:sz w:val="20"/>
          <w:szCs w:val="20"/>
          <w:color w:val="auto"/>
        </w:rPr>
      </w:pPr>
      <w:r>
        <w:rPr>
          <w:rFonts w:ascii="Arial" w:cs="Arial" w:eastAsia="Arial" w:hAnsi="Arial"/>
          <w:sz w:val="20"/>
          <w:szCs w:val="20"/>
          <w:color w:val="auto"/>
        </w:rPr>
        <w:t>o Room differential pressures which will meet ISO 8 classification in the gown-in and gown-outareas. o Temperature specification range of [***] °C with operational control of [***]°C</w:t>
      </w:r>
    </w:p>
    <w:p>
      <w:pPr>
        <w:ind w:left="375"/>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Differential pressure, temperature and humidity will be continually monitored and alarmed</w:t>
      </w:r>
    </w:p>
    <w:p>
      <w:pPr>
        <w:spacing w:after="0" w:line="211" w:lineRule="exact"/>
        <w:rPr>
          <w:sz w:val="20"/>
          <w:szCs w:val="20"/>
          <w:color w:val="auto"/>
        </w:rPr>
      </w:pPr>
    </w:p>
    <w:p>
      <w:pPr>
        <w:ind w:left="35"/>
        <w:spacing w:after="0"/>
        <w:rPr>
          <w:sz w:val="20"/>
          <w:szCs w:val="20"/>
          <w:color w:val="auto"/>
        </w:rPr>
      </w:pPr>
      <w:r>
        <w:rPr>
          <w:rFonts w:ascii="Arial" w:cs="Arial" w:eastAsia="Arial" w:hAnsi="Arial"/>
          <w:sz w:val="22"/>
          <w:szCs w:val="22"/>
          <w:color w:val="auto"/>
        </w:rPr>
        <w:t>Remote alarm management is performed by Licensor.</w:t>
      </w:r>
    </w:p>
    <w:p>
      <w:pPr>
        <w:spacing w:after="0" w:line="103" w:lineRule="exact"/>
        <w:rPr>
          <w:sz w:val="20"/>
          <w:szCs w:val="20"/>
          <w:color w:val="auto"/>
        </w:rPr>
      </w:pPr>
    </w:p>
    <w:p>
      <w:pPr>
        <w:ind w:left="755" w:right="300" w:hanging="377"/>
        <w:spacing w:after="0" w:line="316" w:lineRule="auto"/>
        <w:tabs>
          <w:tab w:leader="none" w:pos="75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ISO 7 core will be furnished with a Biosafety Cabinet (ISO 5), two 6 ft. stainless steel tables and associated chairs. Additional room furnishings can be installed upon request, the costs for which are not included in this SOW.</w:t>
      </w:r>
    </w:p>
    <w:p>
      <w:pPr>
        <w:spacing w:after="0" w:line="21" w:lineRule="exact"/>
        <w:rPr>
          <w:rFonts w:ascii="Arial" w:cs="Arial" w:eastAsia="Arial" w:hAnsi="Arial"/>
          <w:sz w:val="18"/>
          <w:szCs w:val="18"/>
          <w:color w:val="auto"/>
        </w:rPr>
      </w:pPr>
    </w:p>
    <w:p>
      <w:pPr>
        <w:ind w:left="375" w:hanging="375"/>
        <w:spacing w:after="0"/>
        <w:tabs>
          <w:tab w:leader="none" w:pos="375" w:val="left"/>
        </w:tabs>
        <w:numPr>
          <w:ilvl w:val="0"/>
          <w:numId w:val="77"/>
        </w:numPr>
        <w:rPr>
          <w:rFonts w:ascii="Arial" w:cs="Arial" w:eastAsia="Arial" w:hAnsi="Arial"/>
          <w:sz w:val="20"/>
          <w:szCs w:val="20"/>
          <w:color w:val="auto"/>
        </w:rPr>
      </w:pPr>
      <w:r>
        <w:rPr>
          <w:rFonts w:ascii="Arial" w:cs="Arial" w:eastAsia="Arial" w:hAnsi="Arial"/>
          <w:sz w:val="20"/>
          <w:szCs w:val="20"/>
          <w:color w:val="auto"/>
        </w:rPr>
        <w:t>Qualified ISO5 BSC in the cleanroom</w:t>
      </w:r>
    </w:p>
    <w:p>
      <w:pPr>
        <w:spacing w:after="0" w:line="107" w:lineRule="exact"/>
        <w:rPr>
          <w:rFonts w:ascii="Arial" w:cs="Arial" w:eastAsia="Arial" w:hAnsi="Arial"/>
          <w:sz w:val="20"/>
          <w:szCs w:val="20"/>
          <w:color w:val="auto"/>
        </w:rPr>
      </w:pPr>
    </w:p>
    <w:p>
      <w:pPr>
        <w:ind w:left="755" w:hanging="377"/>
        <w:spacing w:after="0"/>
        <w:tabs>
          <w:tab w:leader="none" w:pos="755" w:val="left"/>
        </w:tabs>
        <w:numPr>
          <w:ilvl w:val="1"/>
          <w:numId w:val="77"/>
        </w:numPr>
        <w:rPr>
          <w:rFonts w:ascii="Arial" w:cs="Arial" w:eastAsia="Arial" w:hAnsi="Arial"/>
          <w:sz w:val="20"/>
          <w:szCs w:val="20"/>
          <w:color w:val="auto"/>
        </w:rPr>
      </w:pPr>
      <w:r>
        <w:rPr>
          <w:rFonts w:ascii="Arial" w:cs="Arial" w:eastAsia="Arial" w:hAnsi="Arial"/>
          <w:sz w:val="20"/>
          <w:szCs w:val="20"/>
          <w:color w:val="auto"/>
        </w:rPr>
        <w:t>On-going BSC certification/maintenance</w:t>
      </w:r>
    </w:p>
    <w:p>
      <w:pPr>
        <w:spacing w:after="0" w:line="205" w:lineRule="exact"/>
        <w:rPr>
          <w:sz w:val="20"/>
          <w:szCs w:val="20"/>
          <w:color w:val="auto"/>
        </w:rPr>
      </w:pPr>
    </w:p>
    <w:p>
      <w:pPr>
        <w:ind w:left="35"/>
        <w:spacing w:after="0"/>
        <w:rPr>
          <w:sz w:val="20"/>
          <w:szCs w:val="20"/>
          <w:color w:val="auto"/>
        </w:rPr>
      </w:pPr>
      <w:r>
        <w:rPr>
          <w:rFonts w:ascii="Arial" w:cs="Arial" w:eastAsia="Arial" w:hAnsi="Arial"/>
          <w:sz w:val="22"/>
          <w:szCs w:val="22"/>
          <w:b w:val="1"/>
          <w:bCs w:val="1"/>
          <w:i w:val="1"/>
          <w:iCs w:val="1"/>
          <w:color w:val="auto"/>
        </w:rPr>
        <w:t xml:space="preserve">NOTE: BSC cleaning and disinfection during routine use is </w:t>
      </w:r>
      <w:r>
        <w:rPr>
          <w:rFonts w:ascii="Arial" w:cs="Arial" w:eastAsia="Arial" w:hAnsi="Arial"/>
          <w:sz w:val="22"/>
          <w:szCs w:val="22"/>
          <w:b w:val="1"/>
          <w:bCs w:val="1"/>
          <w:color w:val="auto"/>
        </w:rPr>
        <w:t>Licensee</w:t>
      </w:r>
      <w:r>
        <w:rPr>
          <w:rFonts w:ascii="Arial" w:cs="Arial" w:eastAsia="Arial" w:hAnsi="Arial"/>
          <w:sz w:val="22"/>
          <w:szCs w:val="22"/>
          <w:b w:val="1"/>
          <w:bCs w:val="1"/>
          <w:i w:val="1"/>
          <w:iCs w:val="1"/>
          <w:color w:val="auto"/>
        </w:rPr>
        <w:t>’s responsibility.</w:t>
      </w:r>
    </w:p>
    <w:p>
      <w:pPr>
        <w:spacing w:after="0" w:line="109" w:lineRule="exact"/>
        <w:rPr>
          <w:sz w:val="20"/>
          <w:szCs w:val="20"/>
          <w:color w:val="auto"/>
        </w:rPr>
      </w:pPr>
    </w:p>
    <w:p>
      <w:pPr>
        <w:ind w:left="375" w:hanging="375"/>
        <w:spacing w:after="0"/>
        <w:tabs>
          <w:tab w:leader="none" w:pos="375" w:val="left"/>
        </w:tabs>
        <w:numPr>
          <w:ilvl w:val="0"/>
          <w:numId w:val="78"/>
        </w:numPr>
        <w:rPr>
          <w:rFonts w:ascii="Arial" w:cs="Arial" w:eastAsia="Arial" w:hAnsi="Arial"/>
          <w:sz w:val="20"/>
          <w:szCs w:val="20"/>
          <w:color w:val="auto"/>
        </w:rPr>
      </w:pPr>
      <w:r>
        <w:rPr>
          <w:rFonts w:ascii="Arial" w:cs="Arial" w:eastAsia="Arial" w:hAnsi="Arial"/>
          <w:sz w:val="20"/>
          <w:szCs w:val="20"/>
          <w:color w:val="auto"/>
        </w:rPr>
        <w:t>Cleanroom Cleaning</w:t>
      </w:r>
    </w:p>
    <w:p>
      <w:pPr>
        <w:spacing w:after="0" w:line="107" w:lineRule="exact"/>
        <w:rPr>
          <w:rFonts w:ascii="Arial" w:cs="Arial" w:eastAsia="Arial" w:hAnsi="Arial"/>
          <w:sz w:val="20"/>
          <w:szCs w:val="20"/>
          <w:color w:val="auto"/>
        </w:rPr>
      </w:pPr>
    </w:p>
    <w:p>
      <w:pPr>
        <w:ind w:left="755" w:hanging="378"/>
        <w:spacing w:after="0" w:line="260" w:lineRule="auto"/>
        <w:rPr>
          <w:rFonts w:ascii="Arial" w:cs="Arial" w:eastAsia="Arial" w:hAnsi="Arial"/>
          <w:sz w:val="20"/>
          <w:szCs w:val="20"/>
          <w:color w:val="auto"/>
        </w:rPr>
      </w:pPr>
      <w:r>
        <w:rPr>
          <w:rFonts w:ascii="Arial" w:cs="Arial" w:eastAsia="Arial" w:hAnsi="Arial"/>
          <w:sz w:val="20"/>
          <w:szCs w:val="20"/>
          <w:color w:val="auto"/>
        </w:rPr>
        <w:t>oWeekly – Horizontal and vertical surfaces including wiped using IPA, floors vacuumed andmopped using the latest version of the following approved cleaning solution ([***]).</w:t>
      </w:r>
    </w:p>
    <w:p>
      <w:pPr>
        <w:spacing w:after="0" w:line="177" w:lineRule="exact"/>
        <w:rPr>
          <w:sz w:val="20"/>
          <w:szCs w:val="20"/>
          <w:color w:val="auto"/>
        </w:rPr>
      </w:pPr>
    </w:p>
    <w:p>
      <w:pPr>
        <w:jc w:val="center"/>
        <w:ind w:right="-134"/>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66040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95"/>
          </w:cols>
          <w:pgMar w:left="625" w:top="528" w:right="779" w:bottom="1440" w:gutter="0" w:footer="0" w:header="0"/>
        </w:sectPr>
      </w:pPr>
    </w:p>
    <w:bookmarkStart w:id="122" w:name="page123"/>
    <w:bookmarkEnd w:id="122"/>
    <w:p>
      <w:pPr>
        <w:ind w:left="755" w:hanging="377"/>
        <w:spacing w:after="0"/>
        <w:tabs>
          <w:tab w:leader="none" w:pos="7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Monthly – Same as weekly cleaning followed by second cleaning using approved cleaningsolution on all surfaces ([***]).</w:t>
      </w:r>
    </w:p>
    <w:p>
      <w:pPr>
        <w:spacing w:after="0" w:line="130" w:lineRule="exact"/>
        <w:rPr>
          <w:rFonts w:ascii="Arial" w:cs="Arial" w:eastAsia="Arial" w:hAnsi="Arial"/>
          <w:sz w:val="18"/>
          <w:szCs w:val="18"/>
          <w:color w:val="auto"/>
        </w:rPr>
      </w:pPr>
    </w:p>
    <w:p>
      <w:pPr>
        <w:ind w:left="755" w:hanging="377"/>
        <w:spacing w:after="0"/>
        <w:tabs>
          <w:tab w:leader="none" w:pos="755" w:val="left"/>
        </w:tabs>
        <w:numPr>
          <w:ilvl w:val="0"/>
          <w:numId w:val="79"/>
        </w:numPr>
        <w:rPr>
          <w:rFonts w:ascii="Arial" w:cs="Arial" w:eastAsia="Arial" w:hAnsi="Arial"/>
          <w:sz w:val="20"/>
          <w:szCs w:val="20"/>
          <w:color w:val="auto"/>
        </w:rPr>
      </w:pPr>
      <w:r>
        <w:rPr>
          <w:rFonts w:ascii="Arial" w:cs="Arial" w:eastAsia="Arial" w:hAnsi="Arial"/>
          <w:sz w:val="20"/>
          <w:szCs w:val="20"/>
          <w:color w:val="auto"/>
        </w:rPr>
        <w:t>Quarterly (once every 3 months) – Same as monthly cleaning ([***]).</w:t>
      </w:r>
    </w:p>
    <w:p>
      <w:pPr>
        <w:spacing w:after="0" w:line="211" w:lineRule="exact"/>
        <w:rPr>
          <w:sz w:val="20"/>
          <w:szCs w:val="20"/>
          <w:color w:val="auto"/>
        </w:rPr>
      </w:pPr>
    </w:p>
    <w:p>
      <w:pPr>
        <w:ind w:left="35" w:right="600"/>
        <w:spacing w:after="0" w:line="274" w:lineRule="auto"/>
        <w:rPr>
          <w:sz w:val="20"/>
          <w:szCs w:val="20"/>
          <w:color w:val="auto"/>
        </w:rPr>
      </w:pPr>
      <w:r>
        <w:rPr>
          <w:rFonts w:ascii="Arial" w:cs="Arial" w:eastAsia="Arial" w:hAnsi="Arial"/>
          <w:sz w:val="21"/>
          <w:szCs w:val="21"/>
          <w:b w:val="1"/>
          <w:bCs w:val="1"/>
          <w:i w:val="1"/>
          <w:iCs w:val="1"/>
          <w:color w:val="auto"/>
        </w:rPr>
        <w:t>NOTE: Changes in cleaning regimen including type of agents and frequency as well as enhanced cleaning for changeover can be implemented, the costs for which are not included in this SOW.</w:t>
      </w:r>
    </w:p>
    <w:p>
      <w:pPr>
        <w:spacing w:after="0" w:line="47" w:lineRule="exact"/>
        <w:rPr>
          <w:sz w:val="20"/>
          <w:szCs w:val="20"/>
          <w:color w:val="auto"/>
        </w:rPr>
      </w:pPr>
    </w:p>
    <w:p>
      <w:pPr>
        <w:ind w:left="375" w:hanging="375"/>
        <w:spacing w:after="0"/>
        <w:tabs>
          <w:tab w:leader="none" w:pos="375" w:val="left"/>
        </w:tabs>
        <w:numPr>
          <w:ilvl w:val="0"/>
          <w:numId w:val="80"/>
        </w:numPr>
        <w:rPr>
          <w:rFonts w:ascii="Arial" w:cs="Arial" w:eastAsia="Arial" w:hAnsi="Arial"/>
          <w:sz w:val="20"/>
          <w:szCs w:val="20"/>
          <w:color w:val="auto"/>
        </w:rPr>
      </w:pPr>
      <w:r>
        <w:rPr>
          <w:rFonts w:ascii="Arial" w:cs="Arial" w:eastAsia="Arial" w:hAnsi="Arial"/>
          <w:sz w:val="20"/>
          <w:szCs w:val="20"/>
          <w:color w:val="auto"/>
        </w:rPr>
        <w:t>Routine Environmental Monitoring (EM)</w:t>
      </w:r>
    </w:p>
    <w:p>
      <w:pPr>
        <w:spacing w:after="0" w:line="107" w:lineRule="exact"/>
        <w:rPr>
          <w:rFonts w:ascii="Arial" w:cs="Arial" w:eastAsia="Arial" w:hAnsi="Arial"/>
          <w:sz w:val="20"/>
          <w:szCs w:val="20"/>
          <w:color w:val="auto"/>
        </w:rPr>
      </w:pPr>
    </w:p>
    <w:p>
      <w:pPr>
        <w:ind w:left="375"/>
        <w:spacing w:after="0"/>
        <w:rPr>
          <w:rFonts w:ascii="Arial" w:cs="Arial" w:eastAsia="Arial" w:hAnsi="Arial"/>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Weekly TAP, Viable Air and Surface Monitoring</w:t>
      </w:r>
    </w:p>
    <w:p>
      <w:pPr>
        <w:spacing w:after="0" w:line="107" w:lineRule="exact"/>
        <w:rPr>
          <w:rFonts w:ascii="Arial" w:cs="Arial" w:eastAsia="Arial" w:hAnsi="Arial"/>
          <w:sz w:val="20"/>
          <w:szCs w:val="20"/>
          <w:color w:val="auto"/>
        </w:rPr>
      </w:pPr>
    </w:p>
    <w:p>
      <w:pPr>
        <w:ind w:left="375" w:right="5100"/>
        <w:spacing w:after="0" w:line="441" w:lineRule="auto"/>
        <w:rPr>
          <w:rFonts w:ascii="Arial" w:cs="Arial" w:eastAsia="Arial" w:hAnsi="Arial"/>
          <w:sz w:val="20"/>
          <w:szCs w:val="20"/>
          <w:color w:val="auto"/>
        </w:rPr>
      </w:pPr>
      <w:r>
        <w:rPr>
          <w:rFonts w:ascii="Arial" w:cs="Arial" w:eastAsia="Arial" w:hAnsi="Arial"/>
          <w:sz w:val="18"/>
          <w:szCs w:val="18"/>
          <w:color w:val="auto"/>
        </w:rPr>
        <w:t>o Data review and quality support (in-case of any deviation) o Trending and reporting of EM data on a periodic basis</w:t>
      </w:r>
    </w:p>
    <w:p>
      <w:pPr>
        <w:spacing w:after="0" w:line="18" w:lineRule="exact"/>
        <w:rPr>
          <w:sz w:val="20"/>
          <w:szCs w:val="20"/>
          <w:color w:val="auto"/>
        </w:rPr>
      </w:pPr>
    </w:p>
    <w:p>
      <w:pPr>
        <w:ind w:left="35"/>
        <w:spacing w:after="0" w:line="250" w:lineRule="auto"/>
        <w:rPr>
          <w:sz w:val="20"/>
          <w:szCs w:val="20"/>
          <w:color w:val="auto"/>
        </w:rPr>
      </w:pPr>
      <w:r>
        <w:rPr>
          <w:rFonts w:ascii="Arial" w:cs="Arial" w:eastAsia="Arial" w:hAnsi="Arial"/>
          <w:sz w:val="22"/>
          <w:szCs w:val="22"/>
          <w:b w:val="1"/>
          <w:bCs w:val="1"/>
          <w:i w:val="1"/>
          <w:iCs w:val="1"/>
          <w:color w:val="auto"/>
        </w:rPr>
        <w:t>NOTE: Changes in environmental monitoring including additional in-process monitoring costs are included in Table 4 of this SOW.</w:t>
      </w:r>
    </w:p>
    <w:p>
      <w:pPr>
        <w:spacing w:after="0" w:line="72" w:lineRule="exact"/>
        <w:rPr>
          <w:sz w:val="20"/>
          <w:szCs w:val="20"/>
          <w:color w:val="auto"/>
        </w:rPr>
      </w:pPr>
    </w:p>
    <w:p>
      <w:pPr>
        <w:ind w:left="375" w:right="620" w:hanging="375"/>
        <w:spacing w:after="0" w:line="260" w:lineRule="auto"/>
        <w:tabs>
          <w:tab w:leader="none" w:pos="375" w:val="left"/>
        </w:tabs>
        <w:numPr>
          <w:ilvl w:val="0"/>
          <w:numId w:val="81"/>
        </w:numPr>
        <w:rPr>
          <w:rFonts w:ascii="Arial" w:cs="Arial" w:eastAsia="Arial" w:hAnsi="Arial"/>
          <w:sz w:val="20"/>
          <w:szCs w:val="20"/>
          <w:color w:val="auto"/>
        </w:rPr>
      </w:pPr>
      <w:r>
        <w:rPr>
          <w:rFonts w:ascii="Arial" w:cs="Arial" w:eastAsia="Arial" w:hAnsi="Arial"/>
          <w:sz w:val="20"/>
          <w:szCs w:val="20"/>
          <w:color w:val="auto"/>
        </w:rPr>
        <w:t>Access to consumable including gowning materials, cleaning supplies (wipes, alcohol) and dry ice. Licensor personnel will stock and re-stock such materials on a routine basis.</w:t>
      </w:r>
    </w:p>
    <w:p>
      <w:pPr>
        <w:spacing w:after="0" w:line="69" w:lineRule="exact"/>
        <w:rPr>
          <w:sz w:val="20"/>
          <w:szCs w:val="20"/>
          <w:color w:val="auto"/>
        </w:rPr>
      </w:pPr>
    </w:p>
    <w:p>
      <w:pPr>
        <w:ind w:left="375" w:hanging="375"/>
        <w:spacing w:after="0"/>
        <w:tabs>
          <w:tab w:leader="none" w:pos="375" w:val="left"/>
        </w:tabs>
        <w:numPr>
          <w:ilvl w:val="0"/>
          <w:numId w:val="82"/>
        </w:numPr>
        <w:rPr>
          <w:rFonts w:ascii="Arial" w:cs="Arial" w:eastAsia="Arial" w:hAnsi="Arial"/>
          <w:sz w:val="20"/>
          <w:szCs w:val="20"/>
          <w:b w:val="1"/>
          <w:bCs w:val="1"/>
          <w:color w:val="auto"/>
        </w:rPr>
      </w:pPr>
      <w:r>
        <w:rPr>
          <w:rFonts w:ascii="Arial" w:cs="Arial" w:eastAsia="Arial" w:hAnsi="Arial"/>
          <w:sz w:val="20"/>
          <w:szCs w:val="20"/>
          <w:color w:val="auto"/>
        </w:rPr>
        <w:t>Facility Infrastructure/ Quality Management (Licensor owned assets)</w:t>
      </w:r>
    </w:p>
    <w:p>
      <w:pPr>
        <w:spacing w:after="0" w:line="108" w:lineRule="exact"/>
        <w:rPr>
          <w:sz w:val="20"/>
          <w:szCs w:val="20"/>
          <w:color w:val="auto"/>
        </w:rPr>
      </w:pPr>
    </w:p>
    <w:p>
      <w:pPr>
        <w:ind w:left="375" w:hanging="375"/>
        <w:spacing w:after="0"/>
        <w:tabs>
          <w:tab w:leader="none" w:pos="375" w:val="left"/>
        </w:tabs>
        <w:numPr>
          <w:ilvl w:val="0"/>
          <w:numId w:val="83"/>
        </w:numPr>
        <w:rPr>
          <w:rFonts w:ascii="Arial" w:cs="Arial" w:eastAsia="Arial" w:hAnsi="Arial"/>
          <w:sz w:val="20"/>
          <w:szCs w:val="20"/>
          <w:color w:val="auto"/>
        </w:rPr>
      </w:pPr>
      <w:r>
        <w:rPr>
          <w:rFonts w:ascii="Arial" w:cs="Arial" w:eastAsia="Arial" w:hAnsi="Arial"/>
          <w:sz w:val="20"/>
          <w:szCs w:val="20"/>
          <w:color w:val="auto"/>
        </w:rPr>
        <w:t>Security and access control for cGMP areas. Issuance and management of badges.</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3"/>
        </w:numPr>
        <w:rPr>
          <w:rFonts w:ascii="Arial" w:cs="Arial" w:eastAsia="Arial" w:hAnsi="Arial"/>
          <w:sz w:val="20"/>
          <w:szCs w:val="20"/>
          <w:color w:val="auto"/>
        </w:rPr>
      </w:pPr>
      <w:r>
        <w:rPr>
          <w:rFonts w:ascii="Arial" w:cs="Arial" w:eastAsia="Arial" w:hAnsi="Arial"/>
          <w:sz w:val="20"/>
          <w:szCs w:val="20"/>
          <w:color w:val="auto"/>
        </w:rPr>
        <w:t>Back-up power for entire facility with all controlled assets (both Licensor and client owned*)</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3"/>
        </w:numPr>
        <w:rPr>
          <w:rFonts w:ascii="Arial" w:cs="Arial" w:eastAsia="Arial" w:hAnsi="Arial"/>
          <w:sz w:val="20"/>
          <w:szCs w:val="20"/>
          <w:color w:val="auto"/>
        </w:rPr>
      </w:pPr>
      <w:r>
        <w:rPr>
          <w:rFonts w:ascii="Arial" w:cs="Arial" w:eastAsia="Arial" w:hAnsi="Arial"/>
          <w:sz w:val="20"/>
          <w:szCs w:val="20"/>
          <w:color w:val="auto"/>
        </w:rPr>
        <w:t>Pest control, housekeeping and non-gmp cleaning</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3"/>
        </w:numPr>
        <w:rPr>
          <w:rFonts w:ascii="Arial" w:cs="Arial" w:eastAsia="Arial" w:hAnsi="Arial"/>
          <w:sz w:val="20"/>
          <w:szCs w:val="20"/>
          <w:color w:val="auto"/>
        </w:rPr>
      </w:pPr>
      <w:r>
        <w:rPr>
          <w:rFonts w:ascii="Arial" w:cs="Arial" w:eastAsia="Arial" w:hAnsi="Arial"/>
          <w:sz w:val="20"/>
          <w:szCs w:val="20"/>
          <w:color w:val="auto"/>
        </w:rPr>
        <w:t>Waste removal and disposal (Biological, Hazardous, Non-Hazardous)</w:t>
      </w:r>
    </w:p>
    <w:p>
      <w:pPr>
        <w:spacing w:after="0" w:line="107" w:lineRule="exact"/>
        <w:rPr>
          <w:rFonts w:ascii="Arial" w:cs="Arial" w:eastAsia="Arial" w:hAnsi="Arial"/>
          <w:sz w:val="20"/>
          <w:szCs w:val="20"/>
          <w:color w:val="auto"/>
        </w:rPr>
      </w:pPr>
    </w:p>
    <w:p>
      <w:pPr>
        <w:ind w:left="375" w:right="860" w:hanging="375"/>
        <w:spacing w:after="0" w:line="260" w:lineRule="auto"/>
        <w:tabs>
          <w:tab w:leader="none" w:pos="375" w:val="left"/>
        </w:tabs>
        <w:numPr>
          <w:ilvl w:val="0"/>
          <w:numId w:val="83"/>
        </w:numPr>
        <w:rPr>
          <w:rFonts w:ascii="Arial" w:cs="Arial" w:eastAsia="Arial" w:hAnsi="Arial"/>
          <w:sz w:val="20"/>
          <w:szCs w:val="20"/>
          <w:color w:val="auto"/>
        </w:rPr>
      </w:pPr>
      <w:r>
        <w:rPr>
          <w:rFonts w:ascii="Arial" w:cs="Arial" w:eastAsia="Arial" w:hAnsi="Arial"/>
          <w:sz w:val="20"/>
          <w:szCs w:val="20"/>
          <w:color w:val="auto"/>
        </w:rPr>
        <w:t>Licensor owned asset management including installation, calibration, qualification, routine monitoring,maintenance, alarm management and documentation.</w:t>
      </w:r>
    </w:p>
    <w:p>
      <w:pPr>
        <w:spacing w:after="0" w:line="68" w:lineRule="exact"/>
        <w:rPr>
          <w:rFonts w:ascii="Arial" w:cs="Arial" w:eastAsia="Arial" w:hAnsi="Arial"/>
          <w:sz w:val="20"/>
          <w:szCs w:val="20"/>
          <w:color w:val="auto"/>
        </w:rPr>
      </w:pPr>
    </w:p>
    <w:p>
      <w:pPr>
        <w:ind w:left="435" w:right="3500" w:hanging="435"/>
        <w:spacing w:after="0" w:line="387" w:lineRule="auto"/>
        <w:tabs>
          <w:tab w:leader="none" w:pos="374" w:val="left"/>
        </w:tabs>
        <w:numPr>
          <w:ilvl w:val="0"/>
          <w:numId w:val="83"/>
        </w:numPr>
        <w:rPr>
          <w:rFonts w:ascii="Arial" w:cs="Arial" w:eastAsia="Arial" w:hAnsi="Arial"/>
          <w:sz w:val="18"/>
          <w:szCs w:val="18"/>
          <w:color w:val="auto"/>
        </w:rPr>
      </w:pPr>
      <w:r>
        <w:rPr>
          <w:rFonts w:ascii="Arial" w:cs="Arial" w:eastAsia="Arial" w:hAnsi="Arial"/>
          <w:sz w:val="18"/>
          <w:szCs w:val="18"/>
          <w:color w:val="auto"/>
        </w:rPr>
        <w:t>Quality management of all Licensor owned assets including incident management. * Client [***] will not be powered by the Back-Up Emergency Power Generators.</w:t>
      </w:r>
    </w:p>
    <w:p>
      <w:pPr>
        <w:spacing w:after="0" w:line="7" w:lineRule="exact"/>
        <w:rPr>
          <w:sz w:val="20"/>
          <w:szCs w:val="20"/>
          <w:color w:val="auto"/>
        </w:rPr>
      </w:pPr>
    </w:p>
    <w:p>
      <w:pPr>
        <w:ind w:left="375" w:right="120" w:hanging="375"/>
        <w:spacing w:after="0" w:line="250" w:lineRule="auto"/>
        <w:tabs>
          <w:tab w:leader="none" w:pos="375" w:val="left"/>
        </w:tabs>
        <w:numPr>
          <w:ilvl w:val="0"/>
          <w:numId w:val="84"/>
        </w:numPr>
        <w:rPr>
          <w:rFonts w:ascii="Arial" w:cs="Arial" w:eastAsia="Arial" w:hAnsi="Arial"/>
          <w:sz w:val="20"/>
          <w:szCs w:val="20"/>
          <w:b w:val="1"/>
          <w:bCs w:val="1"/>
          <w:color w:val="auto"/>
        </w:rPr>
      </w:pPr>
      <w:r>
        <w:rPr>
          <w:rFonts w:ascii="Arial" w:cs="Arial" w:eastAsia="Arial" w:hAnsi="Arial"/>
          <w:sz w:val="20"/>
          <w:szCs w:val="20"/>
          <w:color w:val="auto"/>
        </w:rPr>
        <w:t>Material Storage for 15 months in Licensor owned assets in dedicated qualified, controlled, monitored and maintained environments in the following Standard Minimum Units (SMU) monthly amounts. The monthly SMU amounts are determined based on the usage rates in 2020.</w:t>
      </w:r>
    </w:p>
    <w:p>
      <w:pPr>
        <w:spacing w:after="0" w:line="78" w:lineRule="exact"/>
        <w:rPr>
          <w:sz w:val="20"/>
          <w:szCs w:val="20"/>
          <w:color w:val="auto"/>
        </w:rPr>
      </w:pPr>
    </w:p>
    <w:p>
      <w:pPr>
        <w:ind w:left="375" w:hanging="375"/>
        <w:spacing w:after="0"/>
        <w:tabs>
          <w:tab w:leader="none" w:pos="375" w:val="left"/>
        </w:tabs>
        <w:numPr>
          <w:ilvl w:val="0"/>
          <w:numId w:val="85"/>
        </w:numPr>
        <w:rPr>
          <w:rFonts w:ascii="Arial" w:cs="Arial" w:eastAsia="Arial" w:hAnsi="Arial"/>
          <w:sz w:val="20"/>
          <w:szCs w:val="20"/>
          <w:color w:val="auto"/>
        </w:rPr>
      </w:pPr>
      <w:r>
        <w:rPr>
          <w:rFonts w:ascii="Arial" w:cs="Arial" w:eastAsia="Arial" w:hAnsi="Arial"/>
          <w:sz w:val="20"/>
          <w:szCs w:val="20"/>
          <w:color w:val="auto"/>
        </w:rPr>
        <w:t>[***] ambient pallets</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5"/>
        </w:numPr>
        <w:rPr>
          <w:rFonts w:ascii="Arial" w:cs="Arial" w:eastAsia="Arial" w:hAnsi="Arial"/>
          <w:sz w:val="20"/>
          <w:szCs w:val="20"/>
          <w:color w:val="auto"/>
        </w:rPr>
      </w:pPr>
      <w:r>
        <w:rPr>
          <w:rFonts w:ascii="Arial" w:cs="Arial" w:eastAsia="Arial" w:hAnsi="Arial"/>
          <w:sz w:val="20"/>
          <w:szCs w:val="20"/>
          <w:color w:val="auto"/>
        </w:rPr>
        <w:t>[***] ([***] ˚C) or equivalent controlled storage space</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5"/>
        </w:numPr>
        <w:rPr>
          <w:rFonts w:ascii="Arial" w:cs="Arial" w:eastAsia="Arial" w:hAnsi="Arial"/>
          <w:sz w:val="20"/>
          <w:szCs w:val="20"/>
          <w:color w:val="auto"/>
        </w:rPr>
      </w:pPr>
      <w:r>
        <w:rPr>
          <w:rFonts w:ascii="Arial" w:cs="Arial" w:eastAsia="Arial" w:hAnsi="Arial"/>
          <w:sz w:val="20"/>
          <w:szCs w:val="20"/>
          <w:color w:val="auto"/>
        </w:rPr>
        <w:t>[***] ([***] ˚C) or equivalent controlled storage space</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5"/>
        </w:numPr>
        <w:rPr>
          <w:rFonts w:ascii="Arial" w:cs="Arial" w:eastAsia="Arial" w:hAnsi="Arial"/>
          <w:sz w:val="20"/>
          <w:szCs w:val="20"/>
          <w:color w:val="auto"/>
        </w:rPr>
      </w:pPr>
      <w:r>
        <w:rPr>
          <w:rFonts w:ascii="Arial" w:cs="Arial" w:eastAsia="Arial" w:hAnsi="Arial"/>
          <w:sz w:val="20"/>
          <w:szCs w:val="20"/>
          <w:color w:val="auto"/>
        </w:rPr>
        <w:t>[***] ([***] ˚C)</w:t>
      </w:r>
    </w:p>
    <w:p>
      <w:pPr>
        <w:spacing w:after="0" w:line="216" w:lineRule="exact"/>
        <w:rPr>
          <w:sz w:val="20"/>
          <w:szCs w:val="20"/>
          <w:color w:val="auto"/>
        </w:rPr>
      </w:pPr>
    </w:p>
    <w:p>
      <w:pPr>
        <w:jc w:val="center"/>
        <w:ind w:right="-174"/>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66040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55"/>
          </w:cols>
          <w:pgMar w:left="625" w:top="528" w:right="819" w:bottom="1440" w:gutter="0" w:footer="0" w:header="0"/>
        </w:sectPr>
      </w:pPr>
    </w:p>
    <w:bookmarkStart w:id="123" w:name="page124"/>
    <w:bookmarkEnd w:id="123"/>
    <w:p>
      <w:pPr>
        <w:ind w:left="375" w:hanging="375"/>
        <w:spacing w:after="0"/>
        <w:tabs>
          <w:tab w:leader="none" w:pos="375"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Personnel Support (180 hrs per month)</w:t>
      </w:r>
    </w:p>
    <w:p>
      <w:pPr>
        <w:spacing w:after="0" w:line="108" w:lineRule="exact"/>
        <w:rPr>
          <w:sz w:val="20"/>
          <w:szCs w:val="20"/>
          <w:color w:val="auto"/>
        </w:rPr>
      </w:pPr>
    </w:p>
    <w:p>
      <w:pPr>
        <w:ind w:left="375" w:right="1200" w:hanging="375"/>
        <w:spacing w:after="0" w:line="260" w:lineRule="auto"/>
        <w:tabs>
          <w:tab w:leader="none" w:pos="3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Materials management including receipt, inspection, labeling, inventory management, segregation,movement, staging/kitting and raw materials quality release based on CofA.</w:t>
      </w:r>
    </w:p>
    <w:p>
      <w:pPr>
        <w:spacing w:after="0" w:line="68" w:lineRule="exact"/>
        <w:rPr>
          <w:rFonts w:ascii="Arial" w:cs="Arial" w:eastAsia="Arial" w:hAnsi="Arial"/>
          <w:sz w:val="20"/>
          <w:szCs w:val="20"/>
          <w:color w:val="auto"/>
        </w:rPr>
      </w:pPr>
    </w:p>
    <w:p>
      <w:pPr>
        <w:ind w:left="375" w:hanging="375"/>
        <w:spacing w:after="0"/>
        <w:tabs>
          <w:tab w:leader="none" w:pos="3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Routine project meetings for scheduling, reporting, budget updates and issue resolution.</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On-site support on an on-going basis.</w:t>
      </w:r>
    </w:p>
    <w:p>
      <w:pPr>
        <w:spacing w:after="0" w:line="107" w:lineRule="exact"/>
        <w:rPr>
          <w:rFonts w:ascii="Arial" w:cs="Arial" w:eastAsia="Arial" w:hAnsi="Arial"/>
          <w:sz w:val="20"/>
          <w:szCs w:val="20"/>
          <w:color w:val="auto"/>
        </w:rPr>
      </w:pPr>
    </w:p>
    <w:p>
      <w:pPr>
        <w:ind w:left="375" w:right="1080" w:hanging="375"/>
        <w:spacing w:after="0" w:line="260" w:lineRule="auto"/>
        <w:tabs>
          <w:tab w:leader="none" w:pos="3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Coordination/scheduling of shipment pickup and drop-off activities, packaging and labeling ofsamples, product shipments etc. Reconciliation of temperature monitors used for shipments.</w:t>
      </w:r>
    </w:p>
    <w:p>
      <w:pPr>
        <w:spacing w:after="0" w:line="68" w:lineRule="exact"/>
        <w:rPr>
          <w:rFonts w:ascii="Arial" w:cs="Arial" w:eastAsia="Arial" w:hAnsi="Arial"/>
          <w:sz w:val="20"/>
          <w:szCs w:val="20"/>
          <w:color w:val="auto"/>
        </w:rPr>
      </w:pPr>
    </w:p>
    <w:p>
      <w:pPr>
        <w:ind w:left="375" w:right="1200" w:hanging="375"/>
        <w:spacing w:after="0" w:line="260" w:lineRule="auto"/>
        <w:tabs>
          <w:tab w:leader="none" w:pos="3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Standard hours of support are Monday-Friday 0700-1900. Off-hour support must be coordinated with Facility management.</w:t>
      </w:r>
    </w:p>
    <w:p>
      <w:pPr>
        <w:spacing w:after="0" w:line="199" w:lineRule="exact"/>
        <w:rPr>
          <w:sz w:val="20"/>
          <w:szCs w:val="20"/>
          <w:color w:val="auto"/>
        </w:rPr>
      </w:pPr>
    </w:p>
    <w:p>
      <w:pPr>
        <w:ind w:left="375" w:right="80" w:hanging="375"/>
        <w:spacing w:after="0" w:line="267" w:lineRule="auto"/>
        <w:tabs>
          <w:tab w:leader="none" w:pos="375" w:val="left"/>
        </w:tabs>
        <w:numPr>
          <w:ilvl w:val="0"/>
          <w:numId w:val="88"/>
        </w:numPr>
        <w:rPr>
          <w:rFonts w:ascii="Arial" w:cs="Arial" w:eastAsia="Arial" w:hAnsi="Arial"/>
          <w:sz w:val="20"/>
          <w:szCs w:val="20"/>
          <w:b w:val="1"/>
          <w:bCs w:val="1"/>
          <w:color w:val="auto"/>
        </w:rPr>
      </w:pPr>
      <w:r>
        <w:rPr>
          <w:rFonts w:ascii="Arial" w:cs="Arial" w:eastAsia="Arial" w:hAnsi="Arial"/>
          <w:sz w:val="20"/>
          <w:szCs w:val="20"/>
          <w:color w:val="auto"/>
        </w:rPr>
        <w:t xml:space="preserve">Dedicated office space for </w:t>
      </w:r>
      <w:r>
        <w:rPr>
          <w:rFonts w:ascii="Arial" w:cs="Arial" w:eastAsia="Arial" w:hAnsi="Arial"/>
          <w:sz w:val="21"/>
          <w:szCs w:val="21"/>
          <w:color w:val="auto"/>
        </w:rPr>
        <w:t>Licensee</w:t>
      </w:r>
      <w:r>
        <w:rPr>
          <w:rFonts w:ascii="Arial" w:cs="Arial" w:eastAsia="Arial" w:hAnsi="Arial"/>
          <w:sz w:val="20"/>
          <w:szCs w:val="20"/>
          <w:color w:val="auto"/>
        </w:rPr>
        <w:t xml:space="preserve"> personnel with access to telephone, printer/scanner, wirelessinternet, television/Monitor, office supplies and cafeteria.</w:t>
      </w:r>
    </w:p>
    <w:p>
      <w:pPr>
        <w:spacing w:after="0" w:line="164" w:lineRule="exact"/>
        <w:rPr>
          <w:sz w:val="20"/>
          <w:szCs w:val="20"/>
          <w:color w:val="auto"/>
        </w:rPr>
      </w:pPr>
    </w:p>
    <w:p>
      <w:pPr>
        <w:ind w:left="35"/>
        <w:spacing w:after="0"/>
        <w:rPr>
          <w:sz w:val="20"/>
          <w:szCs w:val="20"/>
          <w:color w:val="auto"/>
        </w:rPr>
      </w:pPr>
      <w:r>
        <w:rPr>
          <w:rFonts w:ascii="Arial" w:cs="Arial" w:eastAsia="Arial" w:hAnsi="Arial"/>
          <w:sz w:val="22"/>
          <w:szCs w:val="22"/>
          <w:color w:val="12559A"/>
        </w:rPr>
        <w:t>Section 4 – Fees</w:t>
      </w:r>
    </w:p>
    <w:p>
      <w:pPr>
        <w:spacing w:after="0" w:line="98" w:lineRule="exact"/>
        <w:rPr>
          <w:sz w:val="20"/>
          <w:szCs w:val="20"/>
          <w:color w:val="auto"/>
        </w:rPr>
      </w:pPr>
    </w:p>
    <w:p>
      <w:pPr>
        <w:ind w:left="375" w:hanging="375"/>
        <w:spacing w:after="0"/>
        <w:tabs>
          <w:tab w:leader="none" w:pos="375" w:val="left"/>
        </w:tabs>
        <w:numPr>
          <w:ilvl w:val="0"/>
          <w:numId w:val="89"/>
        </w:numPr>
        <w:rPr>
          <w:rFonts w:ascii="Arial" w:cs="Arial" w:eastAsia="Arial" w:hAnsi="Arial"/>
          <w:sz w:val="20"/>
          <w:szCs w:val="20"/>
          <w:b w:val="1"/>
          <w:bCs w:val="1"/>
          <w:color w:val="auto"/>
        </w:rPr>
      </w:pPr>
      <w:r>
        <w:rPr>
          <w:rFonts w:ascii="Arial" w:cs="Arial" w:eastAsia="Arial" w:hAnsi="Arial"/>
          <w:sz w:val="22"/>
          <w:szCs w:val="22"/>
          <w:color w:val="auto"/>
        </w:rPr>
        <w:t>License Fee</w:t>
      </w:r>
    </w:p>
    <w:p>
      <w:pPr>
        <w:spacing w:after="0" w:line="206" w:lineRule="exact"/>
        <w:rPr>
          <w:sz w:val="20"/>
          <w:szCs w:val="20"/>
          <w:color w:val="auto"/>
        </w:rPr>
      </w:pPr>
    </w:p>
    <w:p>
      <w:pPr>
        <w:ind w:left="35"/>
        <w:spacing w:after="0" w:line="238" w:lineRule="auto"/>
        <w:rPr>
          <w:sz w:val="20"/>
          <w:szCs w:val="20"/>
          <w:color w:val="auto"/>
        </w:rPr>
      </w:pPr>
      <w:r>
        <w:rPr>
          <w:rFonts w:ascii="Arial" w:cs="Arial" w:eastAsia="Arial" w:hAnsi="Arial"/>
          <w:sz w:val="22"/>
          <w:szCs w:val="22"/>
          <w:color w:val="auto"/>
        </w:rPr>
        <w:t>The License Fee will be pre-paid on a monthly basis and includes items listed under the relevant category in Table 1 below. A monthly Variable Budget for support services overage compared to SMU amounts and out of scope activities has been established at $</w:t>
      </w:r>
      <w:r>
        <w:rPr>
          <w:rFonts w:ascii="Arial" w:cs="Arial" w:eastAsia="Arial" w:hAnsi="Arial"/>
          <w:sz w:val="19"/>
          <w:szCs w:val="19"/>
          <w:color w:val="auto"/>
        </w:rPr>
        <w:t>[***]</w:t>
      </w:r>
      <w:r>
        <w:rPr>
          <w:rFonts w:ascii="Arial" w:cs="Arial" w:eastAsia="Arial" w:hAnsi="Arial"/>
          <w:sz w:val="22"/>
          <w:szCs w:val="22"/>
          <w:color w:val="auto"/>
        </w:rPr>
        <w:t xml:space="preserve"> per month. Specifically, the variable budget will cover the following known items, as needed:</w:t>
      </w:r>
    </w:p>
    <w:p>
      <w:pPr>
        <w:spacing w:after="0" w:line="81" w:lineRule="exact"/>
        <w:rPr>
          <w:sz w:val="20"/>
          <w:szCs w:val="20"/>
          <w:color w:val="auto"/>
        </w:rPr>
      </w:pPr>
    </w:p>
    <w:p>
      <w:pPr>
        <w:ind w:left="375" w:hanging="375"/>
        <w:spacing w:after="0"/>
        <w:tabs>
          <w:tab w:leader="none" w:pos="375" w:val="left"/>
        </w:tabs>
        <w:numPr>
          <w:ilvl w:val="0"/>
          <w:numId w:val="90"/>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90"/>
        </w:numPr>
        <w:rPr>
          <w:rFonts w:ascii="Arial" w:cs="Arial" w:eastAsia="Arial" w:hAnsi="Arial"/>
          <w:sz w:val="20"/>
          <w:szCs w:val="20"/>
          <w:color w:val="auto"/>
        </w:rPr>
      </w:pP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375" w:hanging="375"/>
        <w:spacing w:after="0"/>
        <w:tabs>
          <w:tab w:leader="none" w:pos="375" w:val="left"/>
        </w:tabs>
        <w:numPr>
          <w:ilvl w:val="0"/>
          <w:numId w:val="90"/>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center"/>
        <w:ind w:right="-354"/>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66040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75"/>
          </w:cols>
          <w:pgMar w:left="625" w:top="528" w:right="999" w:bottom="1440" w:gutter="0" w:footer="0" w:header="0"/>
        </w:sectPr>
      </w:pPr>
    </w:p>
    <w:bookmarkStart w:id="124" w:name="page125"/>
    <w:bookmarkEnd w:id="124"/>
    <w:p>
      <w:pPr>
        <w:jc w:val="both"/>
        <w:ind w:left="340" w:right="640"/>
        <w:spacing w:after="0" w:line="297" w:lineRule="auto"/>
        <w:rPr>
          <w:sz w:val="20"/>
          <w:szCs w:val="20"/>
          <w:color w:val="auto"/>
        </w:rPr>
      </w:pPr>
      <w:r>
        <w:rPr>
          <w:rFonts w:ascii="Arial" w:cs="Arial" w:eastAsia="Arial" w:hAnsi="Arial"/>
          <w:sz w:val="19"/>
          <w:szCs w:val="19"/>
          <w:color w:val="auto"/>
        </w:rPr>
        <w:t>Table 4 below shows the costs related to support services for monthly overages and other services to be covered by the Variable Budget, if required. Note that the unit costs of overages are higher than unit costs included in the License Fees as unplanned activities result in additional costs such as offsite storage, material movement and personnel time.</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360" w:type="dxa"/>
            <w:vAlign w:val="bottom"/>
            <w:tcBorders>
              <w:top w:val="single" w:sz="8" w:color="auto"/>
              <w:left w:val="single" w:sz="8" w:color="auto"/>
            </w:tcBorders>
          </w:tcPr>
          <w:p>
            <w:pPr>
              <w:spacing w:after="0"/>
              <w:rPr>
                <w:sz w:val="21"/>
                <w:szCs w:val="21"/>
                <w:color w:val="auto"/>
              </w:rPr>
            </w:pPr>
          </w:p>
        </w:tc>
        <w:tc>
          <w:tcPr>
            <w:tcW w:w="4280" w:type="dxa"/>
            <w:vAlign w:val="bottom"/>
            <w:tcBorders>
              <w:top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Table 1: 2021 Project Costs</w:t>
            </w:r>
          </w:p>
        </w:tc>
        <w:tc>
          <w:tcPr>
            <w:tcW w:w="200" w:type="dxa"/>
            <w:vAlign w:val="bottom"/>
            <w:tcBorders>
              <w:top w:val="single" w:sz="8" w:color="auto"/>
            </w:tcBorders>
          </w:tcPr>
          <w:p>
            <w:pPr>
              <w:spacing w:after="0"/>
              <w:rPr>
                <w:sz w:val="21"/>
                <w:szCs w:val="21"/>
                <w:color w:val="auto"/>
              </w:rPr>
            </w:pPr>
          </w:p>
        </w:tc>
        <w:tc>
          <w:tcPr>
            <w:tcW w:w="24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60" w:type="dxa"/>
            <w:vAlign w:val="bottom"/>
            <w:tcBorders>
              <w:left w:val="single" w:sz="8" w:color="auto"/>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236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Item Description</w:t>
            </w:r>
          </w:p>
        </w:tc>
        <w:tc>
          <w:tcPr>
            <w:tcW w:w="22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 of Units/month</w:t>
            </w:r>
          </w:p>
        </w:tc>
        <w:tc>
          <w:tcPr>
            <w:tcW w:w="2000" w:type="dxa"/>
            <w:vAlign w:val="bottom"/>
            <w:shd w:val="clear" w:color="auto" w:fill="D9D9D9"/>
          </w:tcPr>
          <w:p>
            <w:pPr>
              <w:jc w:val="center"/>
              <w:ind w:left="83"/>
              <w:spacing w:after="0"/>
              <w:rPr>
                <w:sz w:val="20"/>
                <w:szCs w:val="20"/>
                <w:color w:val="auto"/>
              </w:rPr>
            </w:pPr>
            <w:r>
              <w:rPr>
                <w:rFonts w:ascii="Arial" w:cs="Arial" w:eastAsia="Arial" w:hAnsi="Arial"/>
                <w:sz w:val="18"/>
                <w:szCs w:val="18"/>
                <w:b w:val="1"/>
                <w:bCs w:val="1"/>
                <w:color w:val="auto"/>
                <w:w w:val="92"/>
              </w:rPr>
              <w:t>Unit Cost in 2021 Per</w:t>
            </w:r>
          </w:p>
        </w:tc>
        <w:tc>
          <w:tcPr>
            <w:tcW w:w="200" w:type="dxa"/>
            <w:vAlign w:val="bottom"/>
            <w:tcBorders>
              <w:right w:val="single" w:sz="8" w:color="auto"/>
            </w:tcBorders>
            <w:shd w:val="clear" w:color="auto" w:fill="D9D9D9"/>
          </w:tcPr>
          <w:p>
            <w:pPr>
              <w:spacing w:after="0"/>
              <w:rPr>
                <w:sz w:val="24"/>
                <w:szCs w:val="24"/>
                <w:color w:val="auto"/>
              </w:rPr>
            </w:pPr>
          </w:p>
        </w:tc>
        <w:tc>
          <w:tcPr>
            <w:tcW w:w="244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Monthly Cost in 2021</w:t>
            </w:r>
          </w:p>
        </w:tc>
        <w:tc>
          <w:tcPr>
            <w:tcW w:w="0" w:type="dxa"/>
            <w:vAlign w:val="bottom"/>
          </w:tcPr>
          <w:p>
            <w:pPr>
              <w:spacing w:after="0"/>
              <w:rPr>
                <w:sz w:val="1"/>
                <w:szCs w:val="1"/>
                <w:color w:val="auto"/>
              </w:rPr>
            </w:pPr>
          </w:p>
        </w:tc>
      </w:tr>
      <w:tr>
        <w:trPr>
          <w:trHeight w:val="126"/>
        </w:trPr>
        <w:tc>
          <w:tcPr>
            <w:tcW w:w="2360" w:type="dxa"/>
            <w:vAlign w:val="bottom"/>
            <w:tcBorders>
              <w:left w:val="single" w:sz="8" w:color="auto"/>
              <w:right w:val="single" w:sz="8" w:color="auto"/>
            </w:tcBorders>
            <w:shd w:val="clear" w:color="auto" w:fill="D9D9D9"/>
          </w:tcPr>
          <w:p>
            <w:pPr>
              <w:spacing w:after="0"/>
              <w:rPr>
                <w:sz w:val="10"/>
                <w:szCs w:val="10"/>
                <w:color w:val="auto"/>
              </w:rPr>
            </w:pPr>
          </w:p>
        </w:tc>
        <w:tc>
          <w:tcPr>
            <w:tcW w:w="2280" w:type="dxa"/>
            <w:vAlign w:val="bottom"/>
            <w:tcBorders>
              <w:right w:val="single" w:sz="8" w:color="auto"/>
            </w:tcBorders>
            <w:vMerge w:val="continue"/>
            <w:shd w:val="clear" w:color="auto" w:fill="D9D9D9"/>
          </w:tcPr>
          <w:p>
            <w:pPr>
              <w:spacing w:after="0"/>
              <w:rPr>
                <w:sz w:val="10"/>
                <w:szCs w:val="10"/>
                <w:color w:val="auto"/>
              </w:rPr>
            </w:pPr>
          </w:p>
        </w:tc>
        <w:tc>
          <w:tcPr>
            <w:tcW w:w="2000" w:type="dxa"/>
            <w:vAlign w:val="bottom"/>
            <w:vMerge w:val="restart"/>
            <w:shd w:val="clear" w:color="auto" w:fill="D9D9D9"/>
          </w:tcPr>
          <w:p>
            <w:pPr>
              <w:jc w:val="center"/>
              <w:ind w:left="83"/>
              <w:spacing w:after="0"/>
              <w:rPr>
                <w:sz w:val="20"/>
                <w:szCs w:val="20"/>
                <w:color w:val="auto"/>
              </w:rPr>
            </w:pPr>
            <w:r>
              <w:rPr>
                <w:rFonts w:ascii="Arial" w:cs="Arial" w:eastAsia="Arial" w:hAnsi="Arial"/>
                <w:sz w:val="18"/>
                <w:szCs w:val="18"/>
                <w:b w:val="1"/>
                <w:bCs w:val="1"/>
                <w:color w:val="auto"/>
                <w:w w:val="91"/>
              </w:rPr>
              <w:t>existing SOW</w:t>
            </w:r>
          </w:p>
        </w:tc>
        <w:tc>
          <w:tcPr>
            <w:tcW w:w="200" w:type="dxa"/>
            <w:vAlign w:val="bottom"/>
            <w:tcBorders>
              <w:right w:val="single" w:sz="8" w:color="auto"/>
            </w:tcBorders>
            <w:shd w:val="clear" w:color="auto" w:fill="D9D9D9"/>
          </w:tcPr>
          <w:p>
            <w:pPr>
              <w:spacing w:after="0"/>
              <w:rPr>
                <w:sz w:val="10"/>
                <w:szCs w:val="10"/>
                <w:color w:val="auto"/>
              </w:rPr>
            </w:pPr>
          </w:p>
        </w:tc>
        <w:tc>
          <w:tcPr>
            <w:tcW w:w="244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Borders>
              <w:left w:val="single" w:sz="8" w:color="auto"/>
              <w:right w:val="single" w:sz="8" w:color="auto"/>
            </w:tcBorders>
            <w:shd w:val="clear" w:color="auto" w:fill="D9D9D9"/>
          </w:tcPr>
          <w:p>
            <w:pPr>
              <w:spacing w:after="0"/>
              <w:rPr>
                <w:sz w:val="9"/>
                <w:szCs w:val="9"/>
                <w:color w:val="auto"/>
              </w:rPr>
            </w:pPr>
          </w:p>
        </w:tc>
        <w:tc>
          <w:tcPr>
            <w:tcW w:w="2280" w:type="dxa"/>
            <w:vAlign w:val="bottom"/>
            <w:tcBorders>
              <w:right w:val="single" w:sz="8" w:color="auto"/>
            </w:tcBorders>
            <w:shd w:val="clear" w:color="auto" w:fill="D9D9D9"/>
          </w:tcPr>
          <w:p>
            <w:pPr>
              <w:spacing w:after="0"/>
              <w:rPr>
                <w:sz w:val="9"/>
                <w:szCs w:val="9"/>
                <w:color w:val="auto"/>
              </w:rPr>
            </w:pPr>
          </w:p>
        </w:tc>
        <w:tc>
          <w:tcPr>
            <w:tcW w:w="2000" w:type="dxa"/>
            <w:vAlign w:val="bottom"/>
            <w:vMerge w:val="continue"/>
            <w:shd w:val="clear" w:color="auto" w:fill="D9D9D9"/>
          </w:tcPr>
          <w:p>
            <w:pPr>
              <w:spacing w:after="0"/>
              <w:rPr>
                <w:sz w:val="9"/>
                <w:szCs w:val="9"/>
                <w:color w:val="auto"/>
              </w:rPr>
            </w:pPr>
          </w:p>
        </w:tc>
        <w:tc>
          <w:tcPr>
            <w:tcW w:w="200" w:type="dxa"/>
            <w:vAlign w:val="bottom"/>
            <w:tcBorders>
              <w:right w:val="single" w:sz="8" w:color="auto"/>
            </w:tcBorders>
            <w:shd w:val="clear" w:color="auto" w:fill="D9D9D9"/>
          </w:tcPr>
          <w:p>
            <w:pPr>
              <w:spacing w:after="0"/>
              <w:rPr>
                <w:sz w:val="9"/>
                <w:szCs w:val="9"/>
                <w:color w:val="auto"/>
              </w:rPr>
            </w:pPr>
          </w:p>
        </w:tc>
        <w:tc>
          <w:tcPr>
            <w:tcW w:w="2440" w:type="dxa"/>
            <w:vAlign w:val="bottom"/>
            <w:tcBorders>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280" w:type="dxa"/>
            <w:vAlign w:val="bottom"/>
            <w:tcBorders>
              <w:bottom w:val="single" w:sz="8" w:color="auto"/>
              <w:right w:val="single" w:sz="8" w:color="auto"/>
            </w:tcBorders>
            <w:shd w:val="clear" w:color="auto" w:fill="D9D9D9"/>
          </w:tcPr>
          <w:p>
            <w:pPr>
              <w:spacing w:after="0"/>
              <w:rPr>
                <w:sz w:val="11"/>
                <w:szCs w:val="11"/>
                <w:color w:val="auto"/>
              </w:rPr>
            </w:pPr>
          </w:p>
        </w:tc>
        <w:tc>
          <w:tcPr>
            <w:tcW w:w="2000" w:type="dxa"/>
            <w:vAlign w:val="bottom"/>
            <w:tcBorders>
              <w:bottom w:val="single" w:sz="8" w:color="auto"/>
            </w:tcBorders>
            <w:shd w:val="clear" w:color="auto" w:fill="D9D9D9"/>
          </w:tcPr>
          <w:p>
            <w:pPr>
              <w:spacing w:after="0"/>
              <w:rPr>
                <w:sz w:val="11"/>
                <w:szCs w:val="11"/>
                <w:color w:val="auto"/>
              </w:rPr>
            </w:pPr>
          </w:p>
        </w:tc>
        <w:tc>
          <w:tcPr>
            <w:tcW w:w="200" w:type="dxa"/>
            <w:vAlign w:val="bottom"/>
            <w:tcBorders>
              <w:bottom w:val="single" w:sz="8" w:color="auto"/>
              <w:right w:val="single" w:sz="8" w:color="auto"/>
            </w:tcBorders>
            <w:shd w:val="clear" w:color="auto" w:fill="D9D9D9"/>
          </w:tcPr>
          <w:p>
            <w:pPr>
              <w:spacing w:after="0"/>
              <w:rPr>
                <w:sz w:val="11"/>
                <w:szCs w:val="11"/>
                <w:color w:val="auto"/>
              </w:rPr>
            </w:pPr>
          </w:p>
        </w:tc>
        <w:tc>
          <w:tcPr>
            <w:tcW w:w="2440" w:type="dxa"/>
            <w:vAlign w:val="bottom"/>
            <w:tcBorders>
              <w:bottom w:val="single" w:sz="8" w:color="auto"/>
              <w:right w:val="single" w:sz="8" w:color="auto"/>
            </w:tcBorders>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Personnel Support*</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Consumables*</w:t>
            </w:r>
          </w:p>
        </w:tc>
        <w:tc>
          <w:tcPr>
            <w:tcW w:w="22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D9D9D9"/>
          </w:tcPr>
          <w:p>
            <w:pPr>
              <w:jc w:val="center"/>
              <w:ind w:left="83"/>
              <w:spacing w:after="0" w:line="223" w:lineRule="exact"/>
              <w:rPr>
                <w:sz w:val="20"/>
                <w:szCs w:val="20"/>
                <w:color w:val="auto"/>
              </w:rPr>
            </w:pPr>
            <w:r>
              <w:rPr>
                <w:rFonts w:ascii="Arial" w:cs="Arial" w:eastAsia="Arial" w:hAnsi="Arial"/>
                <w:sz w:val="20"/>
                <w:szCs w:val="20"/>
                <w:color w:val="auto"/>
              </w:rPr>
              <w:t>[***]</w:t>
            </w:r>
          </w:p>
        </w:tc>
        <w:tc>
          <w:tcPr>
            <w:tcW w:w="200" w:type="dxa"/>
            <w:vAlign w:val="bottom"/>
            <w:tcBorders>
              <w:bottom w:val="single" w:sz="8" w:color="auto"/>
              <w:right w:val="single" w:sz="8" w:color="auto"/>
            </w:tcBorders>
            <w:shd w:val="clear" w:color="auto" w:fill="D9D9D9"/>
          </w:tcPr>
          <w:p>
            <w:pPr>
              <w:spacing w:after="0"/>
              <w:rPr>
                <w:sz w:val="19"/>
                <w:szCs w:val="19"/>
                <w:color w:val="auto"/>
              </w:rPr>
            </w:pPr>
          </w:p>
        </w:tc>
        <w:tc>
          <w:tcPr>
            <w:tcW w:w="24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95"/>
        </w:trPr>
        <w:tc>
          <w:tcPr>
            <w:tcW w:w="4640" w:type="dxa"/>
            <w:vAlign w:val="bottom"/>
            <w:tcBorders>
              <w:left w:val="single" w:sz="8" w:color="auto"/>
              <w:right w:val="single" w:sz="8" w:color="auto"/>
            </w:tcBorders>
            <w:gridSpan w:val="2"/>
            <w:shd w:val="clear" w:color="auto" w:fill="D9D9D9"/>
          </w:tcPr>
          <w:p>
            <w:pPr>
              <w:ind w:left="1740"/>
              <w:spacing w:after="0"/>
              <w:rPr>
                <w:sz w:val="20"/>
                <w:szCs w:val="20"/>
                <w:color w:val="auto"/>
              </w:rPr>
            </w:pPr>
            <w:r>
              <w:rPr>
                <w:rFonts w:ascii="Arial" w:cs="Arial" w:eastAsia="Arial" w:hAnsi="Arial"/>
                <w:sz w:val="18"/>
                <w:szCs w:val="18"/>
                <w:b w:val="1"/>
                <w:bCs w:val="1"/>
                <w:color w:val="auto"/>
              </w:rPr>
              <w:t>Monthly Totals</w:t>
            </w:r>
          </w:p>
        </w:tc>
        <w:tc>
          <w:tcPr>
            <w:tcW w:w="2000" w:type="dxa"/>
            <w:vAlign w:val="bottom"/>
            <w:shd w:val="clear" w:color="auto" w:fill="D9D9D9"/>
          </w:tcPr>
          <w:p>
            <w:pPr>
              <w:spacing w:after="0"/>
              <w:rPr>
                <w:sz w:val="24"/>
                <w:szCs w:val="24"/>
                <w:color w:val="auto"/>
              </w:rPr>
            </w:pPr>
          </w:p>
        </w:tc>
        <w:tc>
          <w:tcPr>
            <w:tcW w:w="2640" w:type="dxa"/>
            <w:vAlign w:val="bottom"/>
            <w:tcBorders>
              <w:right w:val="single" w:sz="8" w:color="auto"/>
            </w:tcBorders>
            <w:gridSpan w:val="2"/>
            <w:shd w:val="clear" w:color="auto" w:fill="D9D9D9"/>
          </w:tcPr>
          <w:p>
            <w:pPr>
              <w:jc w:val="right"/>
              <w:ind w:right="202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2360" w:type="dxa"/>
            <w:vAlign w:val="bottom"/>
            <w:tcBorders>
              <w:left w:val="single" w:sz="8" w:color="auto"/>
              <w:bottom w:val="single" w:sz="8" w:color="auto"/>
              <w:right w:val="single" w:sz="8" w:color="D9D9D9"/>
            </w:tcBorders>
            <w:shd w:val="clear" w:color="auto" w:fill="D9D9D9"/>
          </w:tcPr>
          <w:p>
            <w:pPr>
              <w:spacing w:after="0"/>
              <w:rPr>
                <w:sz w:val="6"/>
                <w:szCs w:val="6"/>
                <w:color w:val="auto"/>
              </w:rPr>
            </w:pPr>
          </w:p>
        </w:tc>
        <w:tc>
          <w:tcPr>
            <w:tcW w:w="2280" w:type="dxa"/>
            <w:vAlign w:val="bottom"/>
            <w:tcBorders>
              <w:bottom w:val="single" w:sz="8" w:color="auto"/>
              <w:right w:val="single" w:sz="8" w:color="auto"/>
            </w:tcBorders>
            <w:shd w:val="clear" w:color="auto" w:fill="D9D9D9"/>
          </w:tcPr>
          <w:p>
            <w:pPr>
              <w:spacing w:after="0"/>
              <w:rPr>
                <w:sz w:val="6"/>
                <w:szCs w:val="6"/>
                <w:color w:val="auto"/>
              </w:rPr>
            </w:pPr>
          </w:p>
        </w:tc>
        <w:tc>
          <w:tcPr>
            <w:tcW w:w="2000" w:type="dxa"/>
            <w:vAlign w:val="bottom"/>
            <w:tcBorders>
              <w:bottom w:val="single" w:sz="8" w:color="auto"/>
            </w:tcBorders>
            <w:shd w:val="clear" w:color="auto" w:fill="D9D9D9"/>
          </w:tcPr>
          <w:p>
            <w:pPr>
              <w:spacing w:after="0"/>
              <w:rPr>
                <w:sz w:val="6"/>
                <w:szCs w:val="6"/>
                <w:color w:val="auto"/>
              </w:rPr>
            </w:pPr>
          </w:p>
        </w:tc>
        <w:tc>
          <w:tcPr>
            <w:tcW w:w="200" w:type="dxa"/>
            <w:vAlign w:val="bottom"/>
            <w:tcBorders>
              <w:bottom w:val="single" w:sz="8" w:color="auto"/>
              <w:right w:val="single" w:sz="8" w:color="D9D9D9"/>
            </w:tcBorders>
            <w:shd w:val="clear" w:color="auto" w:fill="D9D9D9"/>
          </w:tcPr>
          <w:p>
            <w:pPr>
              <w:spacing w:after="0"/>
              <w:rPr>
                <w:sz w:val="6"/>
                <w:szCs w:val="6"/>
                <w:color w:val="auto"/>
              </w:rPr>
            </w:pPr>
          </w:p>
        </w:tc>
        <w:tc>
          <w:tcPr>
            <w:tcW w:w="2440" w:type="dxa"/>
            <w:vAlign w:val="bottom"/>
            <w:tcBorders>
              <w:bottom w:val="single" w:sz="8" w:color="auto"/>
              <w:right w:val="single" w:sz="8" w:color="auto"/>
            </w:tcBorders>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color w:val="auto"/>
                <w:w w:val="92"/>
              </w:rPr>
              <w:t>Variable Budget</w:t>
            </w:r>
          </w:p>
        </w:tc>
        <w:tc>
          <w:tcPr>
            <w:tcW w:w="22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000" w:type="dxa"/>
            <w:vAlign w:val="bottom"/>
            <w:shd w:val="clear" w:color="auto" w:fill="D9D9D9"/>
          </w:tcPr>
          <w:p>
            <w:pPr>
              <w:jc w:val="center"/>
              <w:ind w:left="83"/>
              <w:spacing w:after="0"/>
              <w:rPr>
                <w:sz w:val="20"/>
                <w:szCs w:val="20"/>
                <w:color w:val="auto"/>
              </w:rPr>
            </w:pPr>
            <w:r>
              <w:rPr>
                <w:rFonts w:ascii="Arial" w:cs="Arial" w:eastAsia="Arial" w:hAnsi="Arial"/>
                <w:sz w:val="20"/>
                <w:szCs w:val="20"/>
                <w:color w:val="auto"/>
              </w:rPr>
              <w:t>[***]</w:t>
            </w:r>
          </w:p>
        </w:tc>
        <w:tc>
          <w:tcPr>
            <w:tcW w:w="200" w:type="dxa"/>
            <w:vAlign w:val="bottom"/>
            <w:tcBorders>
              <w:right w:val="single" w:sz="8" w:color="auto"/>
            </w:tcBorders>
            <w:shd w:val="clear" w:color="auto" w:fill="D9D9D9"/>
          </w:tcPr>
          <w:p>
            <w:pPr>
              <w:spacing w:after="0"/>
              <w:rPr>
                <w:sz w:val="20"/>
                <w:szCs w:val="20"/>
                <w:color w:val="auto"/>
              </w:rPr>
            </w:pPr>
          </w:p>
        </w:tc>
        <w:tc>
          <w:tcPr>
            <w:tcW w:w="244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4"/>
        </w:trPr>
        <w:tc>
          <w:tcPr>
            <w:tcW w:w="2360" w:type="dxa"/>
            <w:vAlign w:val="bottom"/>
            <w:tcBorders>
              <w:left w:val="single" w:sz="8" w:color="auto"/>
              <w:right w:val="single" w:sz="8" w:color="auto"/>
            </w:tcBorders>
            <w:vMerge w:val="continue"/>
            <w:shd w:val="clear" w:color="auto" w:fill="D9D9D9"/>
          </w:tcPr>
          <w:p>
            <w:pPr>
              <w:spacing w:after="0"/>
              <w:rPr>
                <w:sz w:val="4"/>
                <w:szCs w:val="4"/>
                <w:color w:val="auto"/>
              </w:rPr>
            </w:pPr>
          </w:p>
        </w:tc>
        <w:tc>
          <w:tcPr>
            <w:tcW w:w="2280" w:type="dxa"/>
            <w:vAlign w:val="bottom"/>
            <w:tcBorders>
              <w:right w:val="single" w:sz="8" w:color="auto"/>
            </w:tcBorders>
            <w:shd w:val="clear" w:color="auto" w:fill="D9D9D9"/>
          </w:tcPr>
          <w:p>
            <w:pPr>
              <w:spacing w:after="0"/>
              <w:rPr>
                <w:sz w:val="4"/>
                <w:szCs w:val="4"/>
                <w:color w:val="auto"/>
              </w:rPr>
            </w:pPr>
          </w:p>
        </w:tc>
        <w:tc>
          <w:tcPr>
            <w:tcW w:w="2000" w:type="dxa"/>
            <w:vAlign w:val="bottom"/>
            <w:shd w:val="clear" w:color="auto" w:fill="D9D9D9"/>
          </w:tcPr>
          <w:p>
            <w:pPr>
              <w:spacing w:after="0"/>
              <w:rPr>
                <w:sz w:val="4"/>
                <w:szCs w:val="4"/>
                <w:color w:val="auto"/>
              </w:rPr>
            </w:pPr>
          </w:p>
        </w:tc>
        <w:tc>
          <w:tcPr>
            <w:tcW w:w="200" w:type="dxa"/>
            <w:vAlign w:val="bottom"/>
            <w:tcBorders>
              <w:right w:val="single" w:sz="8" w:color="auto"/>
            </w:tcBorders>
            <w:shd w:val="clear" w:color="auto" w:fill="D9D9D9"/>
          </w:tcPr>
          <w:p>
            <w:pPr>
              <w:spacing w:after="0"/>
              <w:rPr>
                <w:sz w:val="4"/>
                <w:szCs w:val="4"/>
                <w:color w:val="auto"/>
              </w:rPr>
            </w:pPr>
          </w:p>
        </w:tc>
        <w:tc>
          <w:tcPr>
            <w:tcW w:w="2440" w:type="dxa"/>
            <w:vAlign w:val="bottom"/>
            <w:tcBorders>
              <w:right w:val="single" w:sz="8" w:color="auto"/>
            </w:tcBorders>
            <w:shd w:val="clear" w:color="auto" w:fill="D9D9D9"/>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3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280" w:type="dxa"/>
            <w:vAlign w:val="bottom"/>
            <w:tcBorders>
              <w:bottom w:val="single" w:sz="8" w:color="auto"/>
              <w:right w:val="single" w:sz="8" w:color="auto"/>
            </w:tcBorders>
            <w:shd w:val="clear" w:color="auto" w:fill="D9D9D9"/>
          </w:tcPr>
          <w:p>
            <w:pPr>
              <w:spacing w:after="0"/>
              <w:rPr>
                <w:sz w:val="8"/>
                <w:szCs w:val="8"/>
                <w:color w:val="auto"/>
              </w:rPr>
            </w:pPr>
          </w:p>
        </w:tc>
        <w:tc>
          <w:tcPr>
            <w:tcW w:w="2000" w:type="dxa"/>
            <w:vAlign w:val="bottom"/>
            <w:tcBorders>
              <w:bottom w:val="single" w:sz="8" w:color="auto"/>
            </w:tcBorders>
            <w:shd w:val="clear" w:color="auto" w:fill="D9D9D9"/>
          </w:tcPr>
          <w:p>
            <w:pPr>
              <w:spacing w:after="0"/>
              <w:rPr>
                <w:sz w:val="8"/>
                <w:szCs w:val="8"/>
                <w:color w:val="auto"/>
              </w:rPr>
            </w:pPr>
          </w:p>
        </w:tc>
        <w:tc>
          <w:tcPr>
            <w:tcW w:w="200" w:type="dxa"/>
            <w:vAlign w:val="bottom"/>
            <w:tcBorders>
              <w:bottom w:val="single" w:sz="8" w:color="auto"/>
              <w:right w:val="single" w:sz="8" w:color="auto"/>
            </w:tcBorders>
            <w:shd w:val="clear" w:color="auto" w:fill="D9D9D9"/>
          </w:tcPr>
          <w:p>
            <w:pPr>
              <w:spacing w:after="0"/>
              <w:rPr>
                <w:sz w:val="8"/>
                <w:szCs w:val="8"/>
                <w:color w:val="auto"/>
              </w:rPr>
            </w:pPr>
          </w:p>
        </w:tc>
        <w:tc>
          <w:tcPr>
            <w:tcW w:w="244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8580" w:type="dxa"/>
            <w:vAlign w:val="bottom"/>
            <w:tcBorders>
              <w:top w:val="single" w:sz="8" w:color="auto"/>
              <w:left w:val="single" w:sz="8" w:color="auto"/>
              <w:bottom w:val="single" w:sz="8" w:color="auto"/>
              <w:right w:val="single" w:sz="8" w:color="auto"/>
            </w:tcBorders>
            <w:gridSpan w:val="3"/>
          </w:tcPr>
          <w:p>
            <w:pPr>
              <w:ind w:left="1240"/>
              <w:spacing w:after="0"/>
              <w:rPr>
                <w:sz w:val="20"/>
                <w:szCs w:val="20"/>
                <w:color w:val="auto"/>
              </w:rPr>
            </w:pPr>
            <w:r>
              <w:rPr>
                <w:rFonts w:ascii="Arial" w:cs="Arial" w:eastAsia="Arial" w:hAnsi="Arial"/>
                <w:sz w:val="22"/>
                <w:szCs w:val="22"/>
                <w:b w:val="1"/>
                <w:bCs w:val="1"/>
                <w:color w:val="auto"/>
              </w:rPr>
              <w:t>Table 2: 2022 Project Costs During Facility Customization Project</w:t>
            </w: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5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2"/>
              </w:rPr>
              <w:t>Item Description</w:t>
            </w:r>
          </w:p>
        </w:tc>
        <w:tc>
          <w:tcPr>
            <w:tcW w:w="15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1"/>
              </w:rPr>
              <w:t># of Units/ month</w:t>
            </w:r>
          </w:p>
        </w:tc>
        <w:tc>
          <w:tcPr>
            <w:tcW w:w="2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3"/>
              </w:rPr>
              <w:t>Monthly Cost in Q1 2022</w:t>
            </w: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20" w:type="dxa"/>
            <w:vAlign w:val="bottom"/>
            <w:tcBorders>
              <w:bottom w:val="single" w:sz="8" w:color="auto"/>
              <w:right w:val="single" w:sz="8" w:color="auto"/>
            </w:tcBorders>
            <w:shd w:val="clear" w:color="auto" w:fill="D9D9D9"/>
          </w:tcPr>
          <w:p>
            <w:pPr>
              <w:spacing w:after="0"/>
              <w:rPr>
                <w:sz w:val="9"/>
                <w:szCs w:val="9"/>
                <w:color w:val="auto"/>
              </w:rPr>
            </w:pPr>
          </w:p>
        </w:tc>
        <w:tc>
          <w:tcPr>
            <w:tcW w:w="2560" w:type="dxa"/>
            <w:vAlign w:val="bottom"/>
            <w:tcBorders>
              <w:bottom w:val="single" w:sz="8" w:color="auto"/>
              <w:right w:val="single" w:sz="8" w:color="auto"/>
            </w:tcBorders>
            <w:shd w:val="clear" w:color="auto" w:fill="D9D9D9"/>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50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87"/>
              </w:rPr>
              <w:t>Consumables</w:t>
            </w:r>
          </w:p>
        </w:tc>
        <w:tc>
          <w:tcPr>
            <w:tcW w:w="15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6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500" w:type="dxa"/>
            <w:vAlign w:val="bottom"/>
            <w:tcBorders>
              <w:left w:val="single" w:sz="8" w:color="auto"/>
              <w:right w:val="single" w:sz="8" w:color="auto"/>
            </w:tcBorders>
            <w:vMerge w:val="continue"/>
            <w:shd w:val="clear" w:color="auto" w:fill="D9D9D9"/>
          </w:tcPr>
          <w:p>
            <w:pPr>
              <w:spacing w:after="0"/>
              <w:rPr>
                <w:sz w:val="4"/>
                <w:szCs w:val="4"/>
                <w:color w:val="auto"/>
              </w:rPr>
            </w:pPr>
          </w:p>
        </w:tc>
        <w:tc>
          <w:tcPr>
            <w:tcW w:w="1520" w:type="dxa"/>
            <w:vAlign w:val="bottom"/>
            <w:tcBorders>
              <w:right w:val="single" w:sz="8" w:color="auto"/>
            </w:tcBorders>
            <w:shd w:val="clear" w:color="auto" w:fill="D9D9D9"/>
          </w:tcPr>
          <w:p>
            <w:pPr>
              <w:spacing w:after="0"/>
              <w:rPr>
                <w:sz w:val="4"/>
                <w:szCs w:val="4"/>
                <w:color w:val="auto"/>
              </w:rPr>
            </w:pPr>
          </w:p>
        </w:tc>
        <w:tc>
          <w:tcPr>
            <w:tcW w:w="2560" w:type="dxa"/>
            <w:vAlign w:val="bottom"/>
            <w:tcBorders>
              <w:right w:val="single" w:sz="8" w:color="auto"/>
            </w:tcBorders>
            <w:shd w:val="clear" w:color="auto" w:fill="D9D9D9"/>
          </w:tcPr>
          <w:p>
            <w:pPr>
              <w:spacing w:after="0"/>
              <w:rPr>
                <w:sz w:val="4"/>
                <w:szCs w:val="4"/>
                <w:color w:val="auto"/>
              </w:rPr>
            </w:pPr>
          </w:p>
        </w:tc>
        <w:tc>
          <w:tcPr>
            <w:tcW w:w="2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45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520" w:type="dxa"/>
            <w:vAlign w:val="bottom"/>
            <w:tcBorders>
              <w:bottom w:val="single" w:sz="8" w:color="auto"/>
              <w:right w:val="single" w:sz="8" w:color="auto"/>
            </w:tcBorders>
            <w:shd w:val="clear" w:color="auto" w:fill="D9D9D9"/>
          </w:tcPr>
          <w:p>
            <w:pPr>
              <w:spacing w:after="0"/>
              <w:rPr>
                <w:sz w:val="9"/>
                <w:szCs w:val="9"/>
                <w:color w:val="auto"/>
              </w:rPr>
            </w:pPr>
          </w:p>
        </w:tc>
        <w:tc>
          <w:tcPr>
            <w:tcW w:w="2560" w:type="dxa"/>
            <w:vAlign w:val="bottom"/>
            <w:tcBorders>
              <w:bottom w:val="single" w:sz="8" w:color="auto"/>
              <w:right w:val="single" w:sz="8" w:color="auto"/>
            </w:tcBorders>
            <w:shd w:val="clear" w:color="auto" w:fill="D9D9D9"/>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4500" w:type="dxa"/>
            <w:vAlign w:val="bottom"/>
            <w:tcBorders>
              <w:left w:val="single" w:sz="8" w:color="auto"/>
              <w:bottom w:val="single" w:sz="8" w:color="auto"/>
            </w:tcBorders>
          </w:tcPr>
          <w:p>
            <w:pPr>
              <w:jc w:val="center"/>
              <w:ind w:left="1387"/>
              <w:spacing w:after="0"/>
              <w:rPr>
                <w:sz w:val="20"/>
                <w:szCs w:val="20"/>
                <w:color w:val="auto"/>
              </w:rPr>
            </w:pPr>
            <w:r>
              <w:rPr>
                <w:rFonts w:ascii="Arial" w:cs="Arial" w:eastAsia="Arial" w:hAnsi="Arial"/>
                <w:sz w:val="16"/>
                <w:szCs w:val="16"/>
                <w:b w:val="1"/>
                <w:bCs w:val="1"/>
                <w:color w:val="auto"/>
                <w:w w:val="93"/>
              </w:rPr>
              <w:t>Monthly Totals</w:t>
            </w:r>
          </w:p>
        </w:tc>
        <w:tc>
          <w:tcPr>
            <w:tcW w:w="152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500" w:type="dxa"/>
            <w:vAlign w:val="bottom"/>
            <w:tcBorders>
              <w:left w:val="single" w:sz="8" w:color="auto"/>
            </w:tcBorders>
          </w:tcPr>
          <w:p>
            <w:pPr>
              <w:jc w:val="center"/>
              <w:ind w:left="1387"/>
              <w:spacing w:after="0"/>
              <w:rPr>
                <w:sz w:val="20"/>
                <w:szCs w:val="20"/>
                <w:color w:val="auto"/>
              </w:rPr>
            </w:pPr>
            <w:r>
              <w:rPr>
                <w:rFonts w:ascii="Arial" w:cs="Arial" w:eastAsia="Arial" w:hAnsi="Arial"/>
                <w:sz w:val="16"/>
                <w:szCs w:val="16"/>
                <w:b w:val="1"/>
                <w:bCs w:val="1"/>
                <w:color w:val="auto"/>
                <w:w w:val="93"/>
              </w:rPr>
              <w:t>Variable Budget</w:t>
            </w:r>
          </w:p>
        </w:tc>
        <w:tc>
          <w:tcPr>
            <w:tcW w:w="1520" w:type="dxa"/>
            <w:vAlign w:val="bottom"/>
            <w:tcBorders>
              <w:right w:val="single" w:sz="8" w:color="auto"/>
            </w:tcBorders>
          </w:tcPr>
          <w:p>
            <w:pPr>
              <w:spacing w:after="0"/>
              <w:rPr>
                <w:sz w:val="17"/>
                <w:szCs w:val="17"/>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4500" w:type="dxa"/>
            <w:vAlign w:val="bottom"/>
            <w:tcBorders>
              <w:lef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2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020" w:type="dxa"/>
            <w:vAlign w:val="bottom"/>
            <w:tcBorders>
              <w:left w:val="single" w:sz="8" w:color="auto"/>
              <w:bottom w:val="single" w:sz="8" w:color="auto"/>
              <w:right w:val="single" w:sz="8" w:color="auto"/>
            </w:tcBorders>
            <w:gridSpan w:val="2"/>
          </w:tcPr>
          <w:p>
            <w:pPr>
              <w:spacing w:after="0"/>
              <w:rPr>
                <w:sz w:val="7"/>
                <w:szCs w:val="7"/>
                <w:color w:val="auto"/>
              </w:rPr>
            </w:pPr>
          </w:p>
        </w:tc>
        <w:tc>
          <w:tcPr>
            <w:tcW w:w="2560" w:type="dxa"/>
            <w:vAlign w:val="bottom"/>
            <w:tcBorders>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580" w:type="dxa"/>
            <w:vAlign w:val="bottom"/>
            <w:tcBorders>
              <w:left w:val="single" w:sz="8" w:color="auto"/>
              <w:bottom w:val="single" w:sz="8" w:color="auto"/>
            </w:tcBorders>
            <w:gridSpan w:val="3"/>
          </w:tcPr>
          <w:p>
            <w:pPr>
              <w:ind w:left="3500"/>
              <w:spacing w:after="0" w:line="250" w:lineRule="exact"/>
              <w:rPr>
                <w:sz w:val="20"/>
                <w:szCs w:val="20"/>
                <w:color w:val="auto"/>
              </w:rPr>
            </w:pPr>
            <w:r>
              <w:rPr>
                <w:rFonts w:ascii="Arial" w:cs="Arial" w:eastAsia="Arial" w:hAnsi="Arial"/>
                <w:sz w:val="22"/>
                <w:szCs w:val="22"/>
                <w:b w:val="1"/>
                <w:bCs w:val="1"/>
                <w:color w:val="auto"/>
              </w:rPr>
              <w:t>Table 3: Project Costs Post Facility Upgrade</w:t>
            </w:r>
          </w:p>
        </w:tc>
        <w:tc>
          <w:tcPr>
            <w:tcW w:w="2520" w:type="dxa"/>
            <w:vAlign w:val="bottom"/>
            <w:tcBorders>
              <w:bottom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500" w:type="dxa"/>
            <w:vAlign w:val="bottom"/>
            <w:tcBorders>
              <w:left w:val="single" w:sz="8" w:color="auto"/>
              <w:right w:val="single" w:sz="8" w:color="auto"/>
            </w:tcBorders>
            <w:shd w:val="clear" w:color="auto" w:fill="D9D9D9"/>
          </w:tcPr>
          <w:p>
            <w:pPr>
              <w:spacing w:after="0"/>
              <w:rPr>
                <w:sz w:val="15"/>
                <w:szCs w:val="15"/>
                <w:color w:val="auto"/>
              </w:rPr>
            </w:pPr>
          </w:p>
        </w:tc>
        <w:tc>
          <w:tcPr>
            <w:tcW w:w="1520" w:type="dxa"/>
            <w:vAlign w:val="bottom"/>
            <w:tcBorders>
              <w:right w:val="single" w:sz="8" w:color="auto"/>
            </w:tcBorders>
            <w:shd w:val="clear" w:color="auto" w:fill="D9D9D9"/>
          </w:tcPr>
          <w:p>
            <w:pPr>
              <w:spacing w:after="0"/>
              <w:rPr>
                <w:sz w:val="15"/>
                <w:szCs w:val="15"/>
                <w:color w:val="auto"/>
              </w:rPr>
            </w:pPr>
          </w:p>
        </w:tc>
        <w:tc>
          <w:tcPr>
            <w:tcW w:w="256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w w:val="91"/>
              </w:rPr>
              <w:t>2022 Monthly Costs</w:t>
            </w:r>
          </w:p>
        </w:tc>
        <w:tc>
          <w:tcPr>
            <w:tcW w:w="2520" w:type="dxa"/>
            <w:vAlign w:val="bottom"/>
            <w:tcBorders>
              <w:right w:val="single" w:sz="8" w:color="auto"/>
            </w:tcBorders>
            <w:shd w:val="clear" w:color="auto" w:fill="D9D9D9"/>
          </w:tcPr>
          <w:p>
            <w:pPr>
              <w:jc w:val="center"/>
              <w:spacing w:after="0" w:line="182" w:lineRule="exact"/>
              <w:rPr>
                <w:sz w:val="20"/>
                <w:szCs w:val="20"/>
                <w:color w:val="auto"/>
              </w:rPr>
            </w:pPr>
            <w:r>
              <w:rPr>
                <w:rFonts w:ascii="Arial" w:cs="Arial" w:eastAsia="Arial" w:hAnsi="Arial"/>
                <w:sz w:val="16"/>
                <w:szCs w:val="16"/>
                <w:b w:val="1"/>
                <w:bCs w:val="1"/>
                <w:color w:val="auto"/>
                <w:w w:val="91"/>
              </w:rPr>
              <w:t>2023 Monthly Costs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4"/>
              </w:rPr>
              <w:t>Item Description</w:t>
            </w:r>
          </w:p>
        </w:tc>
        <w:tc>
          <w:tcPr>
            <w:tcW w:w="152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1"/>
              </w:rPr>
              <w:t># of Units/ month</w:t>
            </w:r>
          </w:p>
        </w:tc>
        <w:tc>
          <w:tcPr>
            <w:tcW w:w="2560" w:type="dxa"/>
            <w:vAlign w:val="bottom"/>
            <w:tcBorders>
              <w:right w:val="single" w:sz="8" w:color="auto"/>
            </w:tcBorders>
            <w:shd w:val="clear" w:color="auto" w:fill="D9D9D9"/>
          </w:tcPr>
          <w:p>
            <w:pPr>
              <w:ind w:left="640"/>
              <w:spacing w:after="0"/>
              <w:rPr>
                <w:sz w:val="20"/>
                <w:szCs w:val="20"/>
                <w:color w:val="auto"/>
              </w:rPr>
            </w:pPr>
            <w:r>
              <w:rPr>
                <w:rFonts w:ascii="Arial" w:cs="Arial" w:eastAsia="Arial" w:hAnsi="Arial"/>
                <w:sz w:val="16"/>
                <w:szCs w:val="16"/>
                <w:b w:val="1"/>
                <w:bCs w:val="1"/>
                <w:color w:val="auto"/>
              </w:rPr>
              <w:t>After Upgrade</w:t>
            </w:r>
          </w:p>
        </w:tc>
        <w:tc>
          <w:tcPr>
            <w:tcW w:w="2520" w:type="dxa"/>
            <w:vAlign w:val="bottom"/>
            <w:tcBorders>
              <w:right w:val="single" w:sz="8" w:color="auto"/>
            </w:tcBorders>
            <w:shd w:val="clear" w:color="auto" w:fill="D9D9D9"/>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520" w:type="dxa"/>
            <w:vAlign w:val="bottom"/>
            <w:tcBorders>
              <w:bottom w:val="single" w:sz="8" w:color="auto"/>
              <w:right w:val="single" w:sz="8" w:color="auto"/>
            </w:tcBorders>
            <w:shd w:val="clear" w:color="auto" w:fill="D9D9D9"/>
          </w:tcPr>
          <w:p>
            <w:pPr>
              <w:spacing w:after="0"/>
              <w:rPr>
                <w:sz w:val="18"/>
                <w:szCs w:val="18"/>
                <w:color w:val="auto"/>
              </w:rPr>
            </w:pPr>
          </w:p>
        </w:tc>
        <w:tc>
          <w:tcPr>
            <w:tcW w:w="2560" w:type="dxa"/>
            <w:vAlign w:val="bottom"/>
            <w:tcBorders>
              <w:bottom w:val="single" w:sz="8" w:color="auto"/>
              <w:right w:val="single" w:sz="8" w:color="auto"/>
            </w:tcBorders>
            <w:shd w:val="clear" w:color="auto" w:fill="D9D9D9"/>
          </w:tcPr>
          <w:p>
            <w:pPr>
              <w:spacing w:after="0"/>
              <w:rPr>
                <w:sz w:val="18"/>
                <w:szCs w:val="18"/>
                <w:color w:val="auto"/>
              </w:rPr>
            </w:pPr>
          </w:p>
        </w:tc>
        <w:tc>
          <w:tcPr>
            <w:tcW w:w="2520" w:type="dxa"/>
            <w:vAlign w:val="bottom"/>
            <w:tcBorders>
              <w:bottom w:val="single" w:sz="8" w:color="auto"/>
              <w:right w:val="single" w:sz="8" w:color="auto"/>
            </w:tcBorders>
            <w:shd w:val="clear" w:color="auto" w:fill="D9D9D9"/>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3"/>
              </w:rPr>
              <w:t>Current Cleanroom 2022 SOW Pricing</w:t>
            </w:r>
          </w:p>
        </w:tc>
        <w:tc>
          <w:tcPr>
            <w:tcW w:w="1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0"/>
              </w:rPr>
              <w:t>Expanded Cleanroom Space</w:t>
            </w:r>
          </w:p>
        </w:tc>
        <w:tc>
          <w:tcPr>
            <w:tcW w:w="1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4500" w:type="dxa"/>
            <w:vAlign w:val="bottom"/>
          </w:tcPr>
          <w:p>
            <w:pPr>
              <w:spacing w:after="0"/>
              <w:rPr>
                <w:sz w:val="24"/>
                <w:szCs w:val="24"/>
                <w:color w:val="auto"/>
              </w:rPr>
            </w:pPr>
          </w:p>
        </w:tc>
        <w:tc>
          <w:tcPr>
            <w:tcW w:w="1520" w:type="dxa"/>
            <w:vAlign w:val="bottom"/>
          </w:tcPr>
          <w:p>
            <w:pPr>
              <w:jc w:val="right"/>
              <w:ind w:right="243"/>
              <w:spacing w:after="0"/>
              <w:rPr>
                <w:sz w:val="20"/>
                <w:szCs w:val="20"/>
                <w:color w:val="auto"/>
              </w:rPr>
            </w:pPr>
            <w:r>
              <w:rPr>
                <w:rFonts w:ascii="Arial" w:cs="Arial" w:eastAsia="Arial" w:hAnsi="Arial"/>
                <w:sz w:val="20"/>
                <w:szCs w:val="20"/>
                <w:color w:val="auto"/>
              </w:rPr>
              <w:t>6</w:t>
            </w:r>
          </w:p>
        </w:tc>
        <w:tc>
          <w:tcPr>
            <w:tcW w:w="2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7" w:right="31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44"/>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shd w:val="clear" w:color="auto" w:fill="D9D9D9"/>
          </w:tcPr>
          <w:p>
            <w:pPr>
              <w:jc w:val="right"/>
              <w:ind w:right="981"/>
              <w:spacing w:after="0"/>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right"/>
              <w:ind w:right="9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shd w:val="clear" w:color="auto" w:fill="D9D9D9"/>
          </w:tcPr>
          <w:p>
            <w:pPr>
              <w:jc w:val="right"/>
              <w:ind w:right="981"/>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right"/>
              <w:ind w:right="961"/>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50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2"/>
              </w:rPr>
              <w:t>Personnel Support*</w:t>
            </w:r>
          </w:p>
        </w:tc>
        <w:tc>
          <w:tcPr>
            <w:tcW w:w="14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Arial" w:cs="Arial" w:eastAsia="Arial" w:hAnsi="Arial"/>
                <w:sz w:val="20"/>
                <w:szCs w:val="20"/>
                <w:color w:val="auto"/>
              </w:rPr>
              <w:t>[***]</w:t>
            </w:r>
          </w:p>
        </w:tc>
        <w:tc>
          <w:tcPr>
            <w:tcW w:w="2600" w:type="dxa"/>
            <w:vAlign w:val="bottom"/>
            <w:tcBorders>
              <w:bottom w:val="single" w:sz="8" w:color="auto"/>
              <w:right w:val="single" w:sz="8" w:color="auto"/>
            </w:tcBorders>
            <w:shd w:val="clear" w:color="auto" w:fill="D9D9D9"/>
          </w:tcPr>
          <w:p>
            <w:pPr>
              <w:jc w:val="right"/>
              <w:ind w:right="981"/>
              <w:spacing w:after="0" w:line="22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shd w:val="clear" w:color="auto" w:fill="D9D9D9"/>
          </w:tcPr>
          <w:p>
            <w:pPr>
              <w:jc w:val="right"/>
              <w:ind w:right="961"/>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1"/>
        </w:trPr>
        <w:tc>
          <w:tcPr>
            <w:tcW w:w="45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3"/>
              </w:rPr>
              <w:t>Material Management Warehouse Movement</w:t>
            </w:r>
          </w:p>
        </w:tc>
        <w:tc>
          <w:tcPr>
            <w:tcW w:w="14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shd w:val="clear" w:color="auto" w:fill="D9D9D9"/>
          </w:tcPr>
          <w:p>
            <w:pPr>
              <w:jc w:val="right"/>
              <w:ind w:right="98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shd w:val="clear" w:color="auto" w:fill="D9D9D9"/>
          </w:tcPr>
          <w:p>
            <w:pPr>
              <w:jc w:val="right"/>
              <w:ind w:right="9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00"/>
        </w:trPr>
        <w:tc>
          <w:tcPr>
            <w:tcW w:w="450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480" w:type="dxa"/>
            <w:vAlign w:val="bottom"/>
            <w:tcBorders>
              <w:bottom w:val="single" w:sz="8" w:color="auto"/>
              <w:right w:val="single" w:sz="8" w:color="auto"/>
            </w:tcBorders>
            <w:shd w:val="clear" w:color="auto" w:fill="D9D9D9"/>
          </w:tcPr>
          <w:p>
            <w:pPr>
              <w:spacing w:after="0"/>
              <w:rPr>
                <w:sz w:val="8"/>
                <w:szCs w:val="8"/>
                <w:color w:val="auto"/>
              </w:rPr>
            </w:pPr>
          </w:p>
        </w:tc>
        <w:tc>
          <w:tcPr>
            <w:tcW w:w="2600" w:type="dxa"/>
            <w:vAlign w:val="bottom"/>
            <w:tcBorders>
              <w:bottom w:val="single" w:sz="8" w:color="auto"/>
              <w:right w:val="single" w:sz="8" w:color="auto"/>
            </w:tcBorders>
            <w:shd w:val="clear" w:color="auto" w:fill="D9D9D9"/>
          </w:tcPr>
          <w:p>
            <w:pPr>
              <w:spacing w:after="0"/>
              <w:rPr>
                <w:sz w:val="8"/>
                <w:szCs w:val="8"/>
                <w:color w:val="auto"/>
              </w:rPr>
            </w:pPr>
          </w:p>
        </w:tc>
        <w:tc>
          <w:tcPr>
            <w:tcW w:w="2520" w:type="dxa"/>
            <w:vAlign w:val="bottom"/>
            <w:tcBorders>
              <w:bottom w:val="single" w:sz="8" w:color="auto"/>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4500" w:type="dxa"/>
            <w:vAlign w:val="bottom"/>
            <w:tcBorders>
              <w:left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89"/>
              </w:rPr>
              <w:t>Consumables</w:t>
            </w:r>
          </w:p>
        </w:tc>
        <w:tc>
          <w:tcPr>
            <w:tcW w:w="14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Borders>
              <w:right w:val="single" w:sz="8" w:color="auto"/>
            </w:tcBorders>
            <w:shd w:val="clear" w:color="auto" w:fill="D9D9D9"/>
          </w:tcPr>
          <w:p>
            <w:pPr>
              <w:jc w:val="right"/>
              <w:ind w:right="98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shd w:val="clear" w:color="auto" w:fill="D9D9D9"/>
          </w:tcPr>
          <w:p>
            <w:pPr>
              <w:jc w:val="right"/>
              <w:ind w:right="9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7"/>
        </w:trPr>
        <w:tc>
          <w:tcPr>
            <w:tcW w:w="4500" w:type="dxa"/>
            <w:vAlign w:val="bottom"/>
            <w:tcBorders>
              <w:left w:val="single" w:sz="8" w:color="auto"/>
              <w:bottom w:val="single" w:sz="8" w:color="auto"/>
              <w:right w:val="single" w:sz="8" w:color="auto"/>
            </w:tcBorders>
            <w:shd w:val="clear" w:color="auto" w:fill="D9D9D9"/>
          </w:tcPr>
          <w:p>
            <w:pPr>
              <w:spacing w:after="0"/>
              <w:rPr>
                <w:sz w:val="7"/>
                <w:szCs w:val="7"/>
                <w:color w:val="auto"/>
              </w:rPr>
            </w:pPr>
          </w:p>
        </w:tc>
        <w:tc>
          <w:tcPr>
            <w:tcW w:w="1480" w:type="dxa"/>
            <w:vAlign w:val="bottom"/>
            <w:tcBorders>
              <w:bottom w:val="single" w:sz="8" w:color="auto"/>
              <w:right w:val="single" w:sz="8" w:color="auto"/>
            </w:tcBorders>
            <w:shd w:val="clear" w:color="auto" w:fill="D9D9D9"/>
          </w:tcPr>
          <w:p>
            <w:pPr>
              <w:spacing w:after="0"/>
              <w:rPr>
                <w:sz w:val="7"/>
                <w:szCs w:val="7"/>
                <w:color w:val="auto"/>
              </w:rPr>
            </w:pPr>
          </w:p>
        </w:tc>
        <w:tc>
          <w:tcPr>
            <w:tcW w:w="2600" w:type="dxa"/>
            <w:vAlign w:val="bottom"/>
            <w:tcBorders>
              <w:bottom w:val="single" w:sz="8" w:color="auto"/>
              <w:right w:val="single" w:sz="8" w:color="auto"/>
            </w:tcBorders>
            <w:shd w:val="clear" w:color="auto" w:fill="D9D9D9"/>
          </w:tcPr>
          <w:p>
            <w:pPr>
              <w:spacing w:after="0"/>
              <w:rPr>
                <w:sz w:val="7"/>
                <w:szCs w:val="7"/>
                <w:color w:val="auto"/>
              </w:rPr>
            </w:pPr>
          </w:p>
        </w:tc>
        <w:tc>
          <w:tcPr>
            <w:tcW w:w="252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4500" w:type="dxa"/>
            <w:vAlign w:val="bottom"/>
            <w:tcBorders>
              <w:left w:val="single" w:sz="8" w:color="auto"/>
            </w:tcBorders>
            <w:vMerge w:val="restart"/>
          </w:tcPr>
          <w:p>
            <w:pPr>
              <w:jc w:val="center"/>
              <w:ind w:left="1409"/>
              <w:spacing w:after="0"/>
              <w:rPr>
                <w:sz w:val="20"/>
                <w:szCs w:val="20"/>
                <w:color w:val="auto"/>
              </w:rPr>
            </w:pPr>
            <w:r>
              <w:rPr>
                <w:rFonts w:ascii="Arial" w:cs="Arial" w:eastAsia="Arial" w:hAnsi="Arial"/>
                <w:sz w:val="18"/>
                <w:szCs w:val="18"/>
                <w:b w:val="1"/>
                <w:bCs w:val="1"/>
                <w:color w:val="auto"/>
                <w:w w:val="91"/>
              </w:rPr>
              <w:t>Monthly Totals</w:t>
            </w:r>
          </w:p>
        </w:tc>
        <w:tc>
          <w:tcPr>
            <w:tcW w:w="148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60"/>
        </w:trPr>
        <w:tc>
          <w:tcPr>
            <w:tcW w:w="4500" w:type="dxa"/>
            <w:vAlign w:val="bottom"/>
            <w:tcBorders>
              <w:left w:val="single" w:sz="8" w:color="auto"/>
            </w:tcBorders>
            <w:vMerge w:val="continue"/>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500" w:type="dxa"/>
            <w:vAlign w:val="bottom"/>
            <w:tcBorders>
              <w:left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2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500" w:type="dxa"/>
            <w:vAlign w:val="bottom"/>
            <w:tcBorders>
              <w:left w:val="single" w:sz="8" w:color="auto"/>
            </w:tcBorders>
            <w:vMerge w:val="restart"/>
          </w:tcPr>
          <w:p>
            <w:pPr>
              <w:jc w:val="center"/>
              <w:ind w:left="1409"/>
              <w:spacing w:after="0"/>
              <w:rPr>
                <w:sz w:val="20"/>
                <w:szCs w:val="20"/>
                <w:color w:val="auto"/>
              </w:rPr>
            </w:pPr>
            <w:r>
              <w:rPr>
                <w:rFonts w:ascii="Arial" w:cs="Arial" w:eastAsia="Arial" w:hAnsi="Arial"/>
                <w:sz w:val="18"/>
                <w:szCs w:val="18"/>
                <w:b w:val="1"/>
                <w:bCs w:val="1"/>
                <w:color w:val="auto"/>
                <w:w w:val="90"/>
              </w:rPr>
              <w:t>Variable Budget</w:t>
            </w:r>
          </w:p>
        </w:tc>
        <w:tc>
          <w:tcPr>
            <w:tcW w:w="148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jc w:val="right"/>
              <w:ind w:right="981"/>
              <w:spacing w:after="0"/>
              <w:rPr>
                <w:sz w:val="20"/>
                <w:szCs w:val="20"/>
                <w:color w:val="auto"/>
              </w:rPr>
            </w:pPr>
            <w:r>
              <w:rPr>
                <w:rFonts w:ascii="Arial" w:cs="Arial" w:eastAsia="Arial" w:hAnsi="Arial"/>
                <w:sz w:val="20"/>
                <w:szCs w:val="20"/>
                <w:color w:val="auto"/>
              </w:rPr>
              <w:t>[***]</w:t>
            </w:r>
          </w:p>
        </w:tc>
        <w:tc>
          <w:tcPr>
            <w:tcW w:w="2520" w:type="dxa"/>
            <w:vAlign w:val="bottom"/>
            <w:tcBorders>
              <w:right w:val="single" w:sz="8" w:color="auto"/>
            </w:tcBorders>
          </w:tcPr>
          <w:p>
            <w:pPr>
              <w:jc w:val="right"/>
              <w:ind w:right="96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87"/>
        </w:trPr>
        <w:tc>
          <w:tcPr>
            <w:tcW w:w="4500" w:type="dxa"/>
            <w:vAlign w:val="bottom"/>
            <w:tcBorders>
              <w:lef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500" w:type="dxa"/>
            <w:vAlign w:val="bottom"/>
            <w:tcBorders>
              <w:left w:val="single" w:sz="8" w:color="auto"/>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500" w:type="dxa"/>
            <w:vAlign w:val="bottom"/>
          </w:tcPr>
          <w:p>
            <w:pPr>
              <w:jc w:val="center"/>
              <w:ind w:left="1389"/>
              <w:spacing w:after="0"/>
              <w:rPr>
                <w:sz w:val="20"/>
                <w:szCs w:val="20"/>
                <w:color w:val="auto"/>
              </w:rPr>
            </w:pPr>
            <w:r>
              <w:rPr>
                <w:rFonts w:ascii="Arial" w:cs="Arial" w:eastAsia="Arial" w:hAnsi="Arial"/>
                <w:sz w:val="18"/>
                <w:szCs w:val="18"/>
                <w:b w:val="1"/>
                <w:bCs w:val="1"/>
                <w:color w:val="auto"/>
                <w:w w:val="90"/>
              </w:rPr>
              <w:t>Table 4: Overage/Other Costs</w:t>
            </w:r>
          </w:p>
        </w:tc>
        <w:tc>
          <w:tcPr>
            <w:tcW w:w="1480" w:type="dxa"/>
            <w:vAlign w:val="bottom"/>
            <w:tcBorders>
              <w:right w:val="single" w:sz="8" w:color="auto"/>
            </w:tcBorders>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4500" w:type="dxa"/>
            <w:vAlign w:val="bottom"/>
            <w:tcBorders>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Type</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Unit Cost</w:t>
            </w:r>
          </w:p>
        </w:tc>
        <w:tc>
          <w:tcPr>
            <w:tcW w:w="26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Materials Management Warehouse Movement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3rd party costs</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Personnel Support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Enhanced EM*</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1"/>
              </w:rPr>
              <w:t>Personnel Training</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00" w:type="dxa"/>
            <w:vAlign w:val="bottom"/>
            <w:tcBorders>
              <w:left w:val="single" w:sz="8" w:color="D9D9D9"/>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Non – Standard Business Hour Support</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rPr>
              <w:t>[***]</w:t>
            </w:r>
          </w:p>
        </w:tc>
        <w:tc>
          <w:tcPr>
            <w:tcW w:w="26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80" w:hanging="375"/>
        <w:spacing w:after="0"/>
        <w:tabs>
          <w:tab w:leader="none" w:pos="680" w:val="left"/>
        </w:tabs>
        <w:numPr>
          <w:ilvl w:val="0"/>
          <w:numId w:val="91"/>
        </w:numPr>
        <w:rPr>
          <w:rFonts w:ascii="Arial" w:cs="Arial" w:eastAsia="Arial" w:hAnsi="Arial"/>
          <w:sz w:val="20"/>
          <w:szCs w:val="20"/>
          <w:b w:val="1"/>
          <w:bCs w:val="1"/>
          <w:color w:val="auto"/>
        </w:rPr>
      </w:pPr>
      <w:r>
        <w:rPr>
          <w:rFonts w:ascii="Arial" w:cs="Arial" w:eastAsia="Arial" w:hAnsi="Arial"/>
          <w:sz w:val="22"/>
          <w:szCs w:val="22"/>
          <w:color w:val="auto"/>
        </w:rPr>
        <w:t>Facility Customization</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COD (“Licensor”)  has agreed to perform facility customizations upgrades on behalf of Synlogic (“Licensee”)</w:t>
      </w:r>
    </w:p>
    <w:p>
      <w:pPr>
        <w:spacing w:after="0" w:line="206" w:lineRule="exact"/>
        <w:rPr>
          <w:sz w:val="20"/>
          <w:szCs w:val="20"/>
          <w:color w:val="auto"/>
        </w:rPr>
      </w:pPr>
    </w:p>
    <w:p>
      <w:pPr>
        <w:ind w:left="340" w:right="320"/>
        <w:spacing w:after="0" w:line="250" w:lineRule="auto"/>
        <w:rPr>
          <w:sz w:val="20"/>
          <w:szCs w:val="20"/>
          <w:color w:val="auto"/>
        </w:rPr>
      </w:pPr>
      <w:r>
        <w:rPr>
          <w:rFonts w:ascii="Arial" w:cs="Arial" w:eastAsia="Arial" w:hAnsi="Arial"/>
          <w:sz w:val="22"/>
          <w:szCs w:val="22"/>
          <w:color w:val="auto"/>
        </w:rPr>
        <w:t xml:space="preserve">for $650,000.00. </w:t>
      </w:r>
      <w:r>
        <w:rPr>
          <w:rFonts w:ascii="Arial" w:cs="Arial" w:eastAsia="Arial" w:hAnsi="Arial"/>
          <w:sz w:val="19"/>
          <w:szCs w:val="19"/>
          <w:color w:val="auto"/>
        </w:rPr>
        <w:t>[***]</w:t>
      </w:r>
      <w:r>
        <w:rPr>
          <w:rFonts w:ascii="Arial" w:cs="Arial" w:eastAsia="Arial" w:hAnsi="Arial"/>
          <w:sz w:val="22"/>
          <w:szCs w:val="22"/>
          <w:color w:val="auto"/>
        </w:rPr>
        <w:t xml:space="preserve">% Payment upon agreement and </w:t>
      </w:r>
      <w:r>
        <w:rPr>
          <w:rFonts w:ascii="Arial" w:cs="Arial" w:eastAsia="Arial" w:hAnsi="Arial"/>
          <w:sz w:val="19"/>
          <w:szCs w:val="19"/>
          <w:color w:val="auto"/>
        </w:rPr>
        <w:t>[***]</w:t>
      </w:r>
      <w:r>
        <w:rPr>
          <w:rFonts w:ascii="Arial" w:cs="Arial" w:eastAsia="Arial" w:hAnsi="Arial"/>
          <w:sz w:val="22"/>
          <w:szCs w:val="22"/>
          <w:color w:val="auto"/>
        </w:rPr>
        <w:t>% payment upon turnover of the completed space, subject to Section 6, below.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Facility Customization project and Payment Terms will be outlined in separate scope of work P-10558-02.</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12559A"/>
        </w:rPr>
        <w:t>Section 5 – Payments and Invoicing</w:t>
      </w:r>
    </w:p>
    <w:p>
      <w:pPr>
        <w:spacing w:after="0" w:line="206" w:lineRule="exact"/>
        <w:rPr>
          <w:sz w:val="20"/>
          <w:szCs w:val="20"/>
          <w:color w:val="auto"/>
        </w:rPr>
      </w:pPr>
    </w:p>
    <w:p>
      <w:pPr>
        <w:ind w:left="340" w:right="340"/>
        <w:spacing w:after="0"/>
        <w:rPr>
          <w:sz w:val="20"/>
          <w:szCs w:val="20"/>
          <w:color w:val="auto"/>
        </w:rPr>
      </w:pPr>
      <w:r>
        <w:rPr>
          <w:rFonts w:ascii="Arial" w:cs="Arial" w:eastAsia="Arial" w:hAnsi="Arial"/>
          <w:sz w:val="22"/>
          <w:szCs w:val="22"/>
          <w:color w:val="auto"/>
        </w:rPr>
        <w:t>All invoices are due net +30 days from the invoice date. Fixed amounts for the monthly License Fee will be generated at the start of each month. Monthly invoices for variable amounts will be generated out at the end of each month, if required based on actual usage.</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82" w:right="479" w:bottom="1440" w:gutter="0" w:footer="0" w:header="0"/>
        </w:sectPr>
      </w:pPr>
    </w:p>
    <w:bookmarkStart w:id="126" w:name="page127"/>
    <w:bookmarkEnd w:id="126"/>
    <w:p>
      <w:pPr>
        <w:jc w:val="both"/>
        <w:spacing w:after="0" w:line="297" w:lineRule="auto"/>
        <w:rPr>
          <w:sz w:val="20"/>
          <w:szCs w:val="20"/>
          <w:color w:val="auto"/>
        </w:rPr>
      </w:pPr>
      <w:r>
        <w:rPr>
          <w:rFonts w:ascii="Arial" w:cs="Arial" w:eastAsia="Arial" w:hAnsi="Arial"/>
          <w:sz w:val="19"/>
          <w:szCs w:val="19"/>
          <w:color w:val="auto"/>
        </w:rPr>
        <w:t>The total amount for CR3 use and related services for 15 months starting January 2022 to March 2023 is $2,271,699. In addition, the variable budget of $</w:t>
      </w:r>
      <w:r>
        <w:rPr>
          <w:rFonts w:ascii="Arial" w:cs="Arial" w:eastAsia="Arial" w:hAnsi="Arial"/>
          <w:sz w:val="17"/>
          <w:szCs w:val="17"/>
          <w:color w:val="auto"/>
        </w:rPr>
        <w:t>[***]</w:t>
      </w:r>
      <w:r>
        <w:rPr>
          <w:rFonts w:ascii="Arial" w:cs="Arial" w:eastAsia="Arial" w:hAnsi="Arial"/>
          <w:sz w:val="19"/>
          <w:szCs w:val="19"/>
          <w:color w:val="auto"/>
        </w:rPr>
        <w:t>/month, total amount $150,000 will also be required. A Purchase Order (“PO”) for the total amount is required for the reservation of the cleanroom and related services specified in this SOW.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12559A"/>
        </w:rPr>
        <w:t>Section 6 – Timing</w:t>
      </w:r>
    </w:p>
    <w:p>
      <w:pPr>
        <w:spacing w:after="0" w:line="206"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 xml:space="preserve">In accordance with the facility customization and build-out schedule (“Facility Customization”) in Appendix 1, COD shall complete Facility Customization no later than </w:t>
      </w:r>
      <w:r>
        <w:rPr>
          <w:rFonts w:ascii="Arial" w:cs="Arial" w:eastAsia="Arial" w:hAnsi="Arial"/>
          <w:sz w:val="19"/>
          <w:szCs w:val="19"/>
          <w:color w:val="auto"/>
        </w:rPr>
        <w:t>[***]</w:t>
      </w:r>
      <w:r>
        <w:rPr>
          <w:rFonts w:ascii="Arial" w:cs="Arial" w:eastAsia="Arial" w:hAnsi="Arial"/>
          <w:sz w:val="22"/>
          <w:szCs w:val="22"/>
          <w:color w:val="auto"/>
        </w:rPr>
        <w:t xml:space="preserve">. COD acknowledges and agrees that time is of the essence in the completion of the Facility Customization. COD shall use its best efforts to ensure that Facility Customization is completed by </w:t>
      </w:r>
      <w:r>
        <w:rPr>
          <w:rFonts w:ascii="Arial" w:cs="Arial" w:eastAsia="Arial" w:hAnsi="Arial"/>
          <w:sz w:val="19"/>
          <w:szCs w:val="19"/>
          <w:color w:val="auto"/>
        </w:rPr>
        <w:t>[***]</w:t>
      </w:r>
      <w:r>
        <w:rPr>
          <w:rFonts w:ascii="Arial" w:cs="Arial" w:eastAsia="Arial" w:hAnsi="Arial"/>
          <w:sz w:val="22"/>
          <w:szCs w:val="22"/>
          <w:color w:val="auto"/>
        </w:rPr>
        <w:t xml:space="preserve">, and represents and warrants that it is not aware of any fact or circumstance that would delay completion of Facility Customization after this date. </w:t>
      </w:r>
      <w:r>
        <w:rPr>
          <w:rFonts w:ascii="Arial" w:cs="Arial" w:eastAsia="Arial" w:hAnsi="Arial"/>
          <w:sz w:val="19"/>
          <w:szCs w:val="19"/>
          <w:color w:val="auto"/>
        </w:rPr>
        <w:t>[***].</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66040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60"/>
          </w:cols>
          <w:pgMar w:left="660" w:top="577" w:right="779" w:bottom="1440" w:gutter="0" w:footer="0" w:header="0"/>
        </w:sectPr>
      </w:pPr>
    </w:p>
    <w:bookmarkStart w:id="127" w:name="page128"/>
    <w:bookmarkEnd w:id="127"/>
    <w:p>
      <w:pPr>
        <w:ind w:left="20"/>
        <w:spacing w:after="0"/>
        <w:rPr>
          <w:sz w:val="20"/>
          <w:szCs w:val="20"/>
          <w:color w:val="auto"/>
        </w:rPr>
      </w:pPr>
      <w:r>
        <w:rPr>
          <w:rFonts w:ascii="Arial" w:cs="Arial" w:eastAsia="Arial" w:hAnsi="Arial"/>
          <w:sz w:val="22"/>
          <w:szCs w:val="22"/>
          <w:color w:val="12559A"/>
        </w:rPr>
        <w:t>Section 7 – Approvals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SOW Generated by (COD):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Joseph Sollecito</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21JAN2022</w:t>
      </w:r>
    </w:p>
    <w:p>
      <w:pPr>
        <w:spacing w:after="0" w:line="206" w:lineRule="exact"/>
        <w:rPr>
          <w:sz w:val="20"/>
          <w:szCs w:val="20"/>
          <w:color w:val="auto"/>
        </w:rPr>
      </w:pPr>
    </w:p>
    <w:p>
      <w:pPr>
        <w:spacing w:after="0"/>
        <w:tabs>
          <w:tab w:leader="none" w:pos="1260" w:val="left"/>
        </w:tabs>
        <w:rPr>
          <w:sz w:val="20"/>
          <w:szCs w:val="20"/>
          <w:color w:val="auto"/>
        </w:rPr>
      </w:pPr>
      <w:r>
        <w:rPr>
          <w:rFonts w:ascii="Arial" w:cs="Arial" w:eastAsia="Arial" w:hAnsi="Arial"/>
          <w:sz w:val="19"/>
          <w:szCs w:val="19"/>
          <w:color w:val="auto"/>
        </w:rPr>
        <w:t>Name:</w:t>
      </w:r>
      <w:r>
        <w:rPr>
          <w:sz w:val="20"/>
          <w:szCs w:val="20"/>
          <w:color w:val="auto"/>
        </w:rPr>
        <w:tab/>
      </w:r>
      <w:r>
        <w:rPr>
          <w:rFonts w:ascii="Arial" w:cs="Arial" w:eastAsia="Arial" w:hAnsi="Arial"/>
          <w:sz w:val="19"/>
          <w:szCs w:val="19"/>
          <w:color w:val="auto"/>
        </w:rPr>
        <w:t>Joseph Sollecito, Senior Director Azzur Cleanrooms on Demand-Boston</w:t>
      </w:r>
    </w:p>
    <w:p>
      <w:pPr>
        <w:spacing w:after="0" w:line="241"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Joseph.Sollecito@Azzur.com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SOW Accepted by (Synlogic):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Gregg Beloff</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NAME: </w:t>
      </w:r>
      <w:r>
        <w:rPr>
          <w:rFonts w:ascii="Arial" w:cs="Arial" w:eastAsia="Arial" w:hAnsi="Arial"/>
          <w:sz w:val="22"/>
          <w:szCs w:val="22"/>
          <w:color w:val="auto"/>
        </w:rPr>
        <w:t>Gregg Beloff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TITLE: </w:t>
      </w:r>
      <w:r>
        <w:rPr>
          <w:rFonts w:ascii="Arial" w:cs="Arial" w:eastAsia="Arial" w:hAnsi="Arial"/>
          <w:sz w:val="22"/>
          <w:szCs w:val="22"/>
          <w:color w:val="auto"/>
        </w:rPr>
        <w:t>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1/21/22</w:t>
      </w:r>
    </w:p>
    <w:p>
      <w:pPr>
        <w:spacing w:after="0" w:line="200" w:lineRule="exact"/>
        <w:rPr>
          <w:sz w:val="20"/>
          <w:szCs w:val="20"/>
          <w:color w:val="auto"/>
        </w:rPr>
      </w:pPr>
    </w:p>
    <w:p>
      <w:pPr>
        <w:spacing w:after="0" w:line="260"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66040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819"/>
          </w:cols>
          <w:pgMar w:left="640" w:top="361" w:right="1440"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b w:val="1"/>
          <w:bCs w:val="1"/>
          <w:color w:val="auto"/>
        </w:rPr>
        <w:t>Appendix 1 – Facility Customization Schedule: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819"/>
          </w:cols>
          <w:pgMar w:left="640" w:top="571"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10.31</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53" w:lineRule="auto"/>
        <w:tabs>
          <w:tab w:leader="none" w:pos="51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Scope of Work (SOW)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777240</wp:posOffset>
            </wp:positionV>
            <wp:extent cx="4131945" cy="874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413194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60"/>
        <w:spacing w:after="0"/>
        <w:rPr>
          <w:sz w:val="20"/>
          <w:szCs w:val="20"/>
          <w:color w:val="auto"/>
        </w:rPr>
      </w:pPr>
      <w:r>
        <w:rPr>
          <w:rFonts w:ascii="Arial" w:cs="Arial" w:eastAsia="Arial" w:hAnsi="Arial"/>
          <w:sz w:val="32"/>
          <w:szCs w:val="32"/>
          <w:color w:val="auto"/>
        </w:rPr>
        <w:t>Scope of Work P-10558-02</w:t>
      </w:r>
    </w:p>
    <w:p>
      <w:pPr>
        <w:spacing w:after="0" w:line="213" w:lineRule="exact"/>
        <w:rPr>
          <w:sz w:val="20"/>
          <w:szCs w:val="20"/>
          <w:color w:val="auto"/>
        </w:rPr>
      </w:pPr>
    </w:p>
    <w:p>
      <w:pPr>
        <w:jc w:val="center"/>
        <w:ind w:right="300"/>
        <w:spacing w:after="0"/>
        <w:rPr>
          <w:sz w:val="20"/>
          <w:szCs w:val="20"/>
          <w:color w:val="auto"/>
        </w:rPr>
      </w:pPr>
      <w:r>
        <w:rPr>
          <w:rFonts w:ascii="Arial" w:cs="Arial" w:eastAsia="Arial" w:hAnsi="Arial"/>
          <w:sz w:val="32"/>
          <w:szCs w:val="32"/>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567690</wp:posOffset>
            </wp:positionV>
            <wp:extent cx="2425700" cy="1045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242570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line="266" w:lineRule="auto"/>
        <w:rPr>
          <w:sz w:val="20"/>
          <w:szCs w:val="20"/>
          <w:color w:val="auto"/>
        </w:rPr>
      </w:pPr>
      <w:r>
        <w:rPr>
          <w:rFonts w:ascii="Arial" w:cs="Arial" w:eastAsia="Arial" w:hAnsi="Arial"/>
          <w:sz w:val="32"/>
          <w:szCs w:val="32"/>
          <w:color w:val="auto"/>
        </w:rPr>
        <w:t>Scope of Work for Cleanroom 3 Expansion Customization Project (January-March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12559A"/>
        </w:rPr>
        <w:t>Section 1 - Background/Scope</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Azzur Cleanrooms On Demand (“COD”) facilities are designed for clients to utilize controlled clean areas and services related to early phase cGMP manufacturing. This Scope of Work (“SOW”) outlines the facility customization and build-out (“Facility Customization”) of Cleanroom 3 to expand the available manufacturing suite and install client specific process equipment and utilities to support client manufacturing operations, subject to terms and conditions specified in the </w:t>
      </w:r>
      <w:r>
        <w:rPr>
          <w:rFonts w:ascii="Arial" w:cs="Arial" w:eastAsia="Arial" w:hAnsi="Arial"/>
          <w:sz w:val="21"/>
          <w:szCs w:val="21"/>
          <w:b w:val="1"/>
          <w:bCs w:val="1"/>
          <w:u w:val="single" w:color="auto"/>
          <w:color w:val="auto"/>
        </w:rPr>
        <w:t>LICENSE AND SERVICES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AGREEMENT</w:t>
      </w:r>
      <w:r>
        <w:rPr>
          <w:rFonts w:ascii="Arial" w:cs="Arial" w:eastAsia="Arial" w:hAnsi="Arial"/>
          <w:sz w:val="21"/>
          <w:szCs w:val="21"/>
          <w:color w:val="auto"/>
        </w:rPr>
        <w:t>, of cleanroom use (“CR3”) and support related services at the COD facility located at 411 Waverley Oaks Rd.,</w:t>
      </w:r>
      <w:r>
        <w:rPr>
          <w:rFonts w:ascii="Arial" w:cs="Arial" w:eastAsia="Arial" w:hAnsi="Arial"/>
          <w:sz w:val="21"/>
          <w:szCs w:val="21"/>
          <w:b w:val="1"/>
          <w:bCs w:val="1"/>
          <w:color w:val="auto"/>
        </w:rPr>
        <w:t xml:space="preserve"> </w:t>
      </w:r>
      <w:r>
        <w:rPr>
          <w:rFonts w:ascii="Arial" w:cs="Arial" w:eastAsia="Arial" w:hAnsi="Arial"/>
          <w:sz w:val="21"/>
          <w:szCs w:val="21"/>
          <w:color w:val="auto"/>
        </w:rPr>
        <w:t>#126, Waltham, MA 02452. This SOW is being executed to support the transition from the scope of work outlined in P-9717, which will be replaced by the scope of work outlined in P-10558-01 at the conclusion of the suite expansion/customization and the release of the suite for client operations. This SOW is entered into by COD (“Licensor”) and Synlogic (“Licensee”) effective as of the approval date of this SOW. Upon execution of this SOW, this SOW will be incorporated into a mutually approved License and Services Agreement (“LSA”) that contains additional terms and conditions of the COD Cleanrooms and support services use.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12559A"/>
        </w:rPr>
        <w:t>Section 2 – License and Technical Requirements</w:t>
      </w:r>
    </w:p>
    <w:p>
      <w:pPr>
        <w:spacing w:after="0" w:line="200" w:lineRule="exact"/>
        <w:rPr>
          <w:sz w:val="20"/>
          <w:szCs w:val="20"/>
          <w:color w:val="auto"/>
        </w:rPr>
      </w:pPr>
    </w:p>
    <w:p>
      <w:pPr>
        <w:ind w:left="380" w:hanging="372"/>
        <w:spacing w:after="0"/>
        <w:tabs>
          <w:tab w:leader="none" w:pos="38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Lab Space Renovation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Azzur has developed a plan to renovate and improve the Cleanroom 3 area of the facility as follows:</w:t>
      </w:r>
    </w:p>
    <w:p>
      <w:pPr>
        <w:spacing w:after="0" w:line="206" w:lineRule="exact"/>
        <w:rPr>
          <w:sz w:val="20"/>
          <w:szCs w:val="20"/>
          <w:color w:val="auto"/>
        </w:rPr>
      </w:pPr>
    </w:p>
    <w:p>
      <w:pPr>
        <w:ind w:left="1040" w:hanging="519"/>
        <w:spacing w:after="0"/>
        <w:tabs>
          <w:tab w:leader="none" w:pos="10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Expand cleanroom footprint by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Expand ISO 7 manufacturing space from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Install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Install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Increase [***]</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31" w:name="page132"/>
    <w:bookmarkEnd w:id="131"/>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Upgrade electrical distribution to support new and existing client equipment arrangement</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Relocate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Increase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Add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Eliminate [***]</w:t>
      </w:r>
    </w:p>
    <w:p>
      <w:pPr>
        <w:spacing w:after="0" w:line="206" w:lineRule="exact"/>
        <w:rPr>
          <w:rFonts w:ascii="Arial" w:cs="Arial" w:eastAsia="Arial" w:hAnsi="Arial"/>
          <w:sz w:val="22"/>
          <w:szCs w:val="22"/>
          <w:color w:val="auto"/>
        </w:rPr>
      </w:pPr>
    </w:p>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Add process drain piping to [***]</w:t>
      </w:r>
    </w:p>
    <w:p>
      <w:pPr>
        <w:spacing w:after="0" w:line="206" w:lineRule="exact"/>
        <w:rPr>
          <w:rFonts w:ascii="Arial" w:cs="Arial" w:eastAsia="Arial" w:hAnsi="Arial"/>
          <w:sz w:val="22"/>
          <w:szCs w:val="22"/>
          <w:color w:val="auto"/>
        </w:rPr>
      </w:pPr>
    </w:p>
    <w:p>
      <w:pPr>
        <w:ind w:left="1040" w:right="140" w:hanging="519"/>
        <w:spacing w:after="0" w:line="250" w:lineRule="auto"/>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Perform Cleanroom certification and Environmental Monitoring Performance Qualification of the renovated suite to ensure it is fit for use</w:t>
      </w:r>
    </w:p>
    <w:p>
      <w:pPr>
        <w:spacing w:after="0" w:line="174" w:lineRule="exact"/>
        <w:rPr>
          <w:rFonts w:ascii="Arial" w:cs="Arial" w:eastAsia="Arial" w:hAnsi="Arial"/>
          <w:sz w:val="22"/>
          <w:szCs w:val="22"/>
          <w:color w:val="auto"/>
        </w:rPr>
      </w:pPr>
    </w:p>
    <w:p>
      <w:pPr>
        <w:ind w:left="1040" w:hanging="519"/>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Renegotiate terms [***]</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Total Cost $650,000</w:t>
      </w:r>
    </w:p>
    <w:p>
      <w:pPr>
        <w:spacing w:after="0" w:line="206"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*Attachment 1, included in this SOW, references the full equipment list and which equipment will or will not be on Emergency Power.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12559A"/>
        </w:rPr>
        <w:t>Section 3 – Payments and Invoicing</w:t>
      </w:r>
    </w:p>
    <w:p>
      <w:pPr>
        <w:spacing w:after="0" w:line="206" w:lineRule="exact"/>
        <w:rPr>
          <w:sz w:val="20"/>
          <w:szCs w:val="20"/>
          <w:color w:val="auto"/>
        </w:rPr>
      </w:pPr>
    </w:p>
    <w:p>
      <w:pPr>
        <w:ind w:right="420"/>
        <w:spacing w:after="0" w:line="238" w:lineRule="auto"/>
        <w:rPr>
          <w:sz w:val="20"/>
          <w:szCs w:val="20"/>
          <w:color w:val="auto"/>
        </w:rPr>
      </w:pPr>
      <w:r>
        <w:rPr>
          <w:rFonts w:ascii="Arial" w:cs="Arial" w:eastAsia="Arial" w:hAnsi="Arial"/>
          <w:sz w:val="22"/>
          <w:szCs w:val="22"/>
          <w:color w:val="auto"/>
        </w:rPr>
        <w:t>A Purchase Order (“PO”) for the total amount is required for the customization and improvement outlined in this SOW. Subject to Section 4, below the client agrees to a pre-payment of [***] will be required to commence with the project plan specified in this SOW. The final payment of [***] will be due upon client acceptance of the space to begin client activities in the renovated suite.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12559A"/>
        </w:rPr>
        <w:t>Section 4 - Timing</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COD acknowledges and agrees that time is of the essence in the completion of the Facility Customization. Facility customization will be deemed complete when the client equipment has been installed and is electromechanically complete and the expanded cleanroom has been certified and conditionally released by Azzur Quality based on a review of [***]. COD shall use its best efforts to ensure that Facility Customization is completed by [***], and represents and warrants that it is not aware of any fact or circumstance that would delay completion of Facility Customization after this date. [***].</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12559A"/>
        </w:rPr>
        <w:t>Section 5 – Approvals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SOW Generated by (COD):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Joseph Sollecito</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21JAN22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Name: Joseph Sollecito Title: Senior Director, Azzur COD-Boston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Email: joseph.sollecito@azzur.com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SOW Accepted by (Synlogic):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Gregg Beloff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1/21/22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Gregg Beloff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Email: Gregg.Beloff@synlogictx.com</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77" w:right="1440"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Attachment 1 – [***]</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355"/>
        </w:trPr>
        <w:tc>
          <w:tcPr>
            <w:tcW w:w="33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Location</w:t>
            </w:r>
          </w:p>
        </w:tc>
        <w:tc>
          <w:tcPr>
            <w:tcW w:w="3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Equipment</w:t>
            </w:r>
          </w:p>
        </w:tc>
        <w:tc>
          <w:tcPr>
            <w:tcW w:w="3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Emergency Power</w:t>
            </w:r>
          </w:p>
        </w:tc>
      </w:tr>
      <w:tr>
        <w:trPr>
          <w:trHeight w:val="104"/>
        </w:trPr>
        <w:tc>
          <w:tcPr>
            <w:tcW w:w="334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r>
        <w:trPr>
          <w:trHeight w:val="335"/>
        </w:trPr>
        <w:tc>
          <w:tcPr>
            <w:tcW w:w="3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33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33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t>
            </w:r>
          </w:p>
        </w:tc>
      </w:tr>
      <w:tr>
        <w:trPr>
          <w:trHeight w:val="104"/>
        </w:trPr>
        <w:tc>
          <w:tcPr>
            <w:tcW w:w="334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r>
        <w:trPr>
          <w:trHeight w:val="335"/>
        </w:trPr>
        <w:tc>
          <w:tcPr>
            <w:tcW w:w="3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Location</w:t>
            </w:r>
          </w:p>
        </w:tc>
        <w:tc>
          <w:tcPr>
            <w:tcW w:w="33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Equipment</w:t>
            </w:r>
          </w:p>
        </w:tc>
        <w:tc>
          <w:tcPr>
            <w:tcW w:w="334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Emergency Power</w:t>
            </w:r>
          </w:p>
        </w:tc>
      </w:tr>
      <w:tr>
        <w:trPr>
          <w:trHeight w:val="104"/>
        </w:trPr>
        <w:tc>
          <w:tcPr>
            <w:tcW w:w="334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r>
        <w:trPr>
          <w:trHeight w:val="335"/>
        </w:trPr>
        <w:tc>
          <w:tcPr>
            <w:tcW w:w="33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33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t>
            </w:r>
          </w:p>
        </w:tc>
        <w:tc>
          <w:tcPr>
            <w:tcW w:w="334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t>
            </w:r>
          </w:p>
        </w:tc>
      </w:tr>
      <w:tr>
        <w:trPr>
          <w:trHeight w:val="104"/>
        </w:trPr>
        <w:tc>
          <w:tcPr>
            <w:tcW w:w="3340" w:type="dxa"/>
            <w:vAlign w:val="bottom"/>
            <w:tcBorders>
              <w:left w:val="single" w:sz="8" w:color="auto"/>
              <w:bottom w:val="single" w:sz="8" w:color="auto"/>
              <w:right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361"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21.1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40" w:type="dxa"/>
            <w:vAlign w:val="bottom"/>
            <w:gridSpan w:val="3"/>
          </w:tcPr>
          <w:p>
            <w:pPr>
              <w:ind w:left="400"/>
              <w:spacing w:after="0"/>
              <w:rPr>
                <w:sz w:val="20"/>
                <w:szCs w:val="20"/>
                <w:color w:val="auto"/>
              </w:rPr>
            </w:pPr>
            <w:r>
              <w:rPr>
                <w:rFonts w:ascii="Arial" w:cs="Arial" w:eastAsia="Arial" w:hAnsi="Arial"/>
                <w:sz w:val="22"/>
                <w:szCs w:val="22"/>
                <w:b w:val="1"/>
                <w:bCs w:val="1"/>
                <w:color w:val="auto"/>
                <w:w w:val="97"/>
              </w:rPr>
              <w:t>SUBSIDIARIES OF SYNLOGIC, INC.</w:t>
            </w:r>
          </w:p>
        </w:tc>
      </w:tr>
      <w:tr>
        <w:trPr>
          <w:trHeight w:val="408"/>
        </w:trPr>
        <w:tc>
          <w:tcPr>
            <w:tcW w:w="3400" w:type="dxa"/>
            <w:vAlign w:val="bottom"/>
            <w:gridSpan w:val="2"/>
          </w:tcPr>
          <w:p>
            <w:pPr>
              <w:spacing w:after="0"/>
              <w:rPr>
                <w:sz w:val="20"/>
                <w:szCs w:val="20"/>
                <w:color w:val="auto"/>
              </w:rPr>
            </w:pPr>
            <w:r>
              <w:rPr>
                <w:rFonts w:ascii="Arial" w:cs="Arial" w:eastAsia="Arial" w:hAnsi="Arial"/>
                <w:sz w:val="22"/>
                <w:szCs w:val="22"/>
                <w:b w:val="1"/>
                <w:bCs w:val="1"/>
                <w:color w:val="auto"/>
              </w:rPr>
              <w:t>Subsidiary</w:t>
            </w:r>
          </w:p>
        </w:tc>
        <w:tc>
          <w:tcPr>
            <w:tcW w:w="22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22"/>
                <w:szCs w:val="22"/>
                <w:b w:val="1"/>
                <w:bCs w:val="1"/>
                <w:color w:val="auto"/>
              </w:rPr>
              <w:t>Jurisdiction</w:t>
            </w:r>
          </w:p>
        </w:tc>
      </w:tr>
      <w:tr>
        <w:trPr>
          <w:trHeight w:val="20"/>
        </w:trPr>
        <w:tc>
          <w:tcPr>
            <w:tcW w:w="10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72"/>
        </w:trPr>
        <w:tc>
          <w:tcPr>
            <w:tcW w:w="3400" w:type="dxa"/>
            <w:vAlign w:val="bottom"/>
            <w:gridSpan w:val="2"/>
          </w:tcPr>
          <w:p>
            <w:pPr>
              <w:spacing w:after="0"/>
              <w:rPr>
                <w:sz w:val="20"/>
                <w:szCs w:val="20"/>
                <w:color w:val="auto"/>
              </w:rPr>
            </w:pPr>
            <w:r>
              <w:rPr>
                <w:rFonts w:ascii="Arial" w:cs="Arial" w:eastAsia="Arial" w:hAnsi="Arial"/>
                <w:sz w:val="22"/>
                <w:szCs w:val="22"/>
                <w:color w:val="auto"/>
              </w:rPr>
              <w:t>Synlogic Operating Company, Inc.</w:t>
            </w:r>
          </w:p>
        </w:tc>
        <w:tc>
          <w:tcPr>
            <w:tcW w:w="222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4"/>
        </w:trPr>
        <w:tc>
          <w:tcPr>
            <w:tcW w:w="3400" w:type="dxa"/>
            <w:vAlign w:val="bottom"/>
            <w:gridSpan w:val="2"/>
          </w:tcPr>
          <w:p>
            <w:pPr>
              <w:spacing w:after="0"/>
              <w:rPr>
                <w:sz w:val="20"/>
                <w:szCs w:val="20"/>
                <w:color w:val="auto"/>
              </w:rPr>
            </w:pPr>
            <w:r>
              <w:rPr>
                <w:rFonts w:ascii="Arial" w:cs="Arial" w:eastAsia="Arial" w:hAnsi="Arial"/>
                <w:sz w:val="22"/>
                <w:szCs w:val="22"/>
                <w:color w:val="auto"/>
              </w:rPr>
              <w:t>Synlogic Securities Corporation</w:t>
            </w:r>
          </w:p>
        </w:tc>
        <w:tc>
          <w:tcPr>
            <w:tcW w:w="2220" w:type="dxa"/>
            <w:vAlign w:val="bottom"/>
          </w:tcPr>
          <w:p>
            <w:pPr>
              <w:spacing w:after="0"/>
              <w:rPr>
                <w:sz w:val="23"/>
                <w:szCs w:val="23"/>
                <w:color w:val="auto"/>
              </w:rPr>
            </w:pPr>
          </w:p>
        </w:tc>
        <w:tc>
          <w:tcPr>
            <w:tcW w:w="1820" w:type="dxa"/>
            <w:vAlign w:val="bottom"/>
            <w:gridSpan w:val="2"/>
          </w:tcPr>
          <w:p>
            <w:pPr>
              <w:spacing w:after="0"/>
              <w:rPr>
                <w:sz w:val="20"/>
                <w:szCs w:val="20"/>
                <w:color w:val="auto"/>
              </w:rPr>
            </w:pPr>
            <w:r>
              <w:rPr>
                <w:rFonts w:ascii="Arial" w:cs="Arial" w:eastAsia="Arial" w:hAnsi="Arial"/>
                <w:sz w:val="22"/>
                <w:szCs w:val="22"/>
                <w:color w:val="auto"/>
              </w:rPr>
              <w:t>Massachusetts</w:t>
            </w:r>
          </w:p>
        </w:tc>
      </w:tr>
    </w:tbl>
    <w:p>
      <w:pPr>
        <w:sectPr>
          <w:pgSz w:w="11900" w:h="16838" w:orient="portrait"/>
          <w:cols w:equalWidth="0" w:num="1">
            <w:col w:w="11240"/>
          </w:cols>
          <w:pgMar w:left="320" w:top="11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We consent to the incorporation by reference in the registration statements (Nos.333-207299, 333-210466, 333-220841, 333-223798, 333-230224, 333-237104, 333-237105, 333-254688 and 333-254689) on Form S-8 and (Nos. 333-233139 and 333-258151) on Form S-3 of our report dated March 17, 2022, with respect to the consolidated financial statements of Synlogic,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ectPr>
          <w:pgSz w:w="11900" w:h="16838" w:orient="portrait"/>
          <w:cols w:equalWidth="0" w:num="1">
            <w:col w:w="11240"/>
          </w:cols>
          <w:pgMar w:left="320" w:top="355" w:right="339" w:bottom="1440" w:gutter="0" w:footer="0" w:header="0"/>
        </w:sectPr>
      </w:pPr>
    </w:p>
    <w:bookmarkStart w:id="136" w:name="page137"/>
    <w:bookmarkEnd w:id="13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980" w:hanging="223"/>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Synlogic, Inc.;</w:t>
      </w:r>
    </w:p>
    <w:p>
      <w:pPr>
        <w:spacing w:after="0" w:line="225" w:lineRule="exact"/>
        <w:rPr>
          <w:rFonts w:ascii="Arial" w:cs="Arial" w:eastAsia="Arial" w:hAnsi="Arial"/>
          <w:sz w:val="18"/>
          <w:szCs w:val="18"/>
          <w:color w:val="auto"/>
        </w:rPr>
      </w:pPr>
    </w:p>
    <w:p>
      <w:pPr>
        <w:ind w:firstLine="757"/>
        <w:spacing w:after="0" w:line="342" w:lineRule="auto"/>
        <w:tabs>
          <w:tab w:leader="none" w:pos="974"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757"/>
        <w:spacing w:after="0" w:line="308" w:lineRule="auto"/>
        <w:tabs>
          <w:tab w:leader="none" w:pos="974"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60" w:firstLine="757"/>
        <w:spacing w:after="0" w:line="291" w:lineRule="auto"/>
        <w:tabs>
          <w:tab w:leader="none" w:pos="971"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right="80" w:firstLine="757"/>
        <w:spacing w:after="0" w:line="263" w:lineRule="auto"/>
        <w:tabs>
          <w:tab w:leader="none" w:pos="979"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757"/>
        <w:spacing w:after="0" w:line="263" w:lineRule="auto"/>
        <w:tabs>
          <w:tab w:leader="none" w:pos="9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620" w:firstLine="757"/>
        <w:spacing w:after="0" w:line="342" w:lineRule="auto"/>
        <w:tabs>
          <w:tab w:leader="none" w:pos="934" w:val="left"/>
        </w:tabs>
        <w:numPr>
          <w:ilvl w:val="0"/>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60" w:firstLine="757"/>
        <w:spacing w:after="0" w:line="263" w:lineRule="auto"/>
        <w:tabs>
          <w:tab w:leader="none" w:pos="9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20" w:firstLine="757"/>
        <w:spacing w:after="0" w:line="342" w:lineRule="auto"/>
        <w:tabs>
          <w:tab w:leader="none" w:pos="9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820" w:firstLine="757"/>
        <w:spacing w:after="0" w:line="308" w:lineRule="auto"/>
        <w:tabs>
          <w:tab w:leader="none" w:pos="979"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500" w:firstLine="757"/>
        <w:spacing w:after="0" w:line="277" w:lineRule="auto"/>
        <w:tabs>
          <w:tab w:leader="none" w:pos="98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160" w:val="left"/>
          <w:tab w:leader="none" w:pos="75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Aoife Brennan</w:t>
      </w:r>
    </w:p>
    <w:p>
      <w:pPr>
        <w:spacing w:after="0" w:line="27" w:lineRule="exact"/>
        <w:rPr>
          <w:sz w:val="20"/>
          <w:szCs w:val="20"/>
          <w:color w:val="auto"/>
        </w:rPr>
      </w:pPr>
    </w:p>
    <w:p>
      <w:pPr>
        <w:ind w:left="702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137" w:name="page138"/>
    <w:bookmarkEnd w:id="13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980" w:hanging="223"/>
        <w:spacing w:after="0"/>
        <w:tabs>
          <w:tab w:leader="none" w:pos="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Synlogic, Inc.;</w:t>
      </w:r>
    </w:p>
    <w:p>
      <w:pPr>
        <w:spacing w:after="0" w:line="225" w:lineRule="exact"/>
        <w:rPr>
          <w:rFonts w:ascii="Arial" w:cs="Arial" w:eastAsia="Arial" w:hAnsi="Arial"/>
          <w:sz w:val="18"/>
          <w:szCs w:val="18"/>
          <w:color w:val="auto"/>
        </w:rPr>
      </w:pPr>
    </w:p>
    <w:p>
      <w:pPr>
        <w:ind w:firstLine="757"/>
        <w:spacing w:after="0" w:line="342" w:lineRule="auto"/>
        <w:tabs>
          <w:tab w:leader="none" w:pos="97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757"/>
        <w:spacing w:after="0" w:line="308" w:lineRule="auto"/>
        <w:tabs>
          <w:tab w:leader="none" w:pos="97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60" w:firstLine="757"/>
        <w:spacing w:after="0" w:line="291" w:lineRule="auto"/>
        <w:tabs>
          <w:tab w:leader="none" w:pos="97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ind w:right="80" w:firstLine="757"/>
        <w:spacing w:after="0" w:line="263" w:lineRule="auto"/>
        <w:tabs>
          <w:tab w:leader="none" w:pos="9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0" w:firstLine="757"/>
        <w:spacing w:after="0" w:line="263" w:lineRule="auto"/>
        <w:tabs>
          <w:tab w:leader="none" w:pos="9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620" w:firstLine="757"/>
        <w:spacing w:after="0" w:line="342" w:lineRule="auto"/>
        <w:tabs>
          <w:tab w:leader="none" w:pos="93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60" w:firstLine="757"/>
        <w:spacing w:after="0" w:line="263" w:lineRule="auto"/>
        <w:tabs>
          <w:tab w:leader="none" w:pos="9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20" w:firstLine="757"/>
        <w:spacing w:after="0" w:line="342" w:lineRule="auto"/>
        <w:tabs>
          <w:tab w:leader="none" w:pos="97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820" w:firstLine="757"/>
        <w:spacing w:after="0" w:line="308" w:lineRule="auto"/>
        <w:tabs>
          <w:tab w:leader="none" w:pos="97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500" w:firstLine="757"/>
        <w:spacing w:after="0" w:line="277" w:lineRule="auto"/>
        <w:tabs>
          <w:tab w:leader="none" w:pos="98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160" w:val="left"/>
          <w:tab w:leader="none" w:pos="764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i w:val="1"/>
          <w:iCs w:val="1"/>
          <w:color w:val="auto"/>
        </w:rPr>
        <w:t>Interim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b w:val="1"/>
          <w:bCs w:val="1"/>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connection with the Annual Report of Synlogic, Inc. (the “Company”) on Form 10-K for the period ending December 31, 2021 as filed with the Securities and Exchange Commission on the date hereof (the “Report”), I, Aoife Brennan, President and Chief Executive Officer of the Company,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78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b w:val="1"/>
          <w:bCs w:val="1"/>
          <w:i w:val="1"/>
          <w:iCs w:val="1"/>
          <w:color w:val="auto"/>
        </w:rPr>
        <w:t>President and 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24"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In connection with the Annual Report of Synlogic, Inc. (the “Company”) on Form 10-K for the period ending December 31, 2021 as filed with the Securities and Exchange Commission on the date hereof (the “Report”), I, Gregg Beloff, Interim Chief Financial Officer,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84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i w:val="1"/>
          <w:iCs w:val="1"/>
          <w:color w:val="auto"/>
        </w:rPr>
        <w:t>Interim Chief Financial Officer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7"/>
          <w:szCs w:val="17"/>
          <w:b w:val="1"/>
          <w:bCs w:val="1"/>
          <w:i w:val="1"/>
          <w:iCs w:val="1"/>
          <w:color w:val="auto"/>
        </w:rPr>
        <w:t>(Principal Financial Officer and Principal Accounting Officer)</w:t>
      </w:r>
    </w:p>
    <w:p>
      <w:pPr>
        <w:spacing w:after="0" w:line="23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lvl w:ilvl="1">
      <w:lvlJc w:val="left"/>
      <w:lvlText w:val="•"/>
      <w:numFmt w:val="bullet"/>
      <w:start w:val="1"/>
    </w:lvl>
  </w:abstractNum>
  <w:abstractNum w:abstractNumId="7">
    <w:nsid w:val="39386575"/>
    <w:multiLevelType w:val="hybridMultilevel"/>
    <w:lvl w:ilvl="0">
      <w:lvlJc w:val="left"/>
      <w:lvlText w:val="(%1)"/>
      <w:numFmt w:val="decimal"/>
      <w:start w:val="3"/>
    </w:lvl>
  </w:abstractNum>
  <w:abstractNum w:abstractNumId="8">
    <w:nsid w:val="1CF10FD8"/>
    <w:multiLevelType w:val="hybridMultilevel"/>
    <w:lvl w:ilvl="0">
      <w:lvlJc w:val="left"/>
      <w:lvlText w:val="%1)"/>
      <w:numFmt w:val="decimal"/>
      <w:start w:val="1"/>
    </w:lvl>
  </w:abstractNum>
  <w:abstractNum w:abstractNumId="9">
    <w:nsid w:val="180115BE"/>
    <w:multiLevelType w:val="hybridMultilevel"/>
    <w:lvl w:ilvl="0">
      <w:lvlJc w:val="left"/>
      <w:lvlText w:val="o"/>
      <w:numFmt w:val="bullet"/>
      <w:start w:val="1"/>
    </w:lvl>
  </w:abstractNum>
  <w:abstractNum w:abstractNumId="10">
    <w:nsid w:val="235BA861"/>
    <w:multiLevelType w:val="hybridMultilevel"/>
    <w:lvl w:ilvl="0">
      <w:lvlJc w:val="left"/>
      <w:lvlText w:val="o"/>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1)"/>
      <w:numFmt w:val="decimal"/>
      <w:start w:val="2"/>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1)"/>
      <w:numFmt w:val="lowerRoman"/>
      <w:start w:val="2"/>
    </w:lvl>
  </w:abstractNum>
  <w:abstractNum w:abstractNumId="55">
    <w:nsid w:val="4962813B"/>
    <w:multiLevelType w:val="hybridMultilevel"/>
    <w:lvl w:ilvl="0">
      <w:lvlJc w:val="left"/>
      <w:lvlText w:val="(%1)"/>
      <w:numFmt w:val="decimal"/>
      <w:start w:val="3"/>
    </w:lvl>
  </w:abstractNum>
  <w:abstractNum w:abstractNumId="56">
    <w:nsid w:val="60B6DF70"/>
    <w:multiLevelType w:val="hybridMultilevel"/>
    <w:lvl w:ilvl="0">
      <w:lvlJc w:val="left"/>
      <w:lvlText w:val="(%1)"/>
      <w:numFmt w:val="decimal"/>
      <w:start w:val="4"/>
    </w:lvl>
  </w:abstractNum>
  <w:abstractNum w:abstractNumId="57">
    <w:nsid w:val="6A5EE64"/>
    <w:multiLevelType w:val="hybridMultilevel"/>
    <w:lvl w:ilvl="0">
      <w:lvlJc w:val="left"/>
      <w:lvlText w:val="(%1)"/>
      <w:numFmt w:val="decimal"/>
      <w:start w:val="5"/>
    </w:lvl>
  </w:abstractNum>
  <w:abstractNum w:abstractNumId="58">
    <w:nsid w:val="14330624"/>
    <w:multiLevelType w:val="hybridMultilevel"/>
    <w:lvl w:ilvl="0">
      <w:lvlJc w:val="left"/>
      <w:lvlText w:val="(%1)"/>
      <w:numFmt w:val="decimal"/>
      <w:start w:val="6"/>
    </w:lvl>
  </w:abstractNum>
  <w:abstractNum w:abstractNumId="59">
    <w:nsid w:val="7FFFCA11"/>
    <w:multiLevelType w:val="hybridMultilevel"/>
    <w:lvl w:ilvl="0">
      <w:lvlJc w:val="left"/>
      <w:lvlText w:val="(%1)"/>
      <w:numFmt w:val="decimal"/>
      <w:start w:val="7"/>
    </w:lvl>
  </w:abstractNum>
  <w:abstractNum w:abstractNumId="60">
    <w:nsid w:val="1A27709E"/>
    <w:multiLevelType w:val="hybridMultilevel"/>
    <w:lvl w:ilvl="0">
      <w:lvlJc w:val="left"/>
      <w:lvlText w:val="(%1)"/>
      <w:numFmt w:val="decimal"/>
      <w:start w:val="8"/>
    </w:lvl>
    <w:lvl w:ilvl="1">
      <w:lvlJc w:val="left"/>
      <w:lvlText w:val="•"/>
      <w:numFmt w:val="bullet"/>
      <w:start w:val="1"/>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decimal"/>
      <w:start w:val="10"/>
    </w:lvl>
  </w:abstractNum>
  <w:abstractNum w:abstractNumId="63">
    <w:nsid w:val="7FB7E0AA"/>
    <w:multiLevelType w:val="hybridMultilevel"/>
    <w:lvl w:ilvl="0">
      <w:lvlJc w:val="left"/>
      <w:lvlText w:val="(%1)"/>
      <w:numFmt w:val="decimal"/>
      <w:start w:val="11"/>
    </w:lvl>
  </w:abstractNum>
  <w:abstractNum w:abstractNumId="64">
    <w:nsid w:val="6EB5BD4"/>
    <w:multiLevelType w:val="hybridMultilevel"/>
    <w:lvl w:ilvl="0">
      <w:lvlJc w:val="left"/>
      <w:lvlText w:val="(%1)"/>
      <w:numFmt w:val="decimal"/>
      <w:start w:val="12"/>
    </w:lvl>
  </w:abstractNum>
  <w:abstractNum w:abstractNumId="65">
    <w:nsid w:val="6F6DD9AC"/>
    <w:multiLevelType w:val="hybridMultilevel"/>
    <w:lvl w:ilvl="0">
      <w:lvlJc w:val="left"/>
      <w:lvlText w:val="(%1)"/>
      <w:numFmt w:val="decimal"/>
      <w:start w:val="13"/>
    </w:lvl>
  </w:abstractNum>
  <w:abstractNum w:abstractNumId="66">
    <w:nsid w:val="94211F2"/>
    <w:multiLevelType w:val="hybridMultilevel"/>
    <w:lvl w:ilvl="0">
      <w:lvlJc w:val="left"/>
      <w:lvlText w:val="(%1)"/>
      <w:numFmt w:val="decimal"/>
      <w:start w:val="14"/>
    </w:lvl>
  </w:abstractNum>
  <w:abstractNum w:abstractNumId="67">
    <w:nsid w:val="885E1B"/>
    <w:multiLevelType w:val="hybridMultilevel"/>
    <w:lvl w:ilvl="0">
      <w:lvlJc w:val="left"/>
      <w:lvlText w:val="(%1)"/>
      <w:numFmt w:val="decimal"/>
      <w:start w:val="15"/>
    </w:lvl>
  </w:abstractNum>
  <w:abstractNum w:abstractNumId="68">
    <w:nsid w:val="76272110"/>
    <w:multiLevelType w:val="hybridMultilevel"/>
    <w:lvl w:ilvl="0">
      <w:lvlJc w:val="left"/>
      <w:lvlText w:val="(%1)"/>
      <w:numFmt w:val="decimal"/>
      <w:start w:val="16"/>
    </w:lvl>
  </w:abstractNum>
  <w:abstractNum w:abstractNumId="69">
    <w:nsid w:val="4C04A8AF"/>
    <w:multiLevelType w:val="hybridMultilevel"/>
    <w:lvl w:ilvl="0">
      <w:lvlJc w:val="left"/>
      <w:lvlText w:val="(%1)"/>
      <w:numFmt w:val="decimal"/>
      <w:start w:val="17"/>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lvl w:ilvl="1">
      <w:lvlJc w:val="left"/>
      <w:lvlText w:val="o"/>
      <w:numFmt w:val="bullet"/>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o"/>
      <w:numFmt w:val="bullet"/>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lowerLetter"/>
      <w:start w:val="2"/>
    </w:lvl>
  </w:abstractNum>
  <w:abstractNum w:abstractNumId="82">
    <w:nsid w:val="60EF0119"/>
    <w:multiLevelType w:val="hybridMultilevel"/>
    <w:lvl w:ilvl="0">
      <w:lvlJc w:val="left"/>
      <w:lvlText w:val="•"/>
      <w:numFmt w:val="bullet"/>
      <w:start w:val="1"/>
    </w:lvl>
    <w:lvl w:ilvl="1">
      <w:lvlJc w:val="left"/>
      <w:lvlText w:val="*"/>
      <w:numFmt w:val="bullet"/>
      <w:start w:val="1"/>
    </w:lvl>
  </w:abstractNum>
  <w:abstractNum w:abstractNumId="83">
    <w:nsid w:val="26F324BA"/>
    <w:multiLevelType w:val="hybridMultilevel"/>
    <w:lvl w:ilvl="0">
      <w:lvlJc w:val="left"/>
      <w:lvlText w:val="%1)"/>
      <w:numFmt w:val="lowerLetter"/>
      <w:start w:val="3"/>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lowerLetter"/>
      <w:start w:val="4"/>
    </w:lvl>
  </w:abstractNum>
  <w:abstractNum w:abstractNumId="86">
    <w:nsid w:val="7055A5F5"/>
    <w:multiLevelType w:val="hybridMultilevel"/>
    <w:lvl w:ilvl="0">
      <w:lvlJc w:val="left"/>
      <w:lvlText w:val="•"/>
      <w:numFmt w:val="bullet"/>
      <w:start w:val="1"/>
    </w:lvl>
  </w:abstractNum>
  <w:abstractNum w:abstractNumId="87">
    <w:nsid w:val="5FB8370B"/>
    <w:multiLevelType w:val="hybridMultilevel"/>
    <w:lvl w:ilvl="0">
      <w:lvlJc w:val="left"/>
      <w:lvlText w:val="%1)"/>
      <w:numFmt w:val="lowerLetter"/>
      <w:start w:val="5"/>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
      <w:numFmt w:val="bullet"/>
      <w:start w:val="1"/>
    </w:lvl>
  </w:abstractNum>
  <w:abstractNum w:abstractNumId="90">
    <w:nsid w:val="5FB8011C"/>
    <w:multiLevelType w:val="hybridMultilevel"/>
    <w:lvl w:ilvl="0">
      <w:lvlJc w:val="left"/>
      <w:lvlText w:val="%1)"/>
      <w:numFmt w:val="lowerLetter"/>
      <w:start w:val="2"/>
    </w:lvl>
  </w:abstractNum>
  <w:abstractNum w:abstractNumId="91">
    <w:nsid w:val="6AA78F7F"/>
    <w:multiLevelType w:val="hybridMultilevel"/>
    <w:lvl w:ilvl="0">
      <w:lvlJc w:val="left"/>
      <w:lvlText w:val="[***]"/>
      <w:numFmt w:val="bullet"/>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decimal"/>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decimal"/>
      <w:start w:val="5"/>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jpeg"/><Relationship Id="rId185" Type="http://schemas.openxmlformats.org/officeDocument/2006/relationships/image" Target="media/image141.jpe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jpeg"/><Relationship Id="rId197" Type="http://schemas.openxmlformats.org/officeDocument/2006/relationships/image" Target="media/image153.jpe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106" Type="http://schemas.openxmlformats.org/officeDocument/2006/relationships/hyperlink" Target="http://www.sec.gov/Archives/edgar/data/1527599/000110465917032941/a17-13113_1ex2d1.htm" TargetMode="External"/><Relationship Id="rId107" Type="http://schemas.openxmlformats.org/officeDocument/2006/relationships/hyperlink" Target="http://www.sec.gov/Archives/edgar/data/1527599/000110465915069368/a15-14644_8ex3d1.htm" TargetMode="External"/><Relationship Id="rId108" Type="http://schemas.openxmlformats.org/officeDocument/2006/relationships/hyperlink" Target="http://www.sec.gov/Archives/edgar/data/1527599/000119312517270395/d431294dex31.htm" TargetMode="External"/><Relationship Id="rId109" Type="http://schemas.openxmlformats.org/officeDocument/2006/relationships/hyperlink" Target="http://www.sec.gov/Archives/edgar/data/1527599/000119312517270395/d431294dex32.htm" TargetMode="External"/><Relationship Id="rId110" Type="http://schemas.openxmlformats.org/officeDocument/2006/relationships/hyperlink" Target="http://www.sec.gov/Archives/edgar/data/1527599/000110465915069368/a15-14644_8ex3d2.htm" TargetMode="External"/><Relationship Id="rId111" Type="http://schemas.openxmlformats.org/officeDocument/2006/relationships/hyperlink" Target="http://www.sec.gov/Archives/edgar/data/1527599/000104746915007386/a2226006zex-4_2.htm" TargetMode="External"/><Relationship Id="rId112" Type="http://schemas.openxmlformats.org/officeDocument/2006/relationships/hyperlink" Target="http://www.sec.gov/Archives/edgar/data/1527599/000119312519170721/d766098dex41.htm" TargetMode="External"/><Relationship Id="rId113" Type="http://schemas.openxmlformats.org/officeDocument/2006/relationships/hyperlink" Target="http://www.sec.gov/Archives/edgar/data/1527599/000156459020010261/sybx-ex43_732.htm" TargetMode="External"/><Relationship Id="rId114" Type="http://schemas.openxmlformats.org/officeDocument/2006/relationships/hyperlink" Target="http://www.sec.gov/Archives/edgar/data/1527599/000156459018006323/sybx-ex101_397.htm" TargetMode="External"/><Relationship Id="rId115" Type="http://schemas.openxmlformats.org/officeDocument/2006/relationships/hyperlink" Target="http://www.sec.gov/Archives/edgar/data/1527599/000104746915007251/a2225898zex-10_9b.htm" TargetMode="External"/><Relationship Id="rId116" Type="http://schemas.openxmlformats.org/officeDocument/2006/relationships/hyperlink" Target="http://www.sec.gov/Archives/edgar/data/1527599/000104746915007251/a2225898zex-10_9c.htm" TargetMode="External"/><Relationship Id="rId117" Type="http://schemas.openxmlformats.org/officeDocument/2006/relationships/hyperlink" Target="http://www.sec.gov/Archives/edgar/data/1527599/000156459018006323/sybx-ex104_396.htm" TargetMode="External"/><Relationship Id="rId118" Type="http://schemas.openxmlformats.org/officeDocument/2006/relationships/hyperlink" Target="http://www.sec.gov/Archives/edgar/data/1527599/000119312517340965/d458814dex1017.htm" TargetMode="External"/><Relationship Id="rId119" Type="http://schemas.openxmlformats.org/officeDocument/2006/relationships/hyperlink" Target="http://www.sec.gov/Archives/edgar/data/1527599/000156459018006323/sybx-ex106_235.htm" TargetMode="External"/><Relationship Id="rId122" Type="http://schemas.openxmlformats.org/officeDocument/2006/relationships/hyperlink" Target="http://www.sec.gov/Archives/edgar/data/1527599/000104746915007251/a2225898zex-10_13.htm" TargetMode="External"/><Relationship Id="rId123" Type="http://schemas.openxmlformats.org/officeDocument/2006/relationships/hyperlink" Target="http://www.sec.gov/Archives/edgar/data/1527599/000119312517270395/d431294dex106.htm" TargetMode="External"/><Relationship Id="rId124" Type="http://schemas.openxmlformats.org/officeDocument/2006/relationships/hyperlink" Target="http://www.sec.gov/Archives/edgar/data/1527599/000119312517270395/d431294dex107.htm" TargetMode="External"/><Relationship Id="rId125" Type="http://schemas.openxmlformats.org/officeDocument/2006/relationships/hyperlink" Target="http://www.sec.gov/Archives/edgar/data/1527599/000119312517270395/d431294dex108.htm" TargetMode="External"/><Relationship Id="rId126" Type="http://schemas.openxmlformats.org/officeDocument/2006/relationships/hyperlink" Target="http://www.sec.gov/Archives/edgar/data/1527599/000156459018020755/sybx-ex101_100.htm" TargetMode="External"/><Relationship Id="rId127" Type="http://schemas.openxmlformats.org/officeDocument/2006/relationships/hyperlink" Target="http://www.sec.gov/Archives/edgar/data/1527599/000156459018029326/sybx-ex101_305.htm" TargetMode="External"/><Relationship Id="rId128" Type="http://schemas.openxmlformats.org/officeDocument/2006/relationships/hyperlink" Target="http://www.sec.gov/Archives/edgar/data/1527599/000156459021015256/sybx-ex1013_238.htm" TargetMode="External"/><Relationship Id="rId129" Type="http://schemas.openxmlformats.org/officeDocument/2006/relationships/hyperlink" Target="http://www.sec.gov/Archives/edgar/data/1527599/000156459021015256/sybx-ex10141_239.htm" TargetMode="External"/><Relationship Id="rId130" Type="http://schemas.openxmlformats.org/officeDocument/2006/relationships/hyperlink" Target="http://www.sec.gov/Archives/edgar/data/1527599/000156459021015256/sybx-ex10142_240.htm" TargetMode="External"/><Relationship Id="rId131" Type="http://schemas.openxmlformats.org/officeDocument/2006/relationships/hyperlink" Target="http://www.sec.gov/Archives/edgar/data/1527599/000119312517270395/d431294dex1012.htm" TargetMode="External"/><Relationship Id="rId132" Type="http://schemas.openxmlformats.org/officeDocument/2006/relationships/hyperlink" Target="http://www.sec.gov/Archives/edgar/data/1527599/000156459018029326/sybx-ex102_304.htm" TargetMode="External"/><Relationship Id="rId135" Type="http://schemas.openxmlformats.org/officeDocument/2006/relationships/hyperlink" Target="http://www.sec.gov/Archives/edgar/data/1527599/000156459019007367/sybx-ex1025_537.htm" TargetMode="External"/><Relationship Id="rId136" Type="http://schemas.openxmlformats.org/officeDocument/2006/relationships/hyperlink" Target="http://www.sec.gov/Archives/edgar/data/1527599/000119312517270395/d431294dex1013.htm" TargetMode="External"/><Relationship Id="rId137" Type="http://schemas.openxmlformats.org/officeDocument/2006/relationships/hyperlink" Target="http://www.sec.gov/Archives/edgar/data/1527599/000119312517310897/d671201dex11.htm" TargetMode="External"/><Relationship Id="rId138" Type="http://schemas.openxmlformats.org/officeDocument/2006/relationships/hyperlink" Target="http://www.sec.gov/Archives/edgar/data/1527599/000119312518109307/d564416dex101.htm" TargetMode="External"/><Relationship Id="rId139" Type="http://schemas.openxmlformats.org/officeDocument/2006/relationships/hyperlink" Target="http://www.sec.gov/Archives/edgar/data/1527599/000156459019007367/sybx-ex1029_621.htm" TargetMode="External"/><Relationship Id="rId140" Type="http://schemas.openxmlformats.org/officeDocument/2006/relationships/hyperlink" Target="http://www.sec.gov/Archives/edgar/data/1527599/000156459019007367/sybx-ex1030_620.htm" TargetMode="External"/><Relationship Id="rId141" Type="http://schemas.openxmlformats.org/officeDocument/2006/relationships/hyperlink" Target="http://www.sec.gov/Archives/edgar/data/1527599/000119312519170721/d766098dex101.htm" TargetMode="External"/><Relationship Id="rId142" Type="http://schemas.openxmlformats.org/officeDocument/2006/relationships/hyperlink" Target="http://www.sec.gov/Archives/edgar/data/1527599/000156459019030838/sybx-ex102_134.htm" TargetMode="External"/><Relationship Id="rId143" Type="http://schemas.openxmlformats.org/officeDocument/2006/relationships/hyperlink" Target="http://www.sec.gov/Archives/edgar/data/1527599/000119312519273622/d820489dex101.htm" TargetMode="External"/><Relationship Id="rId144" Type="http://schemas.openxmlformats.org/officeDocument/2006/relationships/hyperlink" Target="http://www.sec.gov/Archives/edgar/data/1527599/000119312519321039/d853861dex101.htm" TargetMode="External"/><Relationship Id="rId145" Type="http://schemas.openxmlformats.org/officeDocument/2006/relationships/hyperlink" Target="http://www.sec.gov/Archives/edgar/data/1527599/000156459021043681/sybx-ex101_149.htm" TargetMode="External"/><Relationship Id="rId146" Type="http://schemas.openxmlformats.org/officeDocument/2006/relationships/hyperlink" Target="http://www.sec.gov/Archives/edgar/data/0001527599/000156459021043681/sybx-ex102_1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2022-03-17T05:23:24Z</dcterms:created>
  <dcterms:modified xsi:type="dcterms:W3CDTF">2022-03-17T05:23:24Z</dcterms:modified>
</cp:coreProperties>
</file>