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20" w:right="220" w:hanging="499"/>
        <w:spacing w:after="0" w:line="258"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35"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spacing w:after="0" w:line="18" w:lineRule="exact"/>
        <w:rPr>
          <w:sz w:val="24"/>
          <w:szCs w:val="24"/>
          <w:color w:val="auto"/>
        </w:rPr>
      </w:pPr>
    </w:p>
    <w:p>
      <w:pPr>
        <w:ind w:left="520"/>
        <w:spacing w:after="0"/>
        <w:tabs>
          <w:tab w:leader="none" w:pos="5680" w:val="left"/>
        </w:tabs>
        <w:rPr>
          <w:sz w:val="20"/>
          <w:szCs w:val="20"/>
          <w:color w:val="auto"/>
        </w:rPr>
      </w:pPr>
      <w:r>
        <w:rPr>
          <w:rFonts w:ascii="Times New Roman" w:cs="Times New Roman" w:eastAsia="Times New Roman" w:hAnsi="Times New Roman"/>
          <w:sz w:val="22"/>
          <w:szCs w:val="22"/>
          <w:b w:val="1"/>
          <w:bCs w:val="1"/>
          <w:color w:val="auto"/>
        </w:rPr>
        <w:t>1934 FOR THE TRANSITION PERIOD FROM</w:t>
      </w:r>
      <w:r>
        <w:rPr>
          <w:sz w:val="20"/>
          <w:szCs w:val="20"/>
          <w:color w:val="auto"/>
        </w:rPr>
        <w:tab/>
      </w:r>
      <w:r>
        <w:rPr>
          <w:rFonts w:ascii="Times New Roman" w:cs="Times New Roman" w:eastAsia="Times New Roman" w:hAnsi="Times New Roman"/>
          <w:sz w:val="22"/>
          <w:szCs w:val="22"/>
          <w:b w:val="1"/>
          <w:bCs w:val="1"/>
          <w:color w:val="auto"/>
        </w:rPr>
        <w:t>TO</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529"/>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jc w:val="center"/>
              <w:ind w:left="15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vMerge w:val="restart"/>
          </w:tcPr>
          <w:p>
            <w:pPr>
              <w:jc w:val="right"/>
              <w:ind w:right="2060"/>
              <w:spacing w:after="0"/>
              <w:rPr>
                <w:sz w:val="20"/>
                <w:szCs w:val="20"/>
                <w:color w:val="auto"/>
              </w:rPr>
            </w:pPr>
            <w:r>
              <w:rPr>
                <w:rFonts w:ascii="Times New Roman" w:cs="Times New Roman" w:eastAsia="Times New Roman" w:hAnsi="Times New Roman"/>
                <w:sz w:val="18"/>
                <w:szCs w:val="18"/>
                <w:b w:val="1"/>
                <w:bCs w:val="1"/>
                <w:color w:val="auto"/>
              </w:rPr>
              <w:t>26-1824804</w:t>
            </w:r>
          </w:p>
        </w:tc>
        <w:tc>
          <w:tcPr>
            <w:tcW w:w="0" w:type="dxa"/>
            <w:vAlign w:val="bottom"/>
          </w:tcPr>
          <w:p>
            <w:pPr>
              <w:spacing w:after="0"/>
              <w:rPr>
                <w:sz w:val="1"/>
                <w:szCs w:val="1"/>
                <w:color w:val="auto"/>
              </w:rPr>
            </w:pPr>
          </w:p>
        </w:tc>
      </w:tr>
      <w:tr>
        <w:trPr>
          <w:trHeight w:val="198"/>
        </w:trPr>
        <w:tc>
          <w:tcPr>
            <w:tcW w:w="3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15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60" w:type="dxa"/>
            <w:vAlign w:val="bottom"/>
          </w:tcPr>
          <w:p>
            <w:pPr>
              <w:jc w:val="center"/>
              <w:ind w:left="15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52"/>
        </w:trPr>
        <w:tc>
          <w:tcPr>
            <w:tcW w:w="3560" w:type="dxa"/>
            <w:vAlign w:val="bottom"/>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PO Box 30</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60" w:type="dxa"/>
            <w:vAlign w:val="bottom"/>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Winchester, MA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jc w:val="right"/>
              <w:ind w:right="2260"/>
              <w:spacing w:after="0"/>
              <w:rPr>
                <w:sz w:val="20"/>
                <w:szCs w:val="20"/>
                <w:color w:val="auto"/>
              </w:rPr>
            </w:pPr>
            <w:r>
              <w:rPr>
                <w:rFonts w:ascii="Times New Roman" w:cs="Times New Roman" w:eastAsia="Times New Roman" w:hAnsi="Times New Roman"/>
                <w:sz w:val="18"/>
                <w:szCs w:val="18"/>
                <w:b w:val="1"/>
                <w:bCs w:val="1"/>
                <w:color w:val="auto"/>
              </w:rPr>
              <w:t>01890</w:t>
            </w:r>
          </w:p>
        </w:tc>
        <w:tc>
          <w:tcPr>
            <w:tcW w:w="0" w:type="dxa"/>
            <w:vAlign w:val="bottom"/>
          </w:tcPr>
          <w:p>
            <w:pPr>
              <w:spacing w:after="0"/>
              <w:rPr>
                <w:sz w:val="1"/>
                <w:szCs w:val="1"/>
                <w:color w:val="auto"/>
              </w:rPr>
            </w:pPr>
          </w:p>
        </w:tc>
      </w:tr>
      <w:tr>
        <w:trPr>
          <w:trHeight w:val="178"/>
        </w:trPr>
        <w:tc>
          <w:tcPr>
            <w:tcW w:w="7880" w:type="dxa"/>
            <w:vAlign w:val="bottom"/>
            <w:gridSpan w:val="6"/>
          </w:tcPr>
          <w:p>
            <w:pPr>
              <w:jc w:val="center"/>
              <w:ind w:right="2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31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(617) 401-9975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6"/>
                <w:szCs w:val="16"/>
                <w:color w:val="auto"/>
              </w:rPr>
              <w:t>Trading Symbol</w:t>
            </w:r>
          </w:p>
        </w:tc>
        <w:tc>
          <w:tcPr>
            <w:tcW w:w="38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jc w:val="center"/>
              <w:ind w:right="300"/>
              <w:spacing w:after="0"/>
              <w:rPr>
                <w:sz w:val="20"/>
                <w:szCs w:val="20"/>
                <w:color w:val="auto"/>
              </w:rPr>
            </w:pPr>
            <w:r>
              <w:rPr>
                <w:rFonts w:ascii="Times New Roman" w:cs="Times New Roman" w:eastAsia="Times New Roman" w:hAnsi="Times New Roman"/>
                <w:sz w:val="16"/>
                <w:szCs w:val="16"/>
                <w:color w:val="auto"/>
              </w:rPr>
              <w:t>Name of exchange on which registered</w:t>
            </w:r>
          </w:p>
        </w:tc>
        <w:tc>
          <w:tcPr>
            <w:tcW w:w="0" w:type="dxa"/>
            <w:vAlign w:val="bottom"/>
          </w:tcPr>
          <w:p>
            <w:pPr>
              <w:spacing w:after="0"/>
              <w:rPr>
                <w:sz w:val="1"/>
                <w:szCs w:val="1"/>
                <w:color w:val="auto"/>
              </w:rPr>
            </w:pPr>
          </w:p>
        </w:tc>
      </w:tr>
      <w:tr>
        <w:trPr>
          <w:trHeight w:val="203"/>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6"/>
                <w:szCs w:val="16"/>
                <w:color w:val="auto"/>
              </w:rPr>
              <w:t>SYBX</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r>
        <w:trPr>
          <w:trHeight w:val="223"/>
        </w:trPr>
        <w:tc>
          <w:tcPr>
            <w:tcW w:w="3560" w:type="dxa"/>
            <w:vAlign w:val="bottom"/>
            <w:tcBorders>
              <w:left w:val="single" w:sz="8" w:color="auto"/>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2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6"/>
                <w:szCs w:val="16"/>
                <w:color w:val="auto"/>
              </w:rPr>
              <w:t>N/A</w:t>
            </w:r>
          </w:p>
        </w:tc>
        <w:tc>
          <w:tcPr>
            <w:tcW w:w="38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bl>
    <w:p>
      <w:pPr>
        <w:spacing w:after="0" w:line="189"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3" w:right="339" w:bottom="1440" w:gutter="0" w:footer="0" w:header="0"/>
        </w:sectPr>
      </w:pPr>
    </w:p>
    <w:p>
      <w:pPr>
        <w:spacing w:after="0" w:line="60" w:lineRule="exact"/>
        <w:rPr>
          <w:sz w:val="24"/>
          <w:szCs w:val="24"/>
          <w:color w:val="auto"/>
        </w:rPr>
      </w:pPr>
    </w:p>
    <w:p>
      <w:pPr>
        <w:ind w:left="20"/>
        <w:spacing w:after="0" w:line="184" w:lineRule="exact"/>
        <w:tabs>
          <w:tab w:leader="none" w:pos="2500" w:val="left"/>
          <w:tab w:leader="none" w:pos="750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p>
    <w:p>
      <w:pPr>
        <w:spacing w:after="0" w:line="73" w:lineRule="exact"/>
        <w:rPr>
          <w:sz w:val="24"/>
          <w:szCs w:val="24"/>
          <w:color w:val="auto"/>
        </w:rPr>
      </w:pPr>
    </w:p>
    <w:p>
      <w:pPr>
        <w:ind w:left="20"/>
        <w:spacing w:after="0" w:line="184" w:lineRule="exact"/>
        <w:tabs>
          <w:tab w:leader="none" w:pos="2500" w:val="left"/>
          <w:tab w:leader="none" w:pos="750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32" w:lineRule="exact"/>
        <w:rPr>
          <w:sz w:val="24"/>
          <w:szCs w:val="24"/>
          <w:color w:val="auto"/>
        </w:rPr>
      </w:pPr>
    </w:p>
    <w:p>
      <w:pPr>
        <w:ind w:left="752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22"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right="208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 2024, there were 11,696,109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60" w:space="280"/>
            <w:col w:w="300"/>
          </w:cols>
          <w:pgMar w:left="320" w:top="983" w:right="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97" w:lineRule="exact"/>
        <w:rPr>
          <w:sz w:val="20"/>
          <w:szCs w:val="20"/>
          <w:color w:val="auto"/>
        </w:rPr>
      </w:pPr>
    </w:p>
    <w:p>
      <w:pPr>
        <w:ind w:left="1020" w:right="6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strategic alternatives with a goal to enhance stockholder value, including the possibility of a merger or a sale of the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third parties;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in manufacturing products, as well as agreements with third-party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is adversely impacted by the effects of the coronavirus outbreak (COVID-19) or by other health epidemics or pandemics;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II, Item 1A. “Risk Factors."</w:t>
      </w:r>
    </w:p>
    <w:p>
      <w:pPr>
        <w:spacing w:after="0" w:line="225"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SYNLOGIC,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06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6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64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Operations and Comprehensive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64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1229"/>
        </w:trPr>
        <w:tc>
          <w:tcPr>
            <w:tcW w:w="28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7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2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held for sale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49,907</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3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3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21,635</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 - operating lease</w:t>
            </w:r>
          </w:p>
        </w:tc>
        <w:tc>
          <w:tcPr>
            <w:tcW w:w="32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warrant liability</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Pr>
          <w:p>
            <w:pPr>
              <w:spacing w:after="0"/>
              <w:rPr>
                <w:sz w:val="20"/>
                <w:szCs w:val="20"/>
                <w:color w:val="auto"/>
              </w:rPr>
            </w:pPr>
          </w:p>
        </w:tc>
      </w:tr>
      <w:tr>
        <w:trPr>
          <w:trHeight w:val="237"/>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 - operating lease, net of current portion</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tcPr>
          <w:p>
            <w:pPr>
              <w:spacing w:after="0"/>
              <w:rPr>
                <w:sz w:val="20"/>
                <w:szCs w:val="20"/>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2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250,000,000 shares authorized as of June 30, 2024 and December 31, 2023;</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11,978,781 shares issued and 11,698,989 shares outstanding as of June 30, 2024 and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9,465,949 shares issued and 9,186,157 shares outstanding as of December 31, 2023</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5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462,342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459,458</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(443,853 )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(414,301 )</w:t>
            </w: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(279,792 shares at June 30, 2024 and at December 31, 2023)</w:t>
            </w:r>
          </w:p>
        </w:tc>
        <w:tc>
          <w:tcPr>
            <w:tcW w:w="3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(2,518 )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(2,518 )</w:t>
            </w:r>
          </w:p>
        </w:tc>
      </w:tr>
      <w:tr>
        <w:trPr>
          <w:trHeight w:val="237"/>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21,635</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75,550</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-3616960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-3599815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-2348230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-2031365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-2031365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6"/>
                <w:szCs w:val="16"/>
                <w:color w:val="auto"/>
              </w:rPr>
            </w:pPr>
          </w:p>
        </w:tc>
        <w:tc>
          <w:tcPr>
            <w:tcW w:w="27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69"/>
        </w:trPr>
        <w:tc>
          <w:tcPr>
            <w:tcW w:w="51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4"/>
                <w:szCs w:val="14"/>
                <w:color w:val="auto"/>
              </w:rPr>
            </w:pPr>
          </w:p>
        </w:tc>
      </w:tr>
      <w:tr>
        <w:trPr>
          <w:trHeight w:val="23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20"/>
                <w:szCs w:val="20"/>
                <w:color w:val="auto"/>
              </w:rPr>
            </w:pPr>
          </w:p>
        </w:tc>
      </w:tr>
      <w:tr>
        <w:trPr>
          <w:trHeight w:val="23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00" w:type="dxa"/>
            <w:vAlign w:val="bottom"/>
            <w:shd w:val="clear" w:color="auto" w:fill="CFF0FC"/>
          </w:tcPr>
          <w:p>
            <w:pPr>
              <w:spacing w:after="0"/>
              <w:rPr>
                <w:sz w:val="21"/>
                <w:szCs w:val="21"/>
                <w:color w:val="auto"/>
              </w:rPr>
            </w:pPr>
          </w:p>
        </w:tc>
      </w:tr>
      <w:tr>
        <w:trPr>
          <w:trHeight w:val="239"/>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Pr>
          <w:p>
            <w:pPr>
              <w:spacing w:after="0"/>
              <w:rPr>
                <w:sz w:val="20"/>
                <w:szCs w:val="20"/>
                <w:color w:val="auto"/>
              </w:rPr>
            </w:pPr>
          </w:p>
        </w:tc>
      </w:tr>
      <w:tr>
        <w:trPr>
          <w:trHeight w:val="243"/>
        </w:trPr>
        <w:tc>
          <w:tcPr>
            <w:tcW w:w="5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(3,795 )</w:t>
            </w: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(419 )</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32,106</w:t>
            </w:r>
          </w:p>
        </w:tc>
        <w:tc>
          <w:tcPr>
            <w:tcW w:w="10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(15,654 )</w:t>
            </w: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(38,426 )</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(31,897 )</w:t>
            </w:r>
          </w:p>
        </w:tc>
      </w:tr>
      <w:tr>
        <w:trPr>
          <w:trHeight w:val="23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FF0FC"/>
          </w:tcPr>
          <w:p>
            <w:pPr>
              <w:spacing w:after="0"/>
              <w:rPr>
                <w:sz w:val="21"/>
                <w:szCs w:val="21"/>
                <w:color w:val="auto"/>
              </w:rPr>
            </w:pPr>
          </w:p>
        </w:tc>
      </w:tr>
      <w:tr>
        <w:trPr>
          <w:trHeight w:val="239"/>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47"/>
        </w:trPr>
        <w:tc>
          <w:tcPr>
            <w:tcW w:w="5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purchase warrant liability</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37"/>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(15,039 )</w:t>
            </w: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(29,547 )</w:t>
            </w:r>
          </w:p>
        </w:tc>
        <w:tc>
          <w:tcPr>
            <w:tcW w:w="1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(30,661 )</w:t>
            </w: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3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(15,048 )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(29,552 )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(30,670 )</w:t>
            </w:r>
          </w:p>
        </w:tc>
      </w:tr>
      <w:tr>
        <w:trPr>
          <w:trHeight w:val="20"/>
        </w:trPr>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(loss) per share - 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(6.61 )</w:t>
            </w:r>
          </w:p>
        </w:tc>
      </w:tr>
      <w:tr>
        <w:trPr>
          <w:trHeight w:val="223"/>
        </w:trPr>
        <w:tc>
          <w:tcPr>
            <w:tcW w:w="5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basic</w:t>
            </w: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12,203,956</w:t>
            </w: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4,681,287</w:t>
            </w: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12,168,081</w:t>
            </w: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4,643,422</w:t>
            </w:r>
          </w:p>
        </w:tc>
        <w:tc>
          <w:tcPr>
            <w:tcW w:w="100" w:type="dxa"/>
            <w:vAlign w:val="bottom"/>
            <w:tcBorders>
              <w:top w:val="single" w:sz="8" w:color="CFF0FC"/>
            </w:tcBorders>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diluted</w:t>
            </w:r>
          </w:p>
        </w:tc>
        <w:tc>
          <w:tcPr>
            <w:tcW w:w="1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12,399,068</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4,681,287</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12,168,081</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4,643,422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(15,048 )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(29,552 )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(30,670 )</w:t>
            </w: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unrealized (loss) gain on marketable securities</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21"/>
                <w:szCs w:val="2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(15,016 )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(29,558 )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(30,507 )</w:t>
            </w:r>
          </w:p>
        </w:tc>
      </w:tr>
      <w:tr>
        <w:trPr>
          <w:trHeight w:val="20"/>
        </w:trPr>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-3102610</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-3102610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-3102610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-1842135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-1842135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-1842135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-1190625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-1174115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-1190625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-1174115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-1190625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-1174115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-831215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-814070</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-831215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-814070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-831215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-814070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-187960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-187960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72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160" w:type="dxa"/>
            <w:vAlign w:val="bottom"/>
            <w:gridSpan w:val="4"/>
            <w:vMerge w:val="continue"/>
          </w:tcPr>
          <w:p>
            <w:pPr>
              <w:spacing w:after="0"/>
              <w:rPr>
                <w:sz w:val="12"/>
                <w:szCs w:val="12"/>
                <w:color w:val="auto"/>
              </w:rPr>
            </w:pPr>
          </w:p>
        </w:tc>
        <w:tc>
          <w:tcPr>
            <w:tcW w:w="1860" w:type="dxa"/>
            <w:vAlign w:val="bottom"/>
            <w:gridSpan w:val="6"/>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72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$0.001 par 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ve</w:t>
            </w:r>
          </w:p>
        </w:tc>
        <w:tc>
          <w:tcPr>
            <w:tcW w:w="160" w:type="dxa"/>
            <w:vAlign w:val="bottom"/>
          </w:tcPr>
          <w:p>
            <w:pPr>
              <w:spacing w:after="0"/>
              <w:rPr>
                <w:sz w:val="15"/>
                <w:szCs w:val="15"/>
                <w:color w:val="auto"/>
              </w:rPr>
            </w:pPr>
          </w:p>
        </w:tc>
        <w:tc>
          <w:tcPr>
            <w:tcW w:w="10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w:t>
            </w:r>
          </w:p>
        </w:tc>
        <w:tc>
          <w:tcPr>
            <w:tcW w:w="1860" w:type="dxa"/>
            <w:vAlign w:val="bottom"/>
            <w:gridSpan w:val="6"/>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gridSpan w:val="1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11,907,004</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12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461,696</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(445,865 )</w:t>
            </w:r>
          </w:p>
        </w:tc>
        <w:tc>
          <w:tcPr>
            <w:tcW w:w="24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(279,792 ) $</w:t>
            </w:r>
          </w:p>
        </w:tc>
        <w:tc>
          <w:tcPr>
            <w:tcW w:w="9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(2,518 )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79,799</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(8,022 )</w:t>
            </w: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11,978,781</w:t>
            </w:r>
          </w:p>
        </w:tc>
        <w:tc>
          <w:tcPr>
            <w:tcW w:w="140" w:type="dxa"/>
            <w:vAlign w:val="bottom"/>
          </w:tcPr>
          <w:p>
            <w:pPr>
              <w:spacing w:after="0"/>
              <w:rPr>
                <w:sz w:val="14"/>
                <w:szCs w:val="14"/>
                <w:color w:val="auto"/>
              </w:rPr>
            </w:pP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462,342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(443,853 )</w:t>
            </w:r>
          </w:p>
        </w:tc>
        <w:tc>
          <w:tcPr>
            <w:tcW w:w="24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(279,792 ) $</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(2,518 )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40" w:type="dxa"/>
            <w:vAlign w:val="bottom"/>
            <w:gridSpan w:val="12"/>
            <w:shd w:val="clear" w:color="auto" w:fill="CFF0FC"/>
          </w:tcPr>
          <w:p>
            <w:pPr>
              <w:jc w:val="center"/>
              <w:ind w:right="440"/>
              <w:spacing w:after="0" w:line="156" w:lineRule="exact"/>
              <w:rPr>
                <w:sz w:val="20"/>
                <w:szCs w:val="20"/>
                <w:color w:val="auto"/>
              </w:rPr>
            </w:pPr>
            <w:r>
              <w:rPr>
                <w:rFonts w:ascii="Times New Roman" w:cs="Times New Roman" w:eastAsia="Times New Roman" w:hAnsi="Times New Roman"/>
                <w:sz w:val="14"/>
                <w:szCs w:val="14"/>
                <w:b w:val="1"/>
                <w:bCs w:val="1"/>
                <w:color w:val="auto"/>
              </w:rPr>
              <w:t>For the Three Months Ended June 30, 2023</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4,815,892</w:t>
            </w:r>
          </w:p>
        </w:tc>
        <w:tc>
          <w:tcPr>
            <w:tcW w:w="140" w:type="dxa"/>
            <w:vAlign w:val="bottom"/>
          </w:tcPr>
          <w:p>
            <w:pPr>
              <w:spacing w:after="0"/>
              <w:rPr>
                <w:sz w:val="15"/>
                <w:szCs w:val="15"/>
                <w:color w:val="auto"/>
              </w:rPr>
            </w:pP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443,896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(30 )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(372,641 )</w:t>
            </w:r>
          </w:p>
        </w:tc>
        <w:tc>
          <w:tcPr>
            <w:tcW w:w="240" w:type="dxa"/>
            <w:vAlign w:val="bottom"/>
          </w:tcPr>
          <w:p>
            <w:pPr>
              <w:spacing w:after="0"/>
              <w:rPr>
                <w:sz w:val="15"/>
                <w:szCs w:val="15"/>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(279,792 ) $</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(2,518 )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Proceeds from issuance of common stock in connection with</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47,073</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0" w:type="dxa"/>
            <w:vAlign w:val="bottom"/>
            <w:gridSpan w:val="3"/>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at-the-market offering, net of issuance costs</w:t>
            </w:r>
          </w:p>
        </w:tc>
        <w:tc>
          <w:tcPr>
            <w:tcW w:w="90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3"/>
            <w:vMerge w:val="continue"/>
            <w:shd w:val="clear" w:color="auto" w:fill="CFF0FC"/>
          </w:tcPr>
          <w:p>
            <w:pPr>
              <w:spacing w:after="0"/>
              <w:rPr>
                <w:sz w:val="16"/>
                <w:szCs w:val="16"/>
                <w:color w:val="auto"/>
              </w:rPr>
            </w:pPr>
          </w:p>
        </w:tc>
        <w:tc>
          <w:tcPr>
            <w:tcW w:w="880" w:type="dxa"/>
            <w:vAlign w:val="bottom"/>
            <w:gridSpan w:val="3"/>
            <w:vMerge w:val="continue"/>
            <w:shd w:val="clear" w:color="auto" w:fill="CFF0FC"/>
          </w:tcPr>
          <w:p>
            <w:pPr>
              <w:spacing w:after="0"/>
              <w:rPr>
                <w:sz w:val="16"/>
                <w:szCs w:val="16"/>
                <w:color w:val="auto"/>
              </w:rPr>
            </w:pPr>
          </w:p>
        </w:tc>
        <w:tc>
          <w:tcPr>
            <w:tcW w:w="980" w:type="dxa"/>
            <w:vAlign w:val="bottom"/>
            <w:gridSpan w:val="3"/>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(8,929 )</w:t>
            </w: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(15,048 )</w:t>
            </w:r>
          </w:p>
        </w:tc>
        <w:tc>
          <w:tcPr>
            <w:tcW w:w="24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(15,048 )</w:t>
            </w: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4,854,036</w:t>
            </w:r>
          </w:p>
        </w:tc>
        <w:tc>
          <w:tcPr>
            <w:tcW w:w="140" w:type="dxa"/>
            <w:vAlign w:val="bottom"/>
          </w:tcPr>
          <w:p>
            <w:pPr>
              <w:spacing w:after="0"/>
              <w:rPr>
                <w:sz w:val="14"/>
                <w:szCs w:val="14"/>
                <w:color w:val="auto"/>
              </w:rPr>
            </w:pP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444,974</w:t>
            </w:r>
          </w:p>
        </w:tc>
        <w:tc>
          <w:tcPr>
            <w:tcW w:w="1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(387,689 )</w:t>
            </w:r>
          </w:p>
        </w:tc>
        <w:tc>
          <w:tcPr>
            <w:tcW w:w="24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(279,792 ) $</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(2,518 )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960" w:type="dxa"/>
            <w:vAlign w:val="bottom"/>
            <w:gridSpan w:val="9"/>
            <w:shd w:val="clear" w:color="auto" w:fill="CFF0FC"/>
          </w:tcPr>
          <w:p>
            <w:pPr>
              <w:jc w:val="center"/>
              <w:ind w:left="368"/>
              <w:spacing w:after="0" w:line="156" w:lineRule="exact"/>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9,465,949</w:t>
            </w:r>
          </w:p>
        </w:tc>
        <w:tc>
          <w:tcPr>
            <w:tcW w:w="140" w:type="dxa"/>
            <w:vAlign w:val="bottom"/>
          </w:tcPr>
          <w:p>
            <w:pPr>
              <w:spacing w:after="0"/>
              <w:rPr>
                <w:sz w:val="15"/>
                <w:szCs w:val="15"/>
                <w:color w:val="auto"/>
              </w:rPr>
            </w:pP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459,458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(414,301 )</w:t>
            </w:r>
          </w:p>
        </w:tc>
        <w:tc>
          <w:tcPr>
            <w:tcW w:w="240" w:type="dxa"/>
            <w:vAlign w:val="bottom"/>
          </w:tcPr>
          <w:p>
            <w:pPr>
              <w:spacing w:after="0"/>
              <w:rPr>
                <w:sz w:val="15"/>
                <w:szCs w:val="15"/>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(279,792 ) $</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(2,518 )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Proceeds from issuance of common stock in connection with</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7,839</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0" w:type="dxa"/>
            <w:vAlign w:val="bottom"/>
            <w:gridSpan w:val="3"/>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at-the-market offering, net of issuance costs</w:t>
            </w:r>
          </w:p>
        </w:tc>
        <w:tc>
          <w:tcPr>
            <w:tcW w:w="90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3"/>
            <w:vMerge w:val="continue"/>
            <w:shd w:val="clear" w:color="auto" w:fill="CFF0FC"/>
          </w:tcPr>
          <w:p>
            <w:pPr>
              <w:spacing w:after="0"/>
              <w:rPr>
                <w:sz w:val="16"/>
                <w:szCs w:val="16"/>
                <w:color w:val="auto"/>
              </w:rPr>
            </w:pPr>
          </w:p>
        </w:tc>
        <w:tc>
          <w:tcPr>
            <w:tcW w:w="880" w:type="dxa"/>
            <w:vAlign w:val="bottom"/>
            <w:gridSpan w:val="3"/>
            <w:vMerge w:val="continue"/>
            <w:shd w:val="clear" w:color="auto" w:fill="CFF0FC"/>
          </w:tcPr>
          <w:p>
            <w:pPr>
              <w:spacing w:after="0"/>
              <w:rPr>
                <w:sz w:val="16"/>
                <w:szCs w:val="16"/>
                <w:color w:val="auto"/>
              </w:rPr>
            </w:pPr>
          </w:p>
        </w:tc>
        <w:tc>
          <w:tcPr>
            <w:tcW w:w="980" w:type="dxa"/>
            <w:vAlign w:val="bottom"/>
            <w:gridSpan w:val="3"/>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82,293</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2,251,000</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362,700</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(191,000 )</w:t>
            </w: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(6 )</w:t>
            </w:r>
          </w:p>
        </w:tc>
        <w:tc>
          <w:tcPr>
            <w:tcW w:w="16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(29,552 )</w:t>
            </w:r>
          </w:p>
        </w:tc>
        <w:tc>
          <w:tcPr>
            <w:tcW w:w="240" w:type="dxa"/>
            <w:vAlign w:val="bottom"/>
          </w:tcPr>
          <w:p>
            <w:pPr>
              <w:spacing w:after="0"/>
              <w:rPr>
                <w:sz w:val="15"/>
                <w:szCs w:val="15"/>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(29,552 )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11,978,781</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12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462,342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(443,853 )</w:t>
            </w:r>
          </w:p>
        </w:tc>
        <w:tc>
          <w:tcPr>
            <w:tcW w:w="24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(279,792 ) $</w:t>
            </w:r>
          </w:p>
        </w:tc>
        <w:tc>
          <w:tcPr>
            <w:tcW w:w="9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(2,518 )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9"/>
          </w:tcPr>
          <w:p>
            <w:pPr>
              <w:jc w:val="center"/>
              <w:ind w:left="368"/>
              <w:spacing w:after="0" w:line="156" w:lineRule="exact"/>
              <w:rPr>
                <w:sz w:val="20"/>
                <w:szCs w:val="20"/>
                <w:color w:val="auto"/>
              </w:rPr>
            </w:pPr>
            <w:r>
              <w:rPr>
                <w:rFonts w:ascii="Times New Roman" w:cs="Times New Roman" w:eastAsia="Times New Roman" w:hAnsi="Times New Roman"/>
                <w:sz w:val="14"/>
                <w:szCs w:val="14"/>
                <w:b w:val="1"/>
                <w:bCs w:val="1"/>
                <w:color w:val="auto"/>
              </w:rPr>
              <w:t>For the Six Months Ended June 30, 2023</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4,728,874</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442,303</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(161 ) $</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(357,019 )</w:t>
            </w:r>
          </w:p>
        </w:tc>
        <w:tc>
          <w:tcPr>
            <w:tcW w:w="24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(279,792 ) $</w:t>
            </w:r>
          </w:p>
        </w:tc>
        <w:tc>
          <w:tcPr>
            <w:tcW w:w="9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(2,518 )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82,610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Proceeds from issuance of common stock in connection with</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115,966</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at-the-market offering, net of issuance costs</w:t>
            </w: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10,803</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 stock purchase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7,322</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(8,929 )</w:t>
            </w: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(30,670 )</w:t>
            </w:r>
          </w:p>
        </w:tc>
        <w:tc>
          <w:tcPr>
            <w:tcW w:w="240" w:type="dxa"/>
            <w:vAlign w:val="bottom"/>
          </w:tcPr>
          <w:p>
            <w:pPr>
              <w:spacing w:after="0"/>
              <w:rPr>
                <w:sz w:val="15"/>
                <w:szCs w:val="15"/>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(30,670 )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4,854,036</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444,974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(387,689 )</w:t>
            </w:r>
          </w:p>
        </w:tc>
        <w:tc>
          <w:tcPr>
            <w:tcW w:w="2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(279,792 )</w:t>
            </w:r>
          </w:p>
        </w:tc>
        <w:tc>
          <w:tcPr>
            <w:tcW w:w="140" w:type="dxa"/>
            <w:vAlign w:val="bottom"/>
            <w:shd w:val="clear" w:color="auto" w:fill="CFF0FC"/>
          </w:tcPr>
          <w:p>
            <w:pPr>
              <w:spacing w:after="0"/>
              <w:rPr>
                <w:sz w:val="16"/>
                <w:szCs w:val="16"/>
                <w:color w:val="auto"/>
              </w:rPr>
            </w:pPr>
          </w:p>
        </w:tc>
        <w:tc>
          <w:tcPr>
            <w:tcW w:w="9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(2,518 )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54,774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-3942715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-3942715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-3942715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-3942715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-3942715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-3942715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-3942715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-2922270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-2922270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-2922270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-2922270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-2922270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-2922270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-2922270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-1362075</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-1344930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-1362075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-1344930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-1362075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-1344930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-1362075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-1344930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-1362075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-1344930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-1362075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-1344930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-1362075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-1344930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 Consolidated Statements of Cash Flows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981" w:right="339" w:bottom="1440" w:gutter="0" w:footer="0" w:header="0"/>
        </w:sectPr>
      </w:pPr>
    </w:p>
    <w:p>
      <w:pPr>
        <w:spacing w:after="0" w:line="232"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16510</wp:posOffset>
            </wp:positionV>
            <wp:extent cx="11226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9"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16510</wp:posOffset>
            </wp:positionV>
            <wp:extent cx="10541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 2023</w:t>
      </w:r>
    </w:p>
    <w:p>
      <w:pPr>
        <w:spacing w:after="0" w:line="25" w:lineRule="exact"/>
        <w:rPr>
          <w:sz w:val="20"/>
          <w:szCs w:val="20"/>
          <w:color w:val="auto"/>
        </w:rPr>
      </w:pPr>
    </w:p>
    <w:p>
      <w:pPr>
        <w:sectPr>
          <w:pgSz w:w="11900" w:h="16838" w:orient="portrait"/>
          <w:cols w:equalWidth="0" w:num="2">
            <w:col w:w="9020" w:space="720"/>
            <w:col w:w="150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4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6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(29,552 )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(30,670 )</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(1,147 )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39"/>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loss on fixed assets</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Impairment loss on ROU assets</w:t>
            </w: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66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(3,271 )</w:t>
            </w:r>
          </w:p>
        </w:tc>
        <w:tc>
          <w:tcPr>
            <w:tcW w:w="5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Impairment of prepaid research and development</w:t>
            </w: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(7,934 )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Accretion/amortization of investment securities</w:t>
            </w:r>
          </w:p>
        </w:tc>
        <w:tc>
          <w:tcPr>
            <w:tcW w:w="66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(242 )</w:t>
            </w:r>
          </w:p>
        </w:tc>
        <w:tc>
          <w:tcPr>
            <w:tcW w:w="5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(468 )</w:t>
            </w:r>
          </w:p>
        </w:tc>
      </w:tr>
      <w:tr>
        <w:trPr>
          <w:trHeight w:val="247"/>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Reduction in carrying amount of operating lease right of use asset</w:t>
            </w: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(1,143 )</w:t>
            </w:r>
          </w:p>
        </w:tc>
      </w:tr>
      <w:tr>
        <w:trPr>
          <w:trHeight w:val="239"/>
        </w:trPr>
        <w:tc>
          <w:tcPr>
            <w:tcW w:w="7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(254 )</w:t>
            </w:r>
          </w:p>
        </w:tc>
      </w:tr>
      <w:tr>
        <w:trPr>
          <w:trHeight w:val="247"/>
        </w:trPr>
        <w:tc>
          <w:tcPr>
            <w:tcW w:w="74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(2,034 )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(2,450 )</w:t>
            </w:r>
          </w:p>
        </w:tc>
      </w:tr>
      <w:tr>
        <w:trPr>
          <w:trHeight w:val="239"/>
        </w:trPr>
        <w:tc>
          <w:tcPr>
            <w:tcW w:w="7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(225 )</w:t>
            </w:r>
          </w:p>
        </w:tc>
      </w:tr>
      <w:tr>
        <w:trPr>
          <w:trHeight w:val="247"/>
        </w:trPr>
        <w:tc>
          <w:tcPr>
            <w:tcW w:w="74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(12,417 )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(2,004 )</w:t>
            </w:r>
          </w:p>
        </w:tc>
      </w:tr>
      <w:tr>
        <w:trPr>
          <w:trHeight w:val="239"/>
        </w:trPr>
        <w:tc>
          <w:tcPr>
            <w:tcW w:w="7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7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(30,441 )</w:t>
            </w:r>
          </w:p>
        </w:tc>
        <w:tc>
          <w:tcPr>
            <w:tcW w:w="5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(33,131 )</w:t>
            </w:r>
          </w:p>
        </w:tc>
      </w:tr>
      <w:tr>
        <w:trPr>
          <w:trHeight w:val="237"/>
        </w:trPr>
        <w:tc>
          <w:tcPr>
            <w:tcW w:w="7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(1,477 )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62,399</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3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37"/>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6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25,237</w:t>
            </w:r>
          </w:p>
        </w:tc>
        <w:tc>
          <w:tcPr>
            <w:tcW w:w="3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11"/>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at-the-market offering, net of</w:t>
            </w: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costs</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0"/>
                <w:szCs w:val="20"/>
                <w:color w:val="auto"/>
              </w:rPr>
            </w:pPr>
          </w:p>
        </w:tc>
      </w:tr>
      <w:tr>
        <w:trPr>
          <w:trHeight w:val="250"/>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purchases and exercise of stock options</w:t>
            </w: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pre-funded warrants</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66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(5,041 )</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w:t>
            </w:r>
          </w:p>
        </w:tc>
        <w:tc>
          <w:tcPr>
            <w:tcW w:w="100" w:type="dxa"/>
            <w:vAlign w:val="bottom"/>
          </w:tcPr>
          <w:p>
            <w:pPr>
              <w:spacing w:after="0"/>
              <w:rPr>
                <w:sz w:val="20"/>
                <w:szCs w:val="20"/>
                <w:color w:val="auto"/>
              </w:rPr>
            </w:pPr>
          </w:p>
        </w:tc>
      </w:tr>
      <w:tr>
        <w:trPr>
          <w:trHeight w:val="243"/>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6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3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30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47,358</w:t>
            </w:r>
          </w:p>
        </w:tc>
        <w:tc>
          <w:tcPr>
            <w:tcW w:w="100" w:type="dxa"/>
            <w:vAlign w:val="bottom"/>
          </w:tcPr>
          <w:p>
            <w:pPr>
              <w:spacing w:after="0"/>
              <w:rPr>
                <w:sz w:val="20"/>
                <w:szCs w:val="20"/>
                <w:color w:val="auto"/>
              </w:rPr>
            </w:pPr>
          </w:p>
        </w:tc>
      </w:tr>
      <w:tr>
        <w:trPr>
          <w:trHeight w:val="20"/>
        </w:trPr>
        <w:tc>
          <w:tcPr>
            <w:tcW w:w="7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right-of-use asset and operating lease liabilities due to lease termination</w:t>
            </w: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acquired under operating lease obligation</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3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sales included in other current assets</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4"/>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-3757295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-3757295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-2814320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-2814320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-1734185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-1734185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-1416685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-1416685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85"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Synlogic, Inc., together with its wholly owned and consolidated subsidiaries (Synlogic or the Company), is a clinical-stage biopharmaceutical company applying synthetic biology to the discovery and development of Synthetic Biotics. Synthetic Biotics are generated from Synlogic’s proprietary platform, leveraging a reproducible, modular approach to the generation of novel drug candidates that perform or deliver critical therapeutic functions. Synthetic Biotics are designed to metabolize a toxic substance, compensate for missing or damaged metabolic pathways or deliver combinations of therapeutic factors. Synlogic’s goal is to discover, develop and ultimately commercialize Synthetic Biotics. Since incorporation, the Company has devoted substantially all of its efforts to the research and development of its product candidates.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and its board of directors decided to discontinue the Synpheny-3 trial and to conduct a comprehensive review of strategic alternatives. The Company also announced a corporate restructuring that resulted in a reduction in its workforce by more than 90%, leaving a core team of individuals to lead the strategic review process. (see Note 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Liquidity</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assuming it will continue as a going concern. The going concern assumption contemplates the continuity of operations, and the realization of assets and the satisfaction of liabilities in the ordinary course of business. The Company has historically generated negative cash flows from operations and has an accumulated deficit of $443.9 million at June 30, 2024. At June 30, 2024, the Company had $20.0 million in unrestricted cash and cash equivalents. The Company believes the conditions and events raising substantial doubt about its ability to continue as a going concern no longer exist following the execution of the corporate restructuring (see Note 8). Accordingly, its current cash and cash equivalents as of June 30, 2024 will be sufficient to fund its operations at the current levels for at least the next 12 months from the date of this filing. The Company continues to review strategic alternatives and expects to continue to incur costs and expenditures in connection with the process of evaluating strategic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described in the Company’s audited financial statements as of and for the year ended December 31, 2023, and the notes thereto, which are included in the Company’s Annual Report on Form 10-K for the year ended December 31, 2023, filed with the Securities and Exchange Commission (SEC) on March 19, 2024 (the 2023 Annual Report), have had no material changes during the six months ended June 30,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September 27, 2023, the Company effected a one-for-fifteen reverse stock split of its issued and outstanding common stock, which also adjusted all outstanding warrants. Accordingly, all share and per share amounts for all periods presented in the accompanying consolidated financial statements and notes thereto have been adjusted retroactively, where applicable, to reflect this stock split. All fractional shares resulting from the reverse stock split were paid in cash.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and the related disclosures as of June 30, 2024 and for the three and six months ended June 30, 2024 and 2023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2023 and 2022 audited consolidated financial statements and notes included in the 2023 Annual Report. The consolidated balance sheet as of December 31, 2023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six months ended June 30, 2024 and 2023. The results of operations for the interim periods are not necessarily indicative of the results to be expected for the year ending December 31, 2024 or any other interim period or future year or period.</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35" w:lineRule="exact"/>
        <w:rPr>
          <w:sz w:val="20"/>
          <w:szCs w:val="20"/>
          <w:color w:val="auto"/>
        </w:rPr>
      </w:pPr>
    </w:p>
    <w:p>
      <w:pPr>
        <w:ind w:right="600" w:firstLine="562"/>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35" w:lineRule="exact"/>
        <w:rPr>
          <w:sz w:val="20"/>
          <w:szCs w:val="20"/>
          <w:color w:val="auto"/>
        </w:rPr>
      </w:pPr>
    </w:p>
    <w:p>
      <w:pPr>
        <w:ind w:right="80" w:firstLine="562"/>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accounting standard setting boards that the Company adopts as of the effective date. Unless otherwise discussed below, recently issued pronouncements that are or will be applicable to the Company did not have, or are not expected to have, a material impact on the Company’s present or future financial statements.</w:t>
      </w:r>
    </w:p>
    <w:p>
      <w:pPr>
        <w:spacing w:after="0" w:line="307"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tables below present information about the Company’s assets and liabilities that are measured at fair value on a recurring basis and indicate the fair value hierarchy of the valuation techniques the Company utilized to determine such fair value, as described under Note 2</w:t>
      </w:r>
      <w:r>
        <w:rPr>
          <w:rFonts w:ascii="Times New Roman" w:cs="Times New Roman" w:eastAsia="Times New Roman" w:hAnsi="Times New Roman"/>
          <w:sz w:val="18"/>
          <w:szCs w:val="18"/>
          <w:i w:val="1"/>
          <w:iCs w:val="1"/>
          <w:color w:val="auto"/>
        </w:rPr>
        <w:t>,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in the audited financial statements included in the 2023 Annual Report.</w:t>
      </w:r>
    </w:p>
    <w:p>
      <w:pPr>
        <w:spacing w:after="0" w:line="17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issued warrants either as derivative liabilities or as equity instruments depending on the specific terms of the agreement. Warrants that are equity-classified instruments and recorded in additional paid-in capital at issuance are not subject to remeasurement. The purchase warrants issued in October 2023 are liability classified and recorded at fair value using the Black-Scholes option-pricing model at issuance, with any subsequent changes in fair value recognized in the consolidated statements of operations. We periodically evaluate changes in facts and circumstances that could impact the classification of warrants. None of the purchase warrants have been exercised since their issuance.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9" w:name="page10"/>
    <w:bookmarkEnd w:id="9"/>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the Company has classified assets and liabilities measured at fair value on a recurring basis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400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2"/>
        </w:trPr>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warrant 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0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400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2"/>
        </w:trPr>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 (included in cash and cash</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warrant liability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-3042285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-3042285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-3042285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-3042285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-2382520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-2365375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-2382520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-2365375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-2382520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-2365375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-2382520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-2365375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-521970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-505460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-521970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-505460</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-521970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-505460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-187960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-187960</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Cash equivalents, prepaid expenses and other current assets, accounts payable and accrued expenses at June 30, 2024 and December 31, 2023 are carried at amounts that approximate fair value due to their short-term maturities. Finance lease obligations at June 30, 2024 and December 31, 2023 approximate fair value as they bear interest at a rate approximating a market interest rate.</w:t>
      </w:r>
    </w:p>
    <w:p>
      <w:pPr>
        <w:spacing w:after="0" w:line="243"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estimated fair value of the assets presented within cash and cash equivalents measured at fair value and the gross unrealized holding gains and losses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60" w:type="dxa"/>
            <w:vAlign w:val="bottom"/>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160" w:type="dxa"/>
            <w:vAlign w:val="bottom"/>
            <w:vMerge w:val="restart"/>
            <w:shd w:val="clear" w:color="auto" w:fill="CFF0FC"/>
          </w:tcPr>
          <w:p>
            <w:pPr>
              <w:spacing w:after="0"/>
              <w:rPr>
                <w:sz w:val="17"/>
                <w:szCs w:val="17"/>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280" w:type="dxa"/>
            <w:vAlign w:val="bottom"/>
            <w:vMerge w:val="restart"/>
            <w:shd w:val="clear" w:color="auto" w:fill="CFF0FC"/>
          </w:tcPr>
          <w:p>
            <w:pPr>
              <w:spacing w:after="0"/>
              <w:rPr>
                <w:sz w:val="17"/>
                <w:szCs w:val="17"/>
                <w:color w:val="auto"/>
              </w:rPr>
            </w:pPr>
          </w:p>
        </w:tc>
        <w:tc>
          <w:tcPr>
            <w:tcW w:w="700" w:type="dxa"/>
            <w:vAlign w:val="bottom"/>
            <w:vMerge w:val="restart"/>
            <w:shd w:val="clear" w:color="auto" w:fill="CFF0FC"/>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FF0FC"/>
          </w:tcPr>
          <w:p>
            <w:pPr>
              <w:spacing w:after="0"/>
              <w:rPr>
                <w:sz w:val="17"/>
                <w:szCs w:val="17"/>
                <w:color w:val="auto"/>
              </w:rPr>
            </w:pPr>
          </w:p>
        </w:tc>
        <w:tc>
          <w:tcPr>
            <w:tcW w:w="6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vMerge w:val="restart"/>
            <w:shd w:val="clear" w:color="auto" w:fill="CFF0FC"/>
          </w:tcPr>
          <w:p>
            <w:pPr>
              <w:spacing w:after="0"/>
              <w:rPr>
                <w:sz w:val="17"/>
                <w:szCs w:val="17"/>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vMerge w:val="continue"/>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vMerge w:val="continue"/>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vMerge w:val="continue"/>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280" w:type="dxa"/>
            <w:vAlign w:val="bottom"/>
          </w:tcPr>
          <w:p>
            <w:pPr>
              <w:spacing w:after="0"/>
              <w:rPr>
                <w:sz w:val="20"/>
                <w:szCs w:val="20"/>
                <w:color w:val="auto"/>
              </w:rPr>
            </w:pPr>
          </w:p>
        </w:tc>
        <w:tc>
          <w:tcPr>
            <w:tcW w:w="7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5"/>
        </w:trPr>
        <w:tc>
          <w:tcPr>
            <w:tcW w:w="4280" w:type="dxa"/>
            <w:vAlign w:val="bottom"/>
            <w:tcBorders>
              <w:top w:val="single" w:sz="8" w:color="auto"/>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980" w:type="dxa"/>
            <w:vAlign w:val="bottom"/>
            <w:gridSpan w:val="2"/>
            <w:shd w:val="clear" w:color="auto" w:fill="CFF0FC"/>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 (included in cash and cash equivalents)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2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2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-1096645</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-1096645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-1096645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-25400</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Used in Determining Fair Value of Warrants</w:t>
      </w:r>
    </w:p>
    <w:p>
      <w:pPr>
        <w:spacing w:after="0" w:line="11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assumptions used in the Black-Scholes option-pricing model for the purchase warrants on the consolidated balance sheets at June 30, 2024 and December 31, 2023 are included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20" w:type="dxa"/>
            <w:vAlign w:val="bottom"/>
            <w:tcBorders>
              <w:top w:val="single" w:sz="8" w:color="auto"/>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gridSpan w:val="2"/>
          </w:tcPr>
          <w:p>
            <w:pPr>
              <w:spacing w:after="0"/>
              <w:rPr>
                <w:sz w:val="16"/>
                <w:szCs w:val="16"/>
                <w:color w:val="auto"/>
              </w:rPr>
            </w:pPr>
          </w:p>
        </w:tc>
      </w:tr>
      <w:tr>
        <w:trPr>
          <w:trHeight w:val="23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8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4.25 years</w:t>
            </w:r>
          </w:p>
        </w:tc>
        <w:tc>
          <w:tcPr>
            <w:tcW w:w="30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4.75 years</w:t>
            </w:r>
          </w:p>
        </w:tc>
        <w:tc>
          <w:tcPr>
            <w:tcW w:w="60" w:type="dxa"/>
            <w:vAlign w:val="bottom"/>
          </w:tcPr>
          <w:p>
            <w:pPr>
              <w:spacing w:after="0"/>
              <w:rPr>
                <w:sz w:val="20"/>
                <w:szCs w:val="20"/>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risk free interest rate</w:t>
            </w:r>
          </w:p>
        </w:tc>
        <w:tc>
          <w:tcPr>
            <w:tcW w:w="180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4.4 %</w:t>
            </w:r>
          </w:p>
        </w:tc>
        <w:tc>
          <w:tcPr>
            <w:tcW w:w="30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93.0 %</w:t>
            </w:r>
          </w:p>
        </w:tc>
        <w:tc>
          <w:tcPr>
            <w:tcW w:w="30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94.0 %</w:t>
            </w:r>
          </w:p>
        </w:tc>
      </w:tr>
      <w:tr>
        <w:trPr>
          <w:trHeight w:val="25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1800" w:type="dxa"/>
            <w:vAlign w:val="bottom"/>
            <w:shd w:val="clear" w:color="auto" w:fill="CFF0FC"/>
          </w:tcPr>
          <w:p>
            <w:pPr>
              <w:jc w:val="right"/>
              <w:ind w:right="16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800" w:type="dxa"/>
            <w:vAlign w:val="bottom"/>
          </w:tcPr>
          <w:p>
            <w:pPr>
              <w:jc w:val="right"/>
              <w:ind w:right="16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5535930</wp:posOffset>
            </wp:positionH>
            <wp:positionV relativeFrom="page">
              <wp:posOffset>624840</wp:posOffset>
            </wp:positionV>
            <wp:extent cx="9398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page">
              <wp:posOffset>7259320</wp:posOffset>
            </wp:positionH>
            <wp:positionV relativeFrom="page">
              <wp:posOffset>624840</wp:posOffset>
            </wp:positionV>
            <wp:extent cx="9398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Securities</w:t>
      </w:r>
    </w:p>
    <w:p>
      <w:pPr>
        <w:spacing w:after="0" w:line="13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available-for-sale securities held at June 30, 2024 and December 31, 2023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8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460" w:type="dxa"/>
            <w:vAlign w:val="bottom"/>
            <w:gridSpan w:val="2"/>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There were no available-for-sale securities held at June 30, 2024. There were two investments in an unrealized loss position at December 31, 2023, none of which had been in an unrealized loss position for more than twelve months. The aggregate fair value of the securities in an unrealized loss position at December 31, 2023 was $5.4 million.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June 30, 2024.</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realized gains and losses on the sales of investments have not been material to the Company’s consolidated statement of operations.</w:t>
      </w:r>
    </w:p>
    <w:p>
      <w:pPr>
        <w:spacing w:after="0" w:line="32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 for Sale</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February 2024, the Company committed to a plan to sell its remaining lab equipment and therefore has classified the amount as assets held for sale on the consolidated balance sheet as of June 30, 2024. The assets held for sale were reported at the lower of the carrying amount or fair value, less costs to sell. During the second quarter of 2024, the Company engaged a third party to assist with an ongoing auction of its assets held for sale. Accordingly, during the six months ended June 30, 2024, the Company recorded a gain on disposal of $1.1 million, offset by an impairment charge of $0.8 million related to the lab equipment classified as assets held for sale, which was included in restructuring and other charges.</w:t>
      </w:r>
    </w:p>
    <w:p>
      <w:pPr>
        <w:spacing w:after="0" w:line="200" w:lineRule="exact"/>
        <w:rPr>
          <w:sz w:val="20"/>
          <w:szCs w:val="20"/>
          <w:color w:val="auto"/>
        </w:rPr>
      </w:pPr>
    </w:p>
    <w:p>
      <w:pPr>
        <w:spacing w:after="0" w:line="290"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Pr>
          <w:p>
            <w:pPr>
              <w:spacing w:after="0"/>
              <w:rPr>
                <w:sz w:val="15"/>
                <w:szCs w:val="15"/>
                <w:color w:val="auto"/>
              </w:rPr>
            </w:pPr>
          </w:p>
        </w:tc>
      </w:tr>
      <w:tr>
        <w:trPr>
          <w:trHeight w:val="187"/>
        </w:trPr>
        <w:tc>
          <w:tcPr>
            <w:tcW w:w="13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6"/>
        </w:trPr>
        <w:tc>
          <w:tcPr>
            <w:tcW w:w="1360" w:type="dxa"/>
            <w:vAlign w:val="bottom"/>
          </w:tcPr>
          <w:p>
            <w:pPr>
              <w:spacing w:after="0"/>
              <w:rPr>
                <w:sz w:val="20"/>
                <w:szCs w:val="20"/>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30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FF0FC"/>
          </w:tcPr>
          <w:p>
            <w:pPr>
              <w:spacing w:after="0"/>
              <w:rPr>
                <w:sz w:val="20"/>
                <w:szCs w:val="20"/>
                <w:color w:val="auto"/>
              </w:rPr>
            </w:pPr>
          </w:p>
        </w:tc>
        <w:tc>
          <w:tcPr>
            <w:tcW w:w="1360" w:type="dxa"/>
            <w:vAlign w:val="bottom"/>
          </w:tcPr>
          <w:p>
            <w:pPr>
              <w:spacing w:after="0"/>
              <w:rPr>
                <w:sz w:val="20"/>
                <w:szCs w:val="20"/>
                <w:color w:val="auto"/>
              </w:rPr>
            </w:pPr>
          </w:p>
        </w:tc>
      </w:tr>
      <w:tr>
        <w:trPr>
          <w:trHeight w:val="239"/>
        </w:trPr>
        <w:tc>
          <w:tcPr>
            <w:tcW w:w="13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7"/>
        </w:trPr>
        <w:tc>
          <w:tcPr>
            <w:tcW w:w="1360" w:type="dxa"/>
            <w:vAlign w:val="bottom"/>
          </w:tcPr>
          <w:p>
            <w:pPr>
              <w:spacing w:after="0"/>
              <w:rPr>
                <w:sz w:val="21"/>
                <w:szCs w:val="21"/>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1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FF0FC"/>
          </w:tcPr>
          <w:p>
            <w:pPr>
              <w:spacing w:after="0"/>
              <w:rPr>
                <w:sz w:val="21"/>
                <w:szCs w:val="21"/>
                <w:color w:val="auto"/>
              </w:rPr>
            </w:pPr>
          </w:p>
        </w:tc>
        <w:tc>
          <w:tcPr>
            <w:tcW w:w="1360" w:type="dxa"/>
            <w:vAlign w:val="bottom"/>
          </w:tcPr>
          <w:p>
            <w:pPr>
              <w:spacing w:after="0"/>
              <w:rPr>
                <w:sz w:val="21"/>
                <w:szCs w:val="21"/>
                <w:color w:val="auto"/>
              </w:rPr>
            </w:pPr>
          </w:p>
        </w:tc>
      </w:tr>
      <w:tr>
        <w:trPr>
          <w:trHeight w:val="239"/>
        </w:trPr>
        <w:tc>
          <w:tcPr>
            <w:tcW w:w="13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1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6"/>
        </w:trPr>
        <w:tc>
          <w:tcPr>
            <w:tcW w:w="1360" w:type="dxa"/>
            <w:vAlign w:val="bottom"/>
          </w:tcPr>
          <w:p>
            <w:pPr>
              <w:spacing w:after="0"/>
              <w:rPr>
                <w:sz w:val="24"/>
                <w:szCs w:val="24"/>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30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shd w:val="clear" w:color="auto" w:fill="CFF0FC"/>
          </w:tcPr>
          <w:p>
            <w:pPr>
              <w:spacing w:after="0"/>
              <w:rPr>
                <w:sz w:val="24"/>
                <w:szCs w:val="24"/>
                <w:color w:val="auto"/>
              </w:rPr>
            </w:pPr>
          </w:p>
        </w:tc>
        <w:tc>
          <w:tcPr>
            <w:tcW w:w="1360" w:type="dxa"/>
            <w:vAlign w:val="bottom"/>
          </w:tcPr>
          <w:p>
            <w:pPr>
              <w:spacing w:after="0"/>
              <w:rPr>
                <w:sz w:val="24"/>
                <w:szCs w:val="24"/>
                <w:color w:val="auto"/>
              </w:rPr>
            </w:pPr>
          </w:p>
        </w:tc>
      </w:tr>
      <w:tr>
        <w:trPr>
          <w:trHeight w:val="633"/>
        </w:trPr>
        <w:tc>
          <w:tcPr>
            <w:tcW w:w="1360" w:type="dxa"/>
            <w:vAlign w:val="bottom"/>
          </w:tcPr>
          <w:p>
            <w:pPr>
              <w:spacing w:after="0"/>
              <w:rPr>
                <w:sz w:val="24"/>
                <w:szCs w:val="24"/>
                <w:color w:val="auto"/>
              </w:rPr>
            </w:pPr>
          </w:p>
        </w:tc>
        <w:tc>
          <w:tcPr>
            <w:tcW w:w="38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ind w:right="550"/>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360" w:type="dxa"/>
            <w:vAlign w:val="bottom"/>
          </w:tcPr>
          <w:p>
            <w:pPr>
              <w:spacing w:after="0"/>
              <w:rPr>
                <w:sz w:val="24"/>
                <w:szCs w:val="24"/>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-933450</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-916940</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-933450</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-916940</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984" w:right="279" w:bottom="1440" w:gutter="0" w:footer="0" w:header="0"/>
        </w:sectPr>
      </w:pPr>
    </w:p>
    <w:bookmarkStart w:id="11" w:name="page12"/>
    <w:bookmarkEnd w:id="11"/>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431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Charges</w:t>
      </w:r>
    </w:p>
    <w:p>
      <w:pPr>
        <w:spacing w:after="0" w:line="121"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and its board of directors decided to discontinue the Synpheny-3 trial and as a result are currently evaluating strategic options for the Company with a goal to enhance stockholder value, including the possibility of a merger or sale of the Company. Due to this decision there has been an interim evaluation of impairment of long-lived and other assets which is described in detail below.</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also announced a corporate restructuring that included a reduction in its workforce by more than 90%. In connection with the corporate restructuring, the Company recorded restructuring charges for severance and related costs of $0.3 million and $5.9 million during the three and six months ended June 30, 2024, respectively. The Company also executed consulting agreements with a select number of former employees in which their equity continues to vest under the terms of the original award. The consulting services were determined to be non-substantive and as a result, the Company has accelerated the related stock compensation expense and recorded an additional $0.3 million and $2.1 million to stock compensation included in restructuring charges for the three and six months ended June 30, 2024, respectively.</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restructuring and other charges also include impairment of the right-of-use assets associated with the Company's existing leased spaces of $0.0 million and $9.6 million, respectively. Impairment losses of $0.0 million and $5.0 million, related to property and equipment primarily related to leasehold improvements in connection with the lease impairment were recorded for the three and six months ended June 30, 2024, respectively. These charges have been offset by gains on equipment sales of $1.0 million and $1.1 million for the three and six months ended June 30, 2024, respectively.</w:t>
      </w:r>
    </w:p>
    <w:p>
      <w:pPr>
        <w:spacing w:after="0" w:line="75"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corporate restructuring, on June 26, 2024 (the “Termination Date”), the Company entered into a Lease Termination Agreement (the “Termination Agreement”) for its corporate headquarters in Cambridge, Massachusetts, with the landlord which, effective immediately, terminated the lease. In exchange for the early termination of the lease pursuant to the Termination Agreement, the Company made a total termination payment of $10.6 million, of which $1.0 million was from a letter of credit associated with the lease and classified in the consolidated balance sheets as noncurrent restricted cash at December 31, 2023. During the three and six months ended June 30, 2024, the Company also recorded a gain on lease termination of $3.2 million, associated with its former headquarters.</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Other charges relating to the restructuring include a $0.0 million and $5.2 million charge to impairment for prepaid research and development in relation to the Ginkgo collaboration (see Note 11) for the three and six months ended June 30, 2024, respectively. Additionally, there was a gain of $0.2 million recorded during the three months ended June 30, 2024 and charges of $1.0 million recorded during the six months ended June 30, 2024 related to the restructuring including legal fees, banking fees and lab decommissioning fees.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June 30, 2024, approximately $1.5 million of the total restructuring charges remain unpaid and were included in accrued restructuring charges.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charges primarily consist of personnel costs related to severance expense and retention bonuses, in addition to professional services costs.</w:t>
      </w:r>
    </w:p>
    <w:p>
      <w:pPr>
        <w:spacing w:after="0" w:line="200" w:lineRule="exact"/>
        <w:rPr>
          <w:sz w:val="20"/>
          <w:szCs w:val="20"/>
          <w:color w:val="auto"/>
        </w:rPr>
      </w:pPr>
    </w:p>
    <w:p>
      <w:pPr>
        <w:spacing w:after="0" w:line="24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Plan</w:t>
      </w:r>
    </w:p>
    <w:p>
      <w:pPr>
        <w:spacing w:after="0" w:line="119"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On February 20, 2024, the Board of Directors of the Company declared a dividend of one preferred share purchase right (a “Right”), payable on March 1, 2024, for each share of common stock of the Company outstanding on March 1, 2024 to the stockholders of record on that date and for certain warrants to purchase Common Stock outstanding on March 1, 2024. In connection with the distribution of the Rights, the Company entered into a Rights Agreement, dated as of February 20, 2024, between the Company and Equiniti Trust Company LLC, as rights agent (the "Rights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2" w:name="page13"/>
    <w:bookmarkEnd w:id="12"/>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Each Right entitles the registered holder to purchase from the Company one one-thousandth of a share of Series A Junior Participating Preferred Stock, par value $0.001 per share, of the Company (the “Series A Preferred Stock”) at a price of $12.00 per one one-thousandth of a share of Series A Preferred Stock represented by a Right (the “Purchase Price”), subject to adjustment.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Rights were determined to have no value upon issuance and no rights were exercisable as of June 30,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On September 27, 2023, the Company effected a reverse stock split of its common stock, pursuant to which every fifteen (15) shares of the issued and outstanding common stock was automatically converted into one (1) issued and outstanding share of common stock without any change in the par value of $0.001 per share. The reverse stock split was approved by the stockholders on September 21, 2023 at a special meeting of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2023 Financing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3, 2023, the Company issued and sold, through an underwritten public offering:</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3,921,928 shares of its common stock at a price of $2.84 per share less underwriting discounts and commissions;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3,472,435 shares of its common stock at a price of $2.839 immediately following the consummation of the offering,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accompanying common stock warrants to purchase up to 7,394,363 shares of its common stock at a price of $3.408 per share exercisable immediately after issuance and expires five years from the date of issuance.</w:t>
      </w:r>
    </w:p>
    <w:p>
      <w:pPr>
        <w:spacing w:after="0" w:line="54"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Each share of its common stock and each pre-funded warrant was sold together with a common warrant to purchase one share of its common stock. A holder of pre-funded warrants may not exercise the warrant if the holder, together with its affiliates, would beneficially own more than 4.99% (or, upon election by a holder prior to the issuance of any warrants, 9.99%) of the number of shares of common stock outstanding immediately after giving effect to such exercise. The net proceeds to the Company from the sale of common stock and pre-funded warrants through the offering, after deducting the underwriting discounts and commissions and offering expenses payable by the Company, were approximately $19.6 million.</w:t>
      </w:r>
    </w:p>
    <w:p>
      <w:pPr>
        <w:spacing w:after="0" w:line="7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common stock and pre-funded warrants met the criteria for equity classification. The purchase warrants met the definition of a derivative instrument. Accordingly, upon issuance, the purchase warrants were recorded as a liability at fair value using the Black-Scholes option-pricing model in the amount of $7.1 million. Any subsequent changes in fair value of the purchase warrants is recognized in the consolidated statements of operations. The residual proceeds were allocated between the common stock and pre-funded warrants based on their relative fair values at the time of issuance. The amount allocated to the pre-funded warrants was recorded as a component of stockholders’ equity within additional paid-in capital.</w:t>
      </w:r>
    </w:p>
    <w:p>
      <w:pPr>
        <w:spacing w:after="0" w:line="7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At June 30, 2024, the fair value of the purchase warrants was $3.2 million. Accordingly, a gain on remeasurement of the purchase warrant liability of $1.2 million and $7.9 million was recorded in the three and six months ended June 30, 2024, respectively. Subsequent to their issuance and as of June 30, 2024, 2,920,126 pre-funded warrants have been exercised. None of the purchase warrants have been exercised since their issuance.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(ATM) Offering Program</w:t>
      </w:r>
    </w:p>
    <w:p>
      <w:pPr>
        <w:spacing w:after="0" w:line="11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July 2021, the Company entered into a sales agreement with Jefferies, LLC (Jefferies) with respect to an ATM, under which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six months ended June 30, 2024, 7,839 shares of common stock were sold pursuant to the sales agreement with Jefferies, resulting in net proceeds of approximately $0.01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Ginkgo Warrants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June 2019, the Company issued to Ginkgo Bioworks, Inc. (Ginkgo) an aggregate of 422,718 shares of common stock at a purchase price per share of $135, and pre-funded warrants (the Ginkgo pre-funded warrants) to purchase up to an aggregate of 169,874 shares of common stock at an exercise price of $135 per share, with $134.85 of such exercise price paid at the closing of the offering. The net proceeds to the Company were approximately $79.9 million. None of the Ginkgo pre-funded warrants have been exercised as of June 30, 2024. (See Note 11,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Ginkgo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Company has reserved for future issuance the following shares of common stock related to the potential exercise of Ginkgo pre-funded warrants, exercise of stock options, and the employee stock purchase plan:</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290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7"/>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issuable under pre-funded warrants</w:t>
            </w:r>
          </w:p>
        </w:tc>
        <w:tc>
          <w:tcPr>
            <w:tcW w:w="2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552,309</w:t>
            </w:r>
          </w:p>
        </w:tc>
        <w:tc>
          <w:tcPr>
            <w:tcW w:w="80" w:type="dxa"/>
            <w:vAlign w:val="bottom"/>
            <w:shd w:val="clear" w:color="auto" w:fill="CFF0FC"/>
          </w:tcPr>
          <w:p>
            <w:pPr>
              <w:spacing w:after="0"/>
              <w:rPr>
                <w:sz w:val="20"/>
                <w:szCs w:val="20"/>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issuable under purchase warrants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3,921,928</w:t>
            </w:r>
          </w:p>
        </w:tc>
        <w:tc>
          <w:tcPr>
            <w:tcW w:w="80" w:type="dxa"/>
            <w:vAlign w:val="bottom"/>
          </w:tcPr>
          <w:p>
            <w:pPr>
              <w:spacing w:after="0"/>
              <w:rPr>
                <w:sz w:val="20"/>
                <w:szCs w:val="20"/>
                <w:color w:val="auto"/>
              </w:rPr>
            </w:pPr>
          </w:p>
        </w:tc>
      </w:tr>
      <w:tr>
        <w:trPr>
          <w:trHeight w:val="247"/>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issuable under Ginkgo pre-funded warrants</w:t>
            </w: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169,874</w:t>
            </w:r>
          </w:p>
        </w:tc>
        <w:tc>
          <w:tcPr>
            <w:tcW w:w="80" w:type="dxa"/>
            <w:vAlign w:val="bottom"/>
            <w:shd w:val="clear" w:color="auto" w:fill="CFF0FC"/>
          </w:tcPr>
          <w:p>
            <w:pPr>
              <w:spacing w:after="0"/>
              <w:rPr>
                <w:sz w:val="21"/>
                <w:szCs w:val="2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to purchase common stock</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277,750</w:t>
            </w:r>
          </w:p>
        </w:tc>
        <w:tc>
          <w:tcPr>
            <w:tcW w:w="80" w:type="dxa"/>
            <w:vAlign w:val="bottom"/>
          </w:tcPr>
          <w:p>
            <w:pPr>
              <w:spacing w:after="0"/>
              <w:rPr>
                <w:sz w:val="20"/>
                <w:szCs w:val="20"/>
                <w:color w:val="auto"/>
              </w:rPr>
            </w:pPr>
          </w:p>
        </w:tc>
      </w:tr>
      <w:tr>
        <w:trPr>
          <w:trHeight w:val="24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4,921,861</w:t>
            </w:r>
          </w:p>
        </w:tc>
        <w:tc>
          <w:tcPr>
            <w:tcW w:w="80" w:type="dxa"/>
            <w:vAlign w:val="bottom"/>
            <w:tcBorders>
              <w:top w:val="single" w:sz="8" w:color="CFF0FC"/>
            </w:tcBorders>
          </w:tcPr>
          <w:p>
            <w:pPr>
              <w:spacing w:after="0"/>
              <w:rPr>
                <w:sz w:val="20"/>
                <w:szCs w:val="20"/>
                <w:color w:val="auto"/>
              </w:rPr>
            </w:pPr>
          </w:p>
        </w:tc>
      </w:tr>
      <w:tr>
        <w:trPr>
          <w:trHeight w:val="20"/>
        </w:trPr>
        <w:tc>
          <w:tcPr>
            <w:tcW w:w="608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January 1, 2024, the number of shares of common stock available for issuance under the 2015 Equity Incentive Award Plan (the 2015 Plan) and the 2015 Employee Stock Purchase Plan (ESPP) was increased by 459,392 shares and 91,878 shares, respectively, due to the annual evergreen provision to increase shares available under the 2015 Plan and the ESPP. As of June 30, 2024, there were an aggregate of 704,055 shares available for future grant under the 2017 Stock Incentive Plan (the 2017 Plan) and the 2015 Plan, and 187,012 shares available for future grant under the ESPP.</w:t>
      </w:r>
    </w:p>
    <w:p>
      <w:pPr>
        <w:spacing w:after="0" w:line="139" w:lineRule="exact"/>
        <w:rPr>
          <w:sz w:val="20"/>
          <w:szCs w:val="20"/>
          <w:color w:val="auto"/>
        </w:rPr>
      </w:pPr>
    </w:p>
    <w:p>
      <w:pPr>
        <w:ind w:right="1060" w:firstLine="509"/>
        <w:spacing w:after="0" w:line="245"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within the Company’s consolidated statements of operations and comprehensive loss for the three and six months ended June 30, 2024 and 2023 (in thousands):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276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3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 expense</w:t>
            </w:r>
          </w:p>
        </w:tc>
        <w:tc>
          <w:tcPr>
            <w:tcW w:w="1020" w:type="dxa"/>
            <w:vAlign w:val="bottom"/>
            <w:shd w:val="clear" w:color="auto" w:fill="CFF0FC"/>
          </w:tcPr>
          <w:p>
            <w:pPr>
              <w:spacing w:after="0"/>
              <w:rPr>
                <w:sz w:val="18"/>
                <w:szCs w:val="18"/>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acceleration</w:t>
            </w:r>
          </w:p>
        </w:tc>
        <w:tc>
          <w:tcPr>
            <w:tcW w:w="10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vMerge w:val="continue"/>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180" w:type="dxa"/>
            <w:vAlign w:val="bottom"/>
          </w:tcPr>
          <w:p>
            <w:pPr>
              <w:spacing w:after="0"/>
              <w:rPr>
                <w:sz w:val="20"/>
                <w:szCs w:val="20"/>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3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-187960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180" w:firstLine="509"/>
        <w:spacing w:after="0" w:line="245"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by type of award for the three and six months ended June 30, 2024 and 2023 (in thousands):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32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0" w:type="dxa"/>
            <w:vAlign w:val="bottom"/>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FF0FC"/>
          </w:tcPr>
          <w:p>
            <w:pPr>
              <w:spacing w:after="0"/>
              <w:rPr>
                <w:sz w:val="20"/>
                <w:szCs w:val="20"/>
                <w:color w:val="auto"/>
              </w:rPr>
            </w:pPr>
          </w:p>
        </w:tc>
      </w:t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0"/>
                <w:szCs w:val="20"/>
                <w:color w:val="auto"/>
              </w:rPr>
            </w:pPr>
          </w:p>
        </w:tc>
      </w:tr>
      <w:tr>
        <w:trPr>
          <w:trHeight w:val="243"/>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(22 )</w:t>
            </w:r>
          </w:p>
        </w:tc>
        <w:tc>
          <w:tcPr>
            <w:tcW w:w="9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r>
      <w:tr>
        <w:trPr>
          <w:trHeight w:val="237"/>
        </w:trPr>
        <w:tc>
          <w:tcPr>
            <w:tcW w:w="3200" w:type="dxa"/>
            <w:vAlign w:val="bottom"/>
            <w:tcBorders>
              <w:top w:val="single" w:sz="8" w:color="CFF0FC"/>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80" w:type="dxa"/>
            <w:vAlign w:val="bottom"/>
            <w:tcBorders>
              <w:top w:val="single" w:sz="8" w:color="CFF0FC"/>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46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6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top w:val="single" w:sz="8" w:color="CFF0FC"/>
            </w:tcBorders>
          </w:tcPr>
          <w:p>
            <w:pPr>
              <w:spacing w:after="0"/>
              <w:rPr>
                <w:sz w:val="20"/>
                <w:szCs w:val="20"/>
                <w:color w:val="auto"/>
              </w:rPr>
            </w:pPr>
          </w:p>
        </w:tc>
      </w:tr>
      <w:tr>
        <w:trPr>
          <w:trHeight w:val="20"/>
        </w:trPr>
        <w:tc>
          <w:tcPr>
            <w:tcW w:w="3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-187960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44,701 stock options with a weighted average exercise price of $4.20 per share. As of June 30, 2024, there was $0.3 million of unrecognized share-based compensation related to unvested stock option grants which is expected to be recognized over a weighted average period of 1.75 years. The total unrecognized share-based compensation cost will be adjusted for actual forfeitures as they occur.</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362,700 restricted stock awards with a weighted average grant date fair value per share of $4.44. As of June 30, 2024, there was approximately $0.2 million of unrecognized share-based compensation related to restricted stock awards granted, which is expected to be recognized over a weighted average period of 1.6 years. The total unrecognized share-based compensation cost will be adjusted for actual forfeitures as they occur.</w:t>
      </w:r>
    </w:p>
    <w:p>
      <w:pPr>
        <w:spacing w:after="0" w:line="178"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full description of the Company’s equity plans, refer to Note 9, </w:t>
      </w:r>
      <w:r>
        <w:rPr>
          <w:rFonts w:ascii="Times New Roman" w:cs="Times New Roman" w:eastAsia="Times New Roman" w:hAnsi="Times New Roman"/>
          <w:sz w:val="18"/>
          <w:szCs w:val="18"/>
          <w:i w:val="1"/>
          <w:iCs w:val="1"/>
          <w:color w:val="auto"/>
        </w:rPr>
        <w:t>Equity-based Compensation and Equity Incentive Plans</w:t>
      </w:r>
      <w:r>
        <w:rPr>
          <w:rFonts w:ascii="Times New Roman" w:cs="Times New Roman" w:eastAsia="Times New Roman" w:hAnsi="Times New Roman"/>
          <w:sz w:val="18"/>
          <w:szCs w:val="18"/>
          <w:color w:val="auto"/>
        </w:rPr>
        <w:t xml:space="preserve"> in the 2023 Annual Report.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 w:name="page15"/>
    <w:bookmarkEnd w:id="14"/>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Collaboration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June 2021, the Company entered into a Pilot Collaboration and Option Agreement with F. Hoffmann-La Roche Ltd (Roche Basel) and Hoffmann-La Roche Inc. ("Roche US", and together with Roche Basel, "Roche") (the “Roche Collaboration and Option Agreement”). Under the terms of the Roche Collaboration and Option Agreement, the Company and Roche will seek to collaborate to research and pre-clinically develop Synthetic Biotics for addressing an undisclosed novel target for the treatment of inflammatory bowel disease.</w:t>
      </w:r>
    </w:p>
    <w:p>
      <w:pPr>
        <w:spacing w:after="0" w:line="180" w:lineRule="exact"/>
        <w:rPr>
          <w:sz w:val="20"/>
          <w:szCs w:val="20"/>
          <w:color w:val="auto"/>
        </w:rPr>
      </w:pPr>
    </w:p>
    <w:p>
      <w:pPr>
        <w:ind w:right="580"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recognized $0.01 million and $0.2 million, respectively, as collaboration revenue associated with the Roche Collaboration and Option Agreement. The Roche Collaboration and Option Agreement concluded after the last milestone was achieved by the Company in October 2023. Subsequently, Roche did not exercise its exclusive option to enter into a licensing and collaboration agreement for further development and commercialization of the product candidate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For a full description of the Roche Collaboration and Option Agreement, refer to Note 10,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in the 2023 Annual Report.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Ginkgo Collaboration</w:t>
      </w:r>
    </w:p>
    <w:p>
      <w:pPr>
        <w:spacing w:after="0" w:line="13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2017, the Company established a technology collaboration with Ginkgo. In June 2019, the Company expanded its collaboration and entered into an agreement with Ginkgo for the research and development of engineered microbial therapeutic products (See Note 9). Under the 2019 expanded agreement, the Company made a prepayment to Ginkgo of $30.0 million for its foundry services that was to be provided to the Company over an initial term of five years, which could be extended for an additional three (3) years, subject to the satisfaction of specified conditions. Upon the expiration of such initial term and, if applicable, an additional term, any portion of the prepayment that has not been used to purchase services from Ginkgo will be retained by Ginkgo. In February 2024, the Company and its board of directors decided to discontinue the Synpheny-3 trial and significantly reduce its workforce and have made the decision to evaluate strategic options for the Company. As a result of this decision, the Company would no longer be purchasing services from Ginkgo. During the six months ended June 30, 2024, the remaining $5.2 million of prepaid expenses related to this collaboration that were historically recorded in prepaid expenses and other current assets and prepaid research and development, net of current portion on the consolidated balance sheet, were recorded as restructuring and other charges on the consolidated statements of operations and comprehensive loss.</w:t>
      </w:r>
    </w:p>
    <w:p>
      <w:pPr>
        <w:spacing w:after="0" w:line="29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right="4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Basic net income (loss) per share is computed by dividing net income (loss) by the weighted-average number of shares of common stock outstanding during the period. In computing diluted net income (loss) per share, the sum of the weighted-average number of shares of common stock outstanding during the period is used and only when their effect is dilutive, the weighted-average number of potential shares of common stock, are included. In June 2019, the Company sold 422,718 shares of common stock and pre-funded warrants to purchase an aggregate of 169,874 shares of common stock at an exercise price of $135 per share, with $134.85 of such exercise price paid at the closing of the offering (see Note 8,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and Note 10</w:t>
      </w:r>
      <w:r>
        <w:rPr>
          <w:rFonts w:ascii="Times New Roman" w:cs="Times New Roman" w:eastAsia="Times New Roman" w:hAnsi="Times New Roman"/>
          <w:sz w:val="18"/>
          <w:szCs w:val="18"/>
          <w:i w:val="1"/>
          <w:iCs w:val="1"/>
          <w:color w:val="auto"/>
        </w:rPr>
        <w:t xml:space="preserve">, Collaborations: Ginkgo Collaboration, </w:t>
      </w:r>
      <w:r>
        <w:rPr>
          <w:rFonts w:ascii="Times New Roman" w:cs="Times New Roman" w:eastAsia="Times New Roman" w:hAnsi="Times New Roman"/>
          <w:sz w:val="18"/>
          <w:szCs w:val="18"/>
          <w:color w:val="auto"/>
        </w:rPr>
        <w:t>in the audited financial statements included in the 2023 Annual Report).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into which the warrants may be exercised are considered outstanding for the purposes of computing net loss per share.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EPS for the three and six months ended June 30, 2024 and 2023 were calculated as follows (in million,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5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5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(15,048 )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(29,552 )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(30,670 )</w:t>
            </w:r>
          </w:p>
        </w:tc>
      </w:tr>
      <w:tr>
        <w:trPr>
          <w:trHeight w:val="24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12,203,956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4,681,287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12,168,081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4,643,422</w:t>
            </w:r>
          </w:p>
        </w:tc>
        <w:tc>
          <w:tcPr>
            <w:tcW w:w="100" w:type="dxa"/>
            <w:vAlign w:val="bottom"/>
          </w:tcPr>
          <w:p>
            <w:pPr>
              <w:spacing w:after="0"/>
              <w:rPr>
                <w:sz w:val="20"/>
                <w:szCs w:val="20"/>
                <w:color w:val="auto"/>
              </w:rPr>
            </w:pPr>
          </w:p>
        </w:tc>
      </w:tr>
      <w:tr>
        <w:trPr>
          <w:trHeight w:val="24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195,112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5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12,399,068</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4,681,287</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12,168,081</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4,643,422</w:t>
            </w:r>
          </w:p>
        </w:tc>
        <w:tc>
          <w:tcPr>
            <w:tcW w:w="100" w:type="dxa"/>
            <w:vAlign w:val="bottom"/>
            <w:tcBorders>
              <w:top w:val="single" w:sz="8" w:color="CFF0FC"/>
            </w:tcBorders>
          </w:tcPr>
          <w:p>
            <w:pPr>
              <w:spacing w:after="0"/>
              <w:rPr>
                <w:sz w:val="20"/>
                <w:szCs w:val="20"/>
                <w:color w:val="auto"/>
              </w:rPr>
            </w:pPr>
          </w:p>
        </w:tc>
      </w:tr>
      <w:tr>
        <w:trPr>
          <w:trHeight w:val="247"/>
        </w:trPr>
        <w:tc>
          <w:tcPr>
            <w:tcW w:w="5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EPS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(6.61 )</w:t>
            </w:r>
          </w:p>
        </w:tc>
      </w:tr>
      <w:tr>
        <w:trPr>
          <w:trHeight w:val="215"/>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potential common shares excluded from the EPS</w:t>
            </w: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computation above</w:t>
            </w: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4,334,357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735,169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4,531,613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735,169</w:t>
            </w:r>
          </w:p>
        </w:tc>
        <w:tc>
          <w:tcPr>
            <w:tcW w:w="100" w:type="dxa"/>
            <w:vAlign w:val="bottom"/>
            <w:shd w:val="clear" w:color="auto" w:fill="CFF0FC"/>
          </w:tcPr>
          <w:p>
            <w:pPr>
              <w:spacing w:after="0"/>
              <w:rPr>
                <w:sz w:val="21"/>
                <w:szCs w:val="21"/>
                <w:color w:val="auto"/>
              </w:rPr>
            </w:pPr>
          </w:p>
        </w:tc>
      </w:tr>
      <w:tr>
        <w:trPr>
          <w:trHeight w:val="648"/>
        </w:trPr>
        <w:tc>
          <w:tcPr>
            <w:tcW w:w="502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5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-1662430</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-1662430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-1662430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are excluded from the calculation of the diluted net loss per share attributable to common stockholders because including them would have had an anti-dilutive effect.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272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4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gridSpan w:val="2"/>
          </w:tcPr>
          <w:p>
            <w:pPr>
              <w:spacing w:after="0"/>
              <w:rPr>
                <w:sz w:val="14"/>
                <w:szCs w:val="14"/>
                <w:color w:val="auto"/>
              </w:rPr>
            </w:pPr>
          </w:p>
        </w:tc>
        <w:tc>
          <w:tcPr>
            <w:tcW w:w="12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gridSpan w:val="2"/>
          </w:tcPr>
          <w:p>
            <w:pPr>
              <w:spacing w:after="0"/>
              <w:rPr>
                <w:sz w:val="14"/>
                <w:szCs w:val="14"/>
                <w:color w:val="auto"/>
              </w:rPr>
            </w:pPr>
          </w:p>
        </w:tc>
        <w:tc>
          <w:tcPr>
            <w:tcW w:w="12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warrants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3,921,928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3,921,928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 awards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44,866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197,256</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44,866</w:t>
            </w:r>
          </w:p>
        </w:tc>
        <w:tc>
          <w:tcPr>
            <w:tcW w:w="100" w:type="dxa"/>
            <w:vAlign w:val="bottom"/>
          </w:tcPr>
          <w:p>
            <w:pPr>
              <w:spacing w:after="0"/>
              <w:rPr>
                <w:sz w:val="20"/>
                <w:szCs w:val="20"/>
                <w:color w:val="auto"/>
              </w:rPr>
            </w:pPr>
          </w:p>
        </w:tc>
      </w:tr>
      <w:tr>
        <w:trPr>
          <w:trHeight w:val="24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412,429</w:t>
            </w:r>
          </w:p>
        </w:tc>
        <w:tc>
          <w:tcPr>
            <w:tcW w:w="1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681,601</w:t>
            </w:r>
          </w:p>
        </w:tc>
        <w:tc>
          <w:tcPr>
            <w:tcW w:w="1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412,429</w:t>
            </w:r>
          </w:p>
        </w:tc>
        <w:tc>
          <w:tcPr>
            <w:tcW w:w="1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681,601</w:t>
            </w:r>
          </w:p>
        </w:tc>
        <w:tc>
          <w:tcPr>
            <w:tcW w:w="100" w:type="dxa"/>
            <w:vAlign w:val="bottom"/>
            <w:shd w:val="clear" w:color="auto" w:fill="CFF0FC"/>
          </w:tcPr>
          <w:p>
            <w:pPr>
              <w:spacing w:after="0"/>
              <w:rPr>
                <w:sz w:val="21"/>
                <w:szCs w:val="21"/>
                <w:color w:val="auto"/>
              </w:rPr>
            </w:pPr>
          </w:p>
        </w:tc>
      </w:tr>
      <w:tr>
        <w:trPr>
          <w:trHeight w:val="23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 shares issuable under the ESPP</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00" w:type="dxa"/>
            <w:vAlign w:val="bottom"/>
          </w:tcPr>
          <w:p>
            <w:pPr>
              <w:spacing w:after="0"/>
              <w:rPr>
                <w:sz w:val="20"/>
                <w:szCs w:val="20"/>
                <w:color w:val="auto"/>
              </w:rPr>
            </w:pPr>
          </w:p>
        </w:tc>
      </w:tr>
      <w:tr>
        <w:trPr>
          <w:trHeight w:val="277"/>
        </w:trPr>
        <w:tc>
          <w:tcPr>
            <w:tcW w:w="548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4,334,357</w:t>
            </w:r>
          </w:p>
        </w:tc>
        <w:tc>
          <w:tcPr>
            <w:tcW w:w="1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735,169</w:t>
            </w:r>
          </w:p>
        </w:tc>
        <w:tc>
          <w:tcPr>
            <w:tcW w:w="1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4,531,613</w:t>
            </w:r>
          </w:p>
        </w:tc>
        <w:tc>
          <w:tcPr>
            <w:tcW w:w="1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commitments described in the Company’s consolidated financial statements as of and for the year ended December 31, 2023 and the notes thereto included in the 2023 Annual Report have had no material changes during the six months ended June 30, 2024, other than the Termination Agreement as explained in Note 8.</w:t>
      </w:r>
    </w:p>
    <w:p>
      <w:pPr>
        <w:spacing w:after="0" w:line="200" w:lineRule="exact"/>
        <w:rPr>
          <w:sz w:val="20"/>
          <w:szCs w:val="20"/>
          <w:color w:val="auto"/>
        </w:rPr>
      </w:pPr>
    </w:p>
    <w:p>
      <w:pPr>
        <w:spacing w:after="0" w:line="296" w:lineRule="exact"/>
        <w:rPr>
          <w:sz w:val="20"/>
          <w:szCs w:val="20"/>
          <w:color w:val="auto"/>
        </w:rPr>
      </w:pPr>
    </w:p>
    <w:p>
      <w:pPr>
        <w:ind w:left="560" w:hanging="552"/>
        <w:spacing w:after="0"/>
        <w:tabs>
          <w:tab w:leader="none" w:pos="5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June 2019, the Company expanded its collaboration and entered into an agreement with Ginkgo for the research and development of engineered microbial therapeutic products. As of June 30, 2024, Ginkgo owned 422,718 shares of the Company’s outstanding common stock. See Note 10, </w:t>
      </w:r>
      <w:r>
        <w:rPr>
          <w:rFonts w:ascii="Times New Roman" w:cs="Times New Roman" w:eastAsia="Times New Roman" w:hAnsi="Times New Roman"/>
          <w:sz w:val="18"/>
          <w:szCs w:val="18"/>
          <w:i w:val="1"/>
          <w:iCs w:val="1"/>
          <w:color w:val="auto"/>
        </w:rPr>
        <w:t>Ginkgo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in the audited financial statements included in the 2023 Annual Report.</w:t>
      </w:r>
    </w:p>
    <w:p>
      <w:pPr>
        <w:spacing w:after="0" w:line="176"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Under the agreement the Company made a prepayment to Ginkgo of $30.0 million for its foundry services that would be provided to the Company over an initial term of five years. Upon the expiration of such initial term and, if applicable, an additional term, any portion of the prepayment that has not been used to purchase services from Ginkgo will be retained by Ginkgo. In February 2024, the Company and its board of directors decided to discontinue the Synpheny-3 trial, significantly reduce its workforce and to evaluate strategic options for the Company. As a result of this decision, the Company would no longer be purchasing services from Ginkgo. During the six months ended June 30, 2024, the remaining $5.2 million of prepaid expenses related to this collaboration that were historically recorded in prepaid expenses and other current assets and prepaid research and development, net of current portion on the consolidated balance sheet, were recorded as restructuring and other charges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hanging="1072"/>
        <w:spacing w:after="0"/>
        <w:tabs>
          <w:tab w:leader="none" w:pos="10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did not record an income tax benefit in its consolidated statements of operations and comprehensive loss for the three and six months ended June 30, 2024 and 2023 as it is more likely than not that the Company will not recognize the federal and state deferred tax benefits generated by its losses. The Company has provided a valuation allowance for the full amount of its net deferred tax assets as of June 30, 2024 and December 31, 2023, as management has determined it is more likely than not that any future benefit from deductible temporary differences and net operating loss and tax credit carryforwards would not be realized.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record any amounts for unrecognized tax benefits as of June 30, 2024 or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19"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The interim financial statements and this Management’s Discussion and Analysis of Financial Condition and Results of Operations should be read together with our audited financial statements and accompanying notes for the years ended December 31, 2023 and 2022 included in our Annual Report on Form 10-K filed with the SEC on March 19, 2024, as amended on April 29,2024 (the "2023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[26] of this Quarterly Report on Form 10-Q for a discussion of certain risk factors applicable to our business, financial condition, and results of operations. Operating results are not necessarily indicative of results that may occur for the full fiscal year or any other future period. 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advancing novel therapeutics to transform the care of serious diseases. We focus on rare metabolic disorders, with our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w:t>
      </w:r>
    </w:p>
    <w:p>
      <w:pPr>
        <w:spacing w:after="0" w:line="180"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 We have completed the discontinuation with all of the Synpheny-3 clinical trial sites. As a result, our current corporate strategy is focused on pursuing strategic initiatives to enhance stockholder value, including but not limited to, a merger or the sale of the Company. Our strategic process is both active and ongoing and includes a range of interactions with transaction counterparties. Thus, we believe it is in our stockholders’ best interest to allow sufficient opportunity to pursue and consummate one or more such transactions and to consider additional alternatives that may materialize in the future. However, there can be no assurance that such activities will result in any agreements or transactions that will enhance shareholder value. Further, any strategic transaction that is completed ultimately may not deliver the anticipated benefits or enhance shareholder value.</w:t>
      </w:r>
    </w:p>
    <w:p>
      <w:pPr>
        <w:spacing w:after="0" w:line="17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Our early-stage pipeline includes product candidates for enteric hyperoxaluria, gout, and cystinuria, and has been fueled by a reproducible,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approach that creates GI-restricted, oral medicines with new enzymatic pathways designed to consume or produce specific biological targets.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design, develop and manufacture these drug candidates, which are produced by applying genetic engineering to well-characterized probiotics.</w:t>
      </w:r>
    </w:p>
    <w:p>
      <w:pPr>
        <w:spacing w:after="0" w:line="20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drug candidates are designed through precise engineering to target validated biological pathways in the pathophysiology of a given disease. By using a probiotic to deliver these new enzymatic pathways, the activity is restricted to the gastrointestinal (GI) tract, avoiding systemic exposure and associated risks that limit the success of other modalities. Our pipeline programs are all based on the same probiotic Escherichia coli Nissle 1917, which provides synergies across programs, as well as more than one hundred years of human dosing experience. Our drug candidates are engineered to be non-colonizing, and fully reversible via GI clearance. These potential biopharmaceuticals are all orally administered, conducive to straightforward shipping, distribution and storage. For manufacturing, our platform leverages processes with familiar foundations, including fermentation and lyophilization, facilitating process design and scale-up, combined with unique and proprietary innovations tailored to our unique products.</w:t>
      </w:r>
    </w:p>
    <w:p>
      <w:pPr>
        <w:spacing w:after="0" w:line="18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Since our founding, based upon technology from the Massachusetts Institute of Technology (MIT) in 2014, we have progressed a pipeline of multiple drug candidates across different stages, including:</w:t>
      </w:r>
    </w:p>
    <w:p>
      <w:pPr>
        <w:spacing w:after="0" w:line="54" w:lineRule="exact"/>
        <w:rPr>
          <w:sz w:val="20"/>
          <w:szCs w:val="20"/>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Labafenogene marselecobac (SYNB1934), which was being studied in Synpheny-3, a pivotal, Phase 3 study for the treatment of patients with PKU;</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SYNB1353, a potential treatment for HCU, has achieved proof of mechanism in a Phase 1 study in healthy volunteers;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research activities on a potential drug candidate for cystinuria, a rare, genetic cause of recurrent kidney stones which is also caused by an underlying metabolic disorder;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SYNB2081, a drug candidate for gout which was in IND-enabling studies;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research focused on novel, locally-acting, GI-restricted biotherapeutics for indications in inflammatory bowel disease (IBD).</w:t>
      </w:r>
    </w:p>
    <w:p>
      <w:pPr>
        <w:spacing w:after="0" w:line="22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corporate restructuring, on June 26, 2024 (the “Termination Date”), we entered into a Lease Termination Agreement (the “Termination Agreement”) for our corporate headquarters in Cambridge, Massachusetts, with the landlord which, effective immediately, terminated the lease. In exchange for the early termination of the lease pursuant to the Termination Agreement, we made a total termination payment of $10.6 million, of which $1.0 million was from a letter of credit associated with the lease and classified in the consolidated balance sheets as noncurrent restricted cash at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Synthetic Biotics In Clinical Development</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product pipeline consists of drug candidates targeting significant medical needs caused by an underlying metabolic disorder. These include labafenogene marselecobac, which was being evaluated in a pivotal, Phase 3 study in PKU, and drug candidates designed to treat HCU, enteric hyperoxaluria, and gout. Our preclinical work includes additional metabolic disease research, including cystinuria, target exploration, and focused research efforts in IBD.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262890</wp:posOffset>
            </wp:positionV>
            <wp:extent cx="6172200" cy="27946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7220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operate in one reportable business segment—the discovery and development of Synthetic Biotics. To date, we have dedicated substantially all of our activities to the research and development of our product candidates. We have funded our operations to date primarily with proceeds from the sale of preferred stock, common stock, preferred units, warrants, payments received under the Roche Collaboration and Option Agreement, prior collaborations, interest earned on investments, and cash received in the Merger.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8" w:name="page19"/>
    <w:bookmarkEnd w:id="18"/>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have incurred significant operating losses since our inception. For the three months ended June 30, 2024, we recorded a gain of $3.8 million due to restructuring charges, which resulted in net income of $2.0 million (see Note 8 for additional information regarding the restructuring and other related costs). We incurred net losses of approximately $29.6 million for the six months ended 2024. We have incurred net losses of $15.0 million and $30.7 million for the three and six months ended June 30, 2023, respectively. As of June 30, 2024, we had an accumulated deficit of approximately $443.9 million, and we expect to incur losses for the foreseeable future as we develop our product candidates and explore strategic alternatives. Historically, our expenses and capital requirements have increased substantially in connection with our research and development activities, as we:</w:t>
      </w:r>
    </w:p>
    <w:p>
      <w:pPr>
        <w:spacing w:after="0" w:line="81"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preclinical studies, initiated and completed clinical trials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to manufacture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Sought regulatory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expanded and protected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staff, including clinical, scientific, commercial, and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existing infrastructure and secure space in a facility to support continued growth in our research and development efforts;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operational and finance personnel to support product development efforts and to support operating as a public company.</w:t>
      </w:r>
    </w:p>
    <w:p>
      <w:pPr>
        <w:spacing w:after="0" w:line="22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has had a material impact on our business or operating results during the periods presented. However, inflation, has had, and may continue to have, an impact on the labor costs we incur to attract and retain qualified personnel, costs to conduct clinical trials and other operational costs. Inflationary costs could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any potential additional funding.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54"/>
        <w:spacing w:after="0" w:line="258" w:lineRule="auto"/>
        <w:rPr>
          <w:sz w:val="20"/>
          <w:szCs w:val="20"/>
          <w:color w:val="auto"/>
        </w:rPr>
      </w:pPr>
      <w:r>
        <w:rPr>
          <w:rFonts w:ascii="Times New Roman" w:cs="Times New Roman" w:eastAsia="Times New Roman" w:hAnsi="Times New Roman"/>
          <w:sz w:val="18"/>
          <w:szCs w:val="18"/>
          <w:color w:val="auto"/>
        </w:rPr>
        <w:t xml:space="preserve">Revenue was previously generated through a collaboration and option agreement with Roche for the development and commercialization of product candidates. The Roche Collaboration and Option Agreement concluded after we achieved the last milestone under the Roche Collaboration and Option Agreement in October 2023. Subsequently, Roche did not exercise its exclusive option to enter into a licensing and collaboration agreement for further development and commercialization of the product candidate. See Note 11, </w:t>
      </w:r>
      <w:r>
        <w:rPr>
          <w:rFonts w:ascii="Times New Roman" w:cs="Times New Roman" w:eastAsia="Times New Roman" w:hAnsi="Times New Roman"/>
          <w:sz w:val="18"/>
          <w:szCs w:val="18"/>
          <w:i w:val="1"/>
          <w:iCs w:val="1"/>
          <w:color w:val="auto"/>
        </w:rPr>
        <w:t>Collaboration Agreements: Roche Collaboration</w:t>
      </w:r>
      <w:r>
        <w:rPr>
          <w:rFonts w:ascii="Times New Roman" w:cs="Times New Roman" w:eastAsia="Times New Roman" w:hAnsi="Times New Roman"/>
          <w:sz w:val="18"/>
          <w:szCs w:val="18"/>
          <w:color w:val="auto"/>
        </w:rPr>
        <w:t xml:space="preserve"> in the notes to the unaudited consolidated financial statements appearing elsewhere in this Quarterly Report on Form 10-Q for a full discussion of the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benefits and other employee related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to support our internal research and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related facility and depreciation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manufacturing space; and</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process and formulation development, preclinical and clinical studies and regulatory operations.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successful development of our product candidates is highly uncertain and subject to a number of risks. Refer to the risk factors under the heading </w:t>
      </w:r>
      <w:r>
        <w:rPr>
          <w:rFonts w:ascii="Times New Roman" w:cs="Times New Roman" w:eastAsia="Times New Roman" w:hAnsi="Times New Roman"/>
          <w:sz w:val="18"/>
          <w:szCs w:val="18"/>
          <w:i w:val="1"/>
          <w:iCs w:val="1"/>
          <w:color w:val="auto"/>
        </w:rPr>
        <w:t>Risks Related to the Development of Our Product Candidates</w:t>
      </w:r>
      <w:r>
        <w:rPr>
          <w:rFonts w:ascii="Times New Roman" w:cs="Times New Roman" w:eastAsia="Times New Roman" w:hAnsi="Times New Roman"/>
          <w:sz w:val="18"/>
          <w:szCs w:val="18"/>
          <w:color w:val="auto"/>
        </w:rPr>
        <w:t xml:space="preserve"> in Part II, Item 1A, found elsewhere in this Quarterly Report on Form 10-Q.</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decrease in the near future as we have discontinued our Synpheny-3 clinical trial and are evaluating strategic options for the Company.</w:t>
      </w:r>
    </w:p>
    <w:p>
      <w:pPr>
        <w:spacing w:after="0" w:line="162"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 We anticipate that our general and administrative expenses may increase in the future as we explore strategic alternatives, including potential legal, accounting and advisory expenses and other related charges. We also anticipate that we will continue to incur accounting, legal, regulatory, compliance and director and officer insurance costs as well as investor and public relations expenses associated with being a public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Charges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February 2024, we made the decision to discontinue Synpheny-3, our pivotal study of our lead product candidate, labafenogene marselecobac (SYNB1934), as a potential treatment for PKU. As a result, we started to undertake certain operational and organizational steps in connection with a strategic reorganization plan and related cost-saving measures. We initiated a plan to review strategic alternatives in which we substantially reduced our operations and reduced the workforce by more than 90%, leaving a core team of individuals to lead the strategic review process.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of income earned on investments. Interest expense consists of expense related to our finance leases. Other expense consists primarily of gains and losses on foreign currency invoices and losses on remeasurement of the purchase warrant liability.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described in our 2023 Annual Report. During the six months ended June 30, 2024, there were no new or material changes to our existing critical accounting policies. We believe that these identified policies are critical to fully understanding and evaluating our financial condition and results of operations.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and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discussion summarizes the key factors our management believes are necessary for an understanding of our consolidated financial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9"/>
        </w:trPr>
        <w:tc>
          <w:tcPr>
            <w:tcW w:w="67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(9,568 )</w:t>
            </w: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(2,745 )</w:t>
            </w:r>
          </w:p>
        </w:tc>
      </w:tr>
      <w:tr>
        <w:trPr>
          <w:trHeight w:val="243"/>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(3,795 )</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(3,795 )</w:t>
            </w:r>
          </w:p>
        </w:tc>
      </w:tr>
      <w:tr>
        <w:trPr>
          <w:trHeight w:val="20"/>
        </w:trPr>
        <w:tc>
          <w:tcPr>
            <w:tcW w:w="67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(419 )</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(16,108 )</w:t>
            </w:r>
          </w:p>
        </w:tc>
      </w:tr>
      <w:tr>
        <w:trPr>
          <w:trHeight w:val="20"/>
        </w:trPr>
        <w:tc>
          <w:tcPr>
            <w:tcW w:w="6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(15,654 )</w:t>
            </w:r>
          </w:p>
        </w:tc>
        <w:tc>
          <w:tcPr>
            <w:tcW w:w="5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16,073</w:t>
            </w:r>
          </w:p>
        </w:tc>
        <w:tc>
          <w:tcPr>
            <w:tcW w:w="100" w:type="dxa"/>
            <w:vAlign w:val="bottom"/>
            <w:shd w:val="clear" w:color="auto" w:fill="CFF0FC"/>
          </w:tcPr>
          <w:p>
            <w:pPr>
              <w:spacing w:after="0"/>
              <w:rPr>
                <w:sz w:val="20"/>
                <w:szCs w:val="20"/>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(223 )</w:t>
            </w: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purchase warrant liability</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37"/>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(15,039 )</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5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3"/>
          </w:tcPr>
          <w:p>
            <w:pPr>
              <w:jc w:val="right"/>
              <w:ind w:right="379"/>
              <w:spacing w:after="0"/>
              <w:rPr>
                <w:sz w:val="20"/>
                <w:szCs w:val="20"/>
                <w:color w:val="auto"/>
              </w:rPr>
            </w:pPr>
            <w:r>
              <w:rPr>
                <w:rFonts w:ascii="Times New Roman" w:cs="Times New Roman" w:eastAsia="Times New Roman" w:hAnsi="Times New Roman"/>
                <w:sz w:val="18"/>
                <w:szCs w:val="18"/>
                <w:color w:val="auto"/>
              </w:rPr>
              <w:t>(15,048 )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10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-1757045</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-1757045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-496570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-496570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There was no revenue for the three months ended June 30, 2024, as compared to $0.04 million for the corresponding period in 2023. Revenue for the three months ended June 30, 2023 was related to services performed under the Roche Collaboration that we entered into in June 2021. The Roche Collaboration concluded after we achieved the last milestone in October 2023. Subsequently, Roche did not exercise its exclusive option to enter into a licensing and collaboration agreement for further development and commercialization of the product candidate.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$2.2 million for the three months ended June 30, 2024 compared to $11.8 million in the corresponding period in 2023, a decrease of $9.6 million. The following table summarizes our research and development expense for the three months ended June 30, 2024 and 2023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60" w:type="dxa"/>
            <w:vAlign w:val="bottom"/>
          </w:tcPr>
          <w:p>
            <w:pPr>
              <w:spacing w:after="0"/>
              <w:rPr>
                <w:sz w:val="15"/>
                <w:szCs w:val="15"/>
                <w:color w:val="auto"/>
              </w:rPr>
            </w:pPr>
          </w:p>
        </w:tc>
        <w:tc>
          <w:tcPr>
            <w:tcW w:w="25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63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23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Labafenogene marselecobac (SYNB1934)</w:t>
            </w:r>
          </w:p>
        </w:tc>
        <w:tc>
          <w:tcPr>
            <w:tcW w:w="9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(1,762 )</w:t>
            </w: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SYNB1618</w:t>
            </w:r>
          </w:p>
        </w:tc>
        <w:tc>
          <w:tcPr>
            <w:tcW w:w="94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4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SYNB8802</w:t>
            </w:r>
          </w:p>
        </w:tc>
        <w:tc>
          <w:tcPr>
            <w:tcW w:w="9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(307 )</w:t>
            </w:r>
          </w:p>
        </w:tc>
        <w:tc>
          <w:tcPr>
            <w:tcW w:w="8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(413 )</w:t>
            </w: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SYNB1353</w:t>
            </w:r>
          </w:p>
        </w:tc>
        <w:tc>
          <w:tcPr>
            <w:tcW w:w="94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(120 )</w:t>
            </w:r>
          </w:p>
        </w:tc>
      </w:tr>
      <w:tr>
        <w:trPr>
          <w:trHeight w:val="24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External pre-development candidate costs and unallocated costs</w:t>
            </w:r>
          </w:p>
        </w:tc>
        <w:tc>
          <w:tcPr>
            <w:tcW w:w="9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(1,298 )</w:t>
            </w:r>
          </w:p>
        </w:tc>
      </w:tr>
      <w:tr>
        <w:trPr>
          <w:trHeight w:val="20"/>
        </w:trPr>
        <w:tc>
          <w:tcPr>
            <w:tcW w:w="63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3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Total external costs</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(3,608 )</w:t>
            </w:r>
          </w:p>
        </w:tc>
      </w:tr>
      <w:tr>
        <w:trPr>
          <w:trHeight w:val="221"/>
        </w:trPr>
        <w:tc>
          <w:tcPr>
            <w:tcW w:w="6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Internal costs:</w:t>
            </w:r>
          </w:p>
        </w:tc>
        <w:tc>
          <w:tcPr>
            <w:tcW w:w="940" w:type="dxa"/>
            <w:vAlign w:val="bottom"/>
            <w:tcBorders>
              <w:top w:val="single" w:sz="8" w:color="auto"/>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compensation and benefits (including equity-based compensation expense)</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(4,272 )</w:t>
            </w:r>
          </w:p>
        </w:tc>
      </w:tr>
      <w:tr>
        <w:trPr>
          <w:trHeight w:val="244"/>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Facility and other</w:t>
            </w:r>
          </w:p>
        </w:tc>
        <w:tc>
          <w:tcPr>
            <w:tcW w:w="9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(1,688 )</w:t>
            </w:r>
          </w:p>
        </w:tc>
      </w:tr>
      <w:tr>
        <w:trPr>
          <w:trHeight w:val="20"/>
        </w:trPr>
        <w:tc>
          <w:tcPr>
            <w:tcW w:w="63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5"/>
        </w:trPr>
        <w:tc>
          <w:tcPr>
            <w:tcW w:w="636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Total internal costs</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(5,960 )</w:t>
            </w:r>
          </w:p>
        </w:tc>
      </w:tr>
      <w:tr>
        <w:trPr>
          <w:trHeight w:val="20"/>
        </w:trPr>
        <w:tc>
          <w:tcPr>
            <w:tcW w:w="6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research and development expense</w:t>
            </w:r>
          </w:p>
        </w:tc>
        <w:tc>
          <w:tcPr>
            <w:tcW w:w="9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11,765</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(9,568 )</w:t>
            </w:r>
          </w:p>
        </w:tc>
      </w:tr>
      <w:tr>
        <w:trPr>
          <w:trHeight w:val="20"/>
        </w:trPr>
        <w:tc>
          <w:tcPr>
            <w:tcW w:w="63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-985520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-985520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-350520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-350520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research and development expense was primarily due to the following:</w:t>
      </w:r>
    </w:p>
    <w:p>
      <w:pPr>
        <w:spacing w:after="0" w:line="117" w:lineRule="exact"/>
        <w:rPr>
          <w:sz w:val="20"/>
          <w:szCs w:val="20"/>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external research and development costs of $3.6 million, which primarily consisted of:</w:t>
      </w:r>
    </w:p>
    <w:p>
      <w:pPr>
        <w:spacing w:after="0" w:line="117" w:lineRule="exact"/>
        <w:rPr>
          <w:rFonts w:ascii="Times New Roman" w:cs="Times New Roman" w:eastAsia="Times New Roman" w:hAnsi="Times New Roman"/>
          <w:sz w:val="18"/>
          <w:szCs w:val="18"/>
          <w:color w:val="auto"/>
        </w:rPr>
      </w:pPr>
    </w:p>
    <w:p>
      <w:pPr>
        <w:ind w:left="204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o$1.8 million decrease in clinical, manufacturing and professional costs associated with Labafenogene marselecobac (SYNB1934). The decision to discontinue Synpheny-3, our pivotal study of our lead product candidate, labafenogene marselecobac (SYNB1934), as a potential treatment for PKU, was made in February 2024. We expect these costs to continue to decrease in future periods due to the discontinuation of the clinical trial;</w:t>
      </w:r>
    </w:p>
    <w:p>
      <w:pPr>
        <w:spacing w:after="0" w:line="71" w:lineRule="exact"/>
        <w:rPr>
          <w:rFonts w:ascii="Times New Roman" w:cs="Times New Roman" w:eastAsia="Times New Roman" w:hAnsi="Times New Roman"/>
          <w:sz w:val="18"/>
          <w:szCs w:val="18"/>
          <w:color w:val="auto"/>
        </w:rPr>
      </w:pPr>
    </w:p>
    <w:p>
      <w:pPr>
        <w:ind w:left="2040" w:right="46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o$0.5 million decrease in clinical, manufacturing and professional costs associated with SYNB1618 (earlier generation for Labafenogene marselecobac) for the Phase 2 Synpheny-1 study, SYNB8802 (achieved proof of concept in 2022), and SYNB1353 (demonstrated proof of mechanism in 2022);</w:t>
      </w:r>
    </w:p>
    <w:p>
      <w:pPr>
        <w:spacing w:after="0" w:line="6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$1.3 million decrease in other early development candidates and unallocated costs; and</w:t>
      </w:r>
    </w:p>
    <w:p>
      <w:pPr>
        <w:spacing w:after="0" w:line="333" w:lineRule="exact"/>
        <w:rPr>
          <w:rFonts w:ascii="Times New Roman" w:cs="Times New Roman" w:eastAsia="Times New Roman" w:hAnsi="Times New Roman"/>
          <w:sz w:val="18"/>
          <w:szCs w:val="18"/>
          <w:color w:val="auto"/>
        </w:rPr>
      </w:pPr>
    </w:p>
    <w:p>
      <w:pPr>
        <w:ind w:left="1540" w:right="320" w:hanging="514"/>
        <w:spacing w:after="0" w:line="282"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 million decrease in internal research and development costs, which was primarily driven by the corporate restructuring and reduction in its workforce by more than 90%.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$1.2 million for the three months ended June 30, 2024, compared to $3.9 million for the corresponding period in 2023. The decrease was primarily due to lower compensation, benefits and other employee-related expenses due to reduced headcount and decreased professional services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Charges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February 2024, the Company and its board of directors decided to discontinue the Synpheny-3 trial and to conduct a comprehensive review of strategic alternatives. We also announced a corporate restructuring that resulted in a reduction in our workforce by more than 90%, leaving a core team of individuals to lead the strategic review process. We recorded a gain on restructuring of $3.8 million for the three months ended June 30, 2024. During the second quarter of 2024, we paid $10.6 million to terminate the lease for its headquarters, of which $1.0 million was from a letter of credit associated with the lease and classified in the consolidated balance sheets as noncurrent restricted cash at December 31, 2023. This resulted in a gain on lease termination of $3.2 million. There were also sales of property and equipment, offset by severance expense relating to the reduction in workforce, and accelerated stock compensation expense which comprised an additional $0.6 million of net gains on restructuring.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Other income was $1.6 million for the three months ended June 30, 2024, compared to $0.6 million for the corresponding period in 2023. The increase in other income of $1.0 million was primarily related to the change in fair value of the purchase warrants classified as liabilities on the consolidated balance sheet.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28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67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9"/>
        </w:trPr>
        <w:tc>
          <w:tcPr>
            <w:tcW w:w="67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(201 )</w:t>
            </w: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(14,338 )</w:t>
            </w: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(3,828 )</w:t>
            </w:r>
          </w:p>
        </w:tc>
      </w:tr>
      <w:tr>
        <w:trPr>
          <w:trHeight w:val="243"/>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24,494</w:t>
            </w:r>
          </w:p>
        </w:tc>
        <w:tc>
          <w:tcPr>
            <w:tcW w:w="100" w:type="dxa"/>
            <w:vAlign w:val="bottom"/>
            <w:shd w:val="clear" w:color="auto" w:fill="CFF0FC"/>
          </w:tcPr>
          <w:p>
            <w:pPr>
              <w:spacing w:after="0"/>
              <w:rPr>
                <w:sz w:val="21"/>
                <w:szCs w:val="21"/>
                <w:color w:val="auto"/>
              </w:rPr>
            </w:pPr>
          </w:p>
        </w:tc>
      </w:tr>
      <w:tr>
        <w:trPr>
          <w:trHeight w:val="236"/>
        </w:trPr>
        <w:tc>
          <w:tcPr>
            <w:tcW w:w="6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38,434</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32,106</w:t>
            </w:r>
          </w:p>
        </w:tc>
        <w:tc>
          <w:tcPr>
            <w:tcW w:w="1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00" w:type="dxa"/>
            <w:vAlign w:val="bottom"/>
            <w:tcBorders>
              <w:top w:val="single" w:sz="8" w:color="CFF0FC"/>
            </w:tcBorders>
          </w:tcPr>
          <w:p>
            <w:pPr>
              <w:spacing w:after="0"/>
              <w:rPr>
                <w:sz w:val="20"/>
                <w:szCs w:val="20"/>
                <w:color w:val="auto"/>
              </w:rPr>
            </w:pPr>
          </w:p>
        </w:tc>
      </w:tr>
      <w:tr>
        <w:trPr>
          <w:trHeight w:val="241"/>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(38,426 )</w:t>
            </w: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(31,897 )</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(6,529 )</w:t>
            </w: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(298 )</w:t>
            </w: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purchase warrant liability</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37"/>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(29,547 )</w:t>
            </w:r>
          </w:p>
        </w:tc>
        <w:tc>
          <w:tcPr>
            <w:tcW w:w="1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(30,661 )</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(29,552 ) $</w:t>
            </w:r>
          </w:p>
        </w:tc>
        <w:tc>
          <w:tcPr>
            <w:tcW w:w="16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(30,670 )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-1756410</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-1756410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-496570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-496570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3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Revenue was $0.01 million for the six months ended June 30, 2024, as compared to $0.2 million for the corresponding period in 2023. Revenue for the six months ended June 30, 2024 was related to a material transfer and consulting agreement, under which work was completed in March 2024. Revenue for the six months ended June 30, 2023 was related to services performed under the Roche Collaboration that we entered into in June 2021. The Roche Collaboration concluded after we achieved the last milestone in October 2023. Subsequently, Roche did not exercise its exclusive option to enter into a licensing and collaboration agreement for further development and commercialization of the product candidate.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$9.9 million for the six months ended June 30, 2024 compared to $24.2 million in the corresponding period in 2023, a decrease of $14.3 million. The following table summarizes our research and development expense for the six months ended June 30, 2024 and 2023 (in thousands):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60" w:type="dxa"/>
            <w:vAlign w:val="bottom"/>
          </w:tcPr>
          <w:p>
            <w:pPr>
              <w:spacing w:after="0"/>
              <w:rPr>
                <w:sz w:val="15"/>
                <w:szCs w:val="15"/>
                <w:color w:val="auto"/>
              </w:rPr>
            </w:pPr>
          </w:p>
        </w:tc>
        <w:tc>
          <w:tcPr>
            <w:tcW w:w="256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63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23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Labafenogene marselecobac (SYNB1934)</w:t>
            </w:r>
          </w:p>
        </w:tc>
        <w:tc>
          <w:tcPr>
            <w:tcW w:w="9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(568 )</w:t>
            </w: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SYNB1618</w:t>
            </w:r>
          </w:p>
        </w:tc>
        <w:tc>
          <w:tcPr>
            <w:tcW w:w="94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(752 )</w:t>
            </w:r>
          </w:p>
        </w:tc>
      </w:tr>
      <w:tr>
        <w:trPr>
          <w:trHeight w:val="24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SYNB8802</w:t>
            </w:r>
          </w:p>
        </w:tc>
        <w:tc>
          <w:tcPr>
            <w:tcW w:w="9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(181 )</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(1,189 )</w:t>
            </w: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SYNB1353</w:t>
            </w:r>
          </w:p>
        </w:tc>
        <w:tc>
          <w:tcPr>
            <w:tcW w:w="94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(293 )</w:t>
            </w:r>
          </w:p>
        </w:tc>
      </w:tr>
      <w:tr>
        <w:trPr>
          <w:trHeight w:val="24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SYNB1891</w:t>
            </w:r>
          </w:p>
        </w:tc>
        <w:tc>
          <w:tcPr>
            <w:tcW w:w="9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(139 )</w:t>
            </w: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21"/>
                <w:szCs w:val="21"/>
                <w:color w:val="auto"/>
              </w:rPr>
            </w:pP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External pre-development candidate costs and unallocated costs</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(2,836 )</w:t>
            </w:r>
          </w:p>
        </w:tc>
      </w:tr>
      <w:tr>
        <w:trPr>
          <w:trHeight w:val="20"/>
        </w:trPr>
        <w:tc>
          <w:tcPr>
            <w:tcW w:w="6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360" w:type="dxa"/>
            <w:vAlign w:val="bottom"/>
            <w:shd w:val="clear" w:color="auto" w:fill="CFF0FC"/>
          </w:tcPr>
          <w:p>
            <w:pPr>
              <w:ind w:left="2560"/>
              <w:spacing w:after="0"/>
              <w:rPr>
                <w:sz w:val="20"/>
                <w:szCs w:val="20"/>
                <w:color w:val="auto"/>
              </w:rPr>
            </w:pPr>
            <w:r>
              <w:rPr>
                <w:rFonts w:ascii="Times New Roman" w:cs="Times New Roman" w:eastAsia="Times New Roman" w:hAnsi="Times New Roman"/>
                <w:sz w:val="16"/>
                <w:szCs w:val="16"/>
                <w:color w:val="auto"/>
              </w:rPr>
              <w:t>Total external costs</w:t>
            </w:r>
          </w:p>
        </w:tc>
        <w:tc>
          <w:tcPr>
            <w:tcW w:w="9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(5,499 )</w:t>
            </w:r>
          </w:p>
        </w:tc>
      </w:tr>
      <w:tr>
        <w:trPr>
          <w:trHeight w:val="208"/>
        </w:trPr>
        <w:tc>
          <w:tcPr>
            <w:tcW w:w="6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Internal costs:</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compensation and benefits (including equity-based compensation expense)</w:t>
            </w:r>
          </w:p>
        </w:tc>
        <w:tc>
          <w:tcPr>
            <w:tcW w:w="9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(6,865 )</w:t>
            </w:r>
          </w:p>
        </w:tc>
      </w:tr>
      <w:tr>
        <w:trPr>
          <w:trHeight w:val="24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Facility and other</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(1,974 )</w:t>
            </w:r>
          </w:p>
        </w:tc>
      </w:tr>
      <w:tr>
        <w:trPr>
          <w:trHeight w:val="20"/>
        </w:trPr>
        <w:tc>
          <w:tcPr>
            <w:tcW w:w="6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360" w:type="dxa"/>
            <w:vAlign w:val="bottom"/>
            <w:shd w:val="clear" w:color="auto" w:fill="CFF0FC"/>
          </w:tcPr>
          <w:p>
            <w:pPr>
              <w:ind w:left="2580"/>
              <w:spacing w:after="0"/>
              <w:rPr>
                <w:sz w:val="20"/>
                <w:szCs w:val="20"/>
                <w:color w:val="auto"/>
              </w:rPr>
            </w:pPr>
            <w:r>
              <w:rPr>
                <w:rFonts w:ascii="Times New Roman" w:cs="Times New Roman" w:eastAsia="Times New Roman" w:hAnsi="Times New Roman"/>
                <w:sz w:val="16"/>
                <w:szCs w:val="16"/>
                <w:color w:val="auto"/>
              </w:rPr>
              <w:t>Total internal costs</w:t>
            </w:r>
          </w:p>
        </w:tc>
        <w:tc>
          <w:tcPr>
            <w:tcW w:w="9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(8,839 )</w:t>
            </w:r>
          </w:p>
        </w:tc>
      </w:tr>
      <w:tr>
        <w:trPr>
          <w:trHeight w:val="20"/>
        </w:trPr>
        <w:tc>
          <w:tcPr>
            <w:tcW w:w="63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research and development expense</w:t>
            </w:r>
          </w:p>
        </w:tc>
        <w:tc>
          <w:tcPr>
            <w:tcW w:w="9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280" w:type="dxa"/>
            <w:vAlign w:val="bottom"/>
          </w:tcPr>
          <w:p>
            <w:pPr>
              <w:spacing w:after="0"/>
              <w:rPr>
                <w:sz w:val="20"/>
                <w:szCs w:val="20"/>
                <w:color w:val="auto"/>
              </w:rPr>
            </w:pP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(14,338 )</w:t>
            </w:r>
          </w:p>
        </w:tc>
      </w:tr>
      <w:tr>
        <w:trPr>
          <w:trHeight w:val="20"/>
        </w:trPr>
        <w:tc>
          <w:tcPr>
            <w:tcW w:w="6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-822325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-822325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research and development expense was primarily due to the following:</w:t>
      </w:r>
    </w:p>
    <w:p>
      <w:pPr>
        <w:spacing w:after="0" w:line="117" w:lineRule="exact"/>
        <w:rPr>
          <w:sz w:val="20"/>
          <w:szCs w:val="20"/>
          <w:color w:val="auto"/>
        </w:rPr>
      </w:pPr>
    </w:p>
    <w:p>
      <w:pPr>
        <w:ind w:left="1540" w:hanging="514"/>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external research and development costs of $5.5 million, which primarily consisted of:</w:t>
      </w:r>
    </w:p>
    <w:p>
      <w:pPr>
        <w:spacing w:after="0" w:line="117" w:lineRule="exact"/>
        <w:rPr>
          <w:rFonts w:ascii="Times New Roman" w:cs="Times New Roman" w:eastAsia="Times New Roman" w:hAnsi="Times New Roman"/>
          <w:sz w:val="18"/>
          <w:szCs w:val="18"/>
          <w:color w:val="auto"/>
        </w:rPr>
      </w:pPr>
    </w:p>
    <w:p>
      <w:pPr>
        <w:ind w:left="2040" w:right="40" w:hanging="50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o$2.7 million decrease in clinical, manufacturing and professional costs associated with Labafenogene marselecobac (SYNB1934), SYNB1618 (earlier generation for Labafenogene marselecobac) for the Phase 2 Synpheny-1 study, SYNB8802 (achieved proof of concept in 2022), SYNB1353 (demonstrated proof of mechanism in 2022) and SYNB1891 (completed enrollment in November 2021). The decision to discontinue Synpheny-3, our pivotal study of our lead product candidate, labafenogene marselecobac (SYNB1934), as a potential treatment for PKU, was made in February 2024. We expect these costs to continue to decrease in future periods due to the discontinuation of the clinical trial;</w:t>
      </w:r>
    </w:p>
    <w:p>
      <w:pPr>
        <w:spacing w:after="0" w:line="79"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$2.8 million decrease in other early development candidates and unallocated costs; and</w:t>
      </w:r>
    </w:p>
    <w:p>
      <w:pPr>
        <w:spacing w:after="0" w:line="333" w:lineRule="exact"/>
        <w:rPr>
          <w:rFonts w:ascii="Times New Roman" w:cs="Times New Roman" w:eastAsia="Times New Roman" w:hAnsi="Times New Roman"/>
          <w:sz w:val="18"/>
          <w:szCs w:val="18"/>
          <w:color w:val="auto"/>
        </w:rPr>
      </w:pPr>
    </w:p>
    <w:p>
      <w:pPr>
        <w:ind w:left="1540" w:right="320" w:hanging="514"/>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$8.8 million decrease in internal research and development costs, which was primarily driven by the corporate restructuring and reduction in its workforce by more than 90%.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$4.1 million for the six months ended June 30, 2024, compared to $7.9 million for the corresponding period in 2023. The decrease was primarily due to lower compensation, benefits and other employee-related expenses due to reduced headcount and decreased professional services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Charges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February 2024, the Company and its board of directors decided to discontinue the Synpheny-3 trial and to conduct a comprehensive review of strategic alternatives. We also announced a corporate restructuring that resulted in a reduction in our workforce by more than 90%, leaving a core team of individuals to lead the strategic review process. As a result of this decision, restructuring and other charges were $24.5 million for the six months ended June 30, 2024. The restructuring charges were primarily due to impairment charges related to our leases, property and equipment, and prepaid research and development, severance expense relating to the reduction in workforce, and accelerated stock compensation expense. The restructuring charges were offset by gains resulting from the lease termination and the sale of property and equipment.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was $8.8 million for the six months ended June 30, 2024, compared to $1.2 million for the corresponding period in 2023. The increase in other income of $7.6 million was primarily related to the change in fair value of the purchase warrants classified as liabilities on the consolidated balance sheet.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incurred losses since our inception on March 14, 2014 and, as of June 30, 2024, we had an accumulated deficit of $443.9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prior collaborations, interest earned on investments, and cash received in the Merger. At June 30, 2024, we had $20.0 million in cash and cash equivalents. Our cash and cash equivalents include amounts held in money market funds, stated at cost plus unrealized gain and loss, which approximates fair market value. During the six months ended June 30, 2024 our available-for-sale securities include amounts held in commercial paper.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8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our cash, cash equivalents and short-term marketable securities balance decreased by $27.8 million. This decrease was primarily due to the cash used to operate our business. In February 2024, we implemented a strategic reduction of our workforce by over 90%. In the six months ended June 30, 2024, we recorded restructuring charges and impairment charges in connection with the restructuring.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cash equivalents and restricted cash for each of the periods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2"/>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cash equivalents and restricted cash provided by (used in)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w w:val="99"/>
              </w:rPr>
              <w:t>(30,441 )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(33,131 )</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25,237</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62,229</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0"/>
                <w:szCs w:val="20"/>
                <w:color w:val="auto"/>
              </w:rPr>
            </w:pPr>
          </w:p>
        </w:tc>
      </w:tr>
      <w:tr>
        <w:trPr>
          <w:trHeight w:val="25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(5,041 )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30,400</w:t>
            </w:r>
          </w:p>
        </w:tc>
        <w:tc>
          <w:tcPr>
            <w:tcW w:w="100" w:type="dxa"/>
            <w:vAlign w:val="bottom"/>
            <w:shd w:val="clear" w:color="auto" w:fill="CFF0FC"/>
          </w:tcPr>
          <w:p>
            <w:pPr>
              <w:spacing w:after="0"/>
              <w:rPr>
                <w:sz w:val="22"/>
                <w:szCs w:val="22"/>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$30.4 million for the six months ended June 30, 2024. The primary use of cash was our net loss of $29.6 million, changes in our assets and liabilities of $12.1 million, partially offset by $11.2 million of non-cash items primarily including the impairment of fixed assets and the right of use asset, gain on lease termination, change in fair value of purchase warrants, impairment of prepaid research and development balances related to work with Ginkgo, equity-based compensation, and gain on disposal of property and equipment. The changes in our assets and liabilities include decreases in prepaid expenses and other current assets, prepaid research and development expenses, the operating lease liability, and accounts payable and accrued expenses. Net cash, cash equivalents and restricted cash used in operating activities for each of the remaining two quarters of the fiscal year ending December 31, 2024 is expected to be lower than the amount reported for the six months ended June 30, 2024, primarily due to the discontinuation of the Synpheny-3 trial and the reduction in workforce.</w:t>
      </w:r>
    </w:p>
    <w:p>
      <w:pPr>
        <w:spacing w:after="0" w:line="192"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approximately $33.1 million for the six months ended June 30, 2023. The primary use of cash was our net loss of $30.7 million, changes in our assets and liabilities of $6.1 million, partially offset by $3.6 million of non-cash items primarily including depreciation, equity-based compensation, and the right of use asset. The changes in our assets and liabilities include increases in prepaid research and development expenses, increases in prepaid expenses and other current assets, and decreases in the operating lease liability, accounts payable and accrued expenses, and deferred revenue.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2024 was $25.2 million and resulted primarily from the proceeds from maturity of marketable securities of $25.5 million and $1.2 million from sales of property and equipment. This was offset by the purchases of marketable securities of $1.5 million, and the purchases of property and equipment of $0.01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2023 was $62.2 million and resulted primarily from the proceeds from maturity of marketable securities of $62.4 million. This was offset by the purchases of property and equipment of $0.2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totaled $0.2 million, primarily related to proceeds from exercise of stock options and net proceeds from the sale of our common stock in the ATM offering program.</w:t>
      </w:r>
    </w:p>
    <w:p>
      <w:pPr>
        <w:spacing w:after="0" w:line="5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2023 totaled $1.3 million, primarily related to net proceeds of $1.2 million from the sale of our common stock in the ATM offering program and $0.1 million from ESPP contributions.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currently expect our expenses to decrease in the near term due to our decision to discontinue our Synpheny-3 clinical trial and conduct workforce reductions while we explore strategic alternatives. Pending the outcome of our review of strategic alternatives, and should we decide to continue to advance the clinical development of our product candidates, we expect to incur additional costs in connection with such activities.</w:t>
      </w:r>
    </w:p>
    <w:p>
      <w:pPr>
        <w:spacing w:after="0" w:line="68"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generated revenue from our prior collaboration with Roche and other collaborations, but have not generated any product revenue since our inception and do not expect to generate any product revenue unless we receive regulatory approval for our product candidates. We believe that our current cash and cash equivalents as of June 30, 2024 will be sufficient to fund our operations at the current levels for at least the next 12 months from the date of this filing.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will depend on many factors, including, but not limited to, the following:</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success, timing and cost of any strategic transactions, business combinations or divestiture;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agreements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is adversely impacted by the effects of the coronavirus outbreak or by other health epidemics or pandemics;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Contractual Commitments and Obligations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Other than the Termination Agreement as explained in Note 8, there have been no material changes to our contractual obligations and commitments set forth under the heading </w:t>
      </w:r>
      <w:r>
        <w:rPr>
          <w:rFonts w:ascii="Times New Roman" w:cs="Times New Roman" w:eastAsia="Times New Roman" w:hAnsi="Times New Roman"/>
          <w:sz w:val="18"/>
          <w:szCs w:val="18"/>
          <w:i w:val="1"/>
          <w:iCs w:val="1"/>
          <w:color w:val="auto"/>
        </w:rPr>
        <w:t>“Management’s Discussion and Analysis of Financial Condition and Results of Operations - Contractual Obligations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in our 2023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For a description of transactions with related parties which may fall outside of the reporting period of this section, please see the section entitled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xml:space="preserve"> in Amendment No. 1 to our 2023 Annual Report on Form 10-K/A filed with the SEC on April 29,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For detailed information regarding recently issued accounting pronouncements and the expected impact on our consolidated financial statements,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unaudited consolidated financial statements appearing elsewhere in this Quarterly Report on Form 10-Q.</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this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disclosure controls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June 30, 2024 that have materially affected, or are reasonably likely to materially affect, our internal controls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1A. Risk Factors.</w:t>
      </w:r>
    </w:p>
    <w:p>
      <w:pPr>
        <w:spacing w:after="0" w:line="119"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8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the following discussion of risk factors, References to “we”, “us”, “our” and similar terms refer to the combined business of Synlogic, Inc. after the Merger on August 28, 2017.</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72" w:lineRule="exact"/>
        <w:rPr>
          <w:sz w:val="20"/>
          <w:szCs w:val="20"/>
          <w:color w:val="auto"/>
        </w:rPr>
      </w:pPr>
    </w:p>
    <w:p>
      <w:pPr>
        <w:ind w:left="1020" w:right="16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to date has been almost entirely dependent on the success of SYNB1934, and we have decided to discontinue further development of SYNB1934 and devote significant time and resources to identifying and evaluating strategic alternatives, which may not be successful.</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biopharmaceutical company with a history of losses, and we expect to continue to incur losses for the foreseeable future, and we may never achieve or maintain profitability.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which may not be available on acceptable terms, or at all.</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our stockholders may not be able to resell shares of our common stock at or above the price they paid.</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may make it difficult for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costly, time consuming and inherently risky, and we may fail to demonstrate safety and efficacy to the satisfaction of applicable regulatory authorities.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we are taking to discover and develop novel therapeutics using synthetic biology to create novel medicines is unproven and may never lead to marketable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left="503" w:right="48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503" w:hanging="503"/>
        <w:spacing w:after="0" w:line="258"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5"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such as COVID-19, or geopolitical tensions, such as the armed conflict between Russia and Ukraine, or the conflict in the Middle East, may materially and adversely affect our business and our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 for a product candidate, we will remain subject to ongoing regulatory requirements.</w:t>
      </w:r>
    </w:p>
    <w:p>
      <w:pPr>
        <w:spacing w:after="0" w:line="117" w:lineRule="exact"/>
        <w:rPr>
          <w:rFonts w:ascii="Times New Roman" w:cs="Times New Roman" w:eastAsia="Times New Roman" w:hAnsi="Times New Roman"/>
          <w:sz w:val="18"/>
          <w:szCs w:val="18"/>
          <w:color w:val="auto"/>
        </w:rPr>
      </w:pPr>
    </w:p>
    <w:p>
      <w:pPr>
        <w:ind w:left="503" w:right="460" w:hanging="503"/>
        <w:spacing w:after="0" w:line="312" w:lineRule="auto"/>
        <w:tabs>
          <w:tab w:leader="none" w:pos="50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1" w:lineRule="exact"/>
        <w:rPr>
          <w:rFonts w:ascii="Times New Roman" w:cs="Times New Roman" w:eastAsia="Times New Roman" w:hAnsi="Times New Roman"/>
          <w:sz w:val="17"/>
          <w:szCs w:val="17"/>
          <w:color w:val="auto"/>
        </w:rPr>
      </w:pPr>
    </w:p>
    <w:p>
      <w:pPr>
        <w:ind w:left="503" w:right="140" w:hanging="503"/>
        <w:spacing w:after="0" w:line="261"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1"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legal and social concerns about synthetic biology and genetic engineering could limit or prevent the use of our technologies and limit our revenues.</w:t>
      </w:r>
    </w:p>
    <w:p>
      <w:pPr>
        <w:spacing w:after="0" w:line="53" w:lineRule="exact"/>
        <w:rPr>
          <w:rFonts w:ascii="Times New Roman" w:cs="Times New Roman" w:eastAsia="Times New Roman" w:hAnsi="Times New Roman"/>
          <w:sz w:val="18"/>
          <w:szCs w:val="18"/>
          <w:color w:val="auto"/>
        </w:rPr>
      </w:pPr>
    </w:p>
    <w:p>
      <w:pPr>
        <w:ind w:left="503" w:right="66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Synthetic Biotics, product candidates and processes for our development pipeline through acquisitions and in-licenses.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patent term protections for our product candidates to effectively protect our business.</w:t>
      </w:r>
    </w:p>
    <w:p>
      <w:pPr>
        <w:spacing w:after="0" w:line="117" w:lineRule="exact"/>
        <w:rPr>
          <w:rFonts w:ascii="Times New Roman" w:cs="Times New Roman" w:eastAsia="Times New Roman" w:hAnsi="Times New Roman"/>
          <w:sz w:val="18"/>
          <w:szCs w:val="18"/>
          <w:color w:val="auto"/>
        </w:rPr>
      </w:pPr>
    </w:p>
    <w:p>
      <w:pPr>
        <w:ind w:left="503" w:right="24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proprietary rights for our product candidates or any future product candidates, we may not be able to compete effectively in our proposed markets.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of intellectual property infringement may prevent or delay our development and commercialization efforts.</w:t>
      </w:r>
    </w:p>
    <w:p>
      <w:pPr>
        <w:spacing w:after="0" w:line="117"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of our licensors, which could be expensive, time consuming, and unsuccessful.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challenging the inventorship of our patents and other intellectual property.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503" w:right="500" w:hanging="503"/>
        <w:spacing w:after="0" w:line="266"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relied on and may in the future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relied on and may in the future rely on third-party supply and manufacturing partners for drug supplies for our late-stage clinical activities and may do the same for any commercial supplies of our product candidates.</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30" w:name="page31"/>
    <w:bookmarkEnd w:id="30"/>
    <w:p>
      <w:pPr>
        <w:ind w:left="1020" w:right="100" w:hanging="503"/>
        <w:spacing w:after="0" w:line="289"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9" w:lineRule="exact"/>
        <w:rPr>
          <w:rFonts w:ascii="Times New Roman" w:cs="Times New Roman" w:eastAsia="Times New Roman" w:hAnsi="Times New Roman"/>
          <w:sz w:val="17"/>
          <w:szCs w:val="17"/>
          <w:color w:val="auto"/>
        </w:rPr>
      </w:pPr>
    </w:p>
    <w:p>
      <w:pPr>
        <w:ind w:left="1020" w:right="2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Evaluation of Strategic Alternatives</w:t>
      </w:r>
    </w:p>
    <w:p>
      <w:pPr>
        <w:spacing w:after="0" w:line="22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to date has been significantly dependent on the success of SYNB1934, and we have decided to discontinue further development of SYNB1934 and devote significant time and resources to identifying and evaluating strategic alternatives, which may not be successful.</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invested significant efforts and financial resources in the research and development of SYNB1934, which was our lead product candidate in clinical trials. In February 2024, we voluntarily halted Synpheny-3 based on results of an internal review in advance of an upcoming independent Data Monitoring Committee (DMC) assessment, which indicated the trial was unlikely to meet its primary endpoint. The decision was not based on concerns regarding safety or tolerability. Beginning in February 2024, we started to reduce operating expenses while we evaluate our strategic alternatives with a goal to enhance stockholder value, including the possibility of a merger or sale of the Company. There can be no assurance that our process to identify and evaluate potential strategic alternatives will result in any definitive offer to consummate a strategic transaction, or if made what the terms thereof will be or that any transaction will be approved or consummated. If any definitive offer to consummate a strategic transaction is received, there can be no assurance that a definitive agreement will be executed or that, if a definitive agreement is executed, the transaction will be consummated. In addition, there can be no assurance that any transaction, involving our company and/or assets, that is consummated would enhance shareholder value. There also can be no assurance that we will conduct further drug research or development activities in the future.</w:t>
      </w:r>
    </w:p>
    <w:p>
      <w:pPr>
        <w:spacing w:after="0" w:line="19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Any such strategic transaction may require us to incur non-recurring or other charges, may increase our near-and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68"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acquisition and integration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our company or any acquired businesses.</w:t>
      </w:r>
    </w:p>
    <w:p>
      <w:pPr>
        <w:spacing w:after="0" w:line="22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1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process to identify a strategic transaction will result in a successfully consummated transaction. If no transaction is completed, our board of directors may decide to pursue a dissolution and liquidation of our company. In such an event, the amount of cash available for distribution to our stockholders will depend heavily on the timing of such decision and, ultimately, such liquidation, since the amount of cash available for distribution continues to decrease as we fund our operations while we evaluate our strategic alternatives. In addition, if our board of directors were to approve and recommend, and our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spacing w:after="0" w:line="254" w:lineRule="auto"/>
        <w:rPr>
          <w:sz w:val="20"/>
          <w:szCs w:val="20"/>
          <w:color w:val="auto"/>
        </w:rPr>
      </w:pPr>
      <w:r>
        <w:rPr>
          <w:rFonts w:ascii="Times New Roman" w:cs="Times New Roman" w:eastAsia="Times New Roman" w:hAnsi="Times New Roman"/>
          <w:sz w:val="18"/>
          <w:szCs w:val="18"/>
          <w:color w:val="auto"/>
        </w:rPr>
        <w:t>stockholders were to approve, a dissolution and liquidation of our company, we would be required under Delaware corporate law to pay our outstanding obligations, as well as to make reasonable provision for contingent and unknown obligations, prior to making any distributions in liquidation to our stockholders. Our commitments and contingent liabilities may include (i) obligations under our employment and related agreements with certain employees that provide for severance and other payments following a termination of employment occurring for various reasons, including a change in control of our company; and (ii) potential litigation against us, and other various claims and legal actions arising in the ordinary course of business.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liquidation, dissolution or winding up of our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Capital Requirements and Operating Results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biopharmaceutical company with a history of losses, and we expect to continue to incur losses for the foreseeable future, and we may never achieve or maintain profitability.</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developing Synthetic Biotics and we have incurred significant operating losses since our inception. As of June 30, 2024, we had an accumulated deficit of approximately $443.9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on acceptable terms, or at all.</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6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Synthetic Biotic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research programs, clinical trials, or other product development and approval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in a timely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the need to attract and retain, key management and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the theft or misappropriation of our intellectual property, know-how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with our collaborators;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advantages that our competitors and potential competitors may have in securing funding or developing competing technologies or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that may be necessary to expand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macro-economic factors outside of our control.</w:t>
      </w:r>
    </w:p>
    <w:p>
      <w:pPr>
        <w:spacing w:after="0" w:line="22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our stockholders may not be able to resell shares of our common stock at or above the price they paid.</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such as reports by industry analysts, investor perceptions, general industry trends, macro-economic conditions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or negative announcements by other companies involving similar technologies or diseases. These factors also include those discussed in this “Risk Factors” section of this Quarterly Report on Form 10-Q and others such as:</w:t>
      </w:r>
    </w:p>
    <w:p>
      <w:pPr>
        <w:spacing w:after="0" w:line="72" w:lineRule="exact"/>
        <w:rPr>
          <w:sz w:val="20"/>
          <w:szCs w:val="20"/>
          <w:color w:val="auto"/>
        </w:rPr>
      </w:pPr>
    </w:p>
    <w:p>
      <w:pPr>
        <w:ind w:left="1020" w:right="4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collaborations that we may enter into with respect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receipt, modification or termination of government contracts or grants;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related to our clinical trials 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Perspectives on synthetic biology and genetic engineering;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Perspectives on the programs of competitors</w:t>
      </w:r>
      <w:r>
        <w:rPr>
          <w:rFonts w:ascii="Times New Roman" w:cs="Times New Roman" w:eastAsia="Times New Roman" w:hAnsi="Times New Roman"/>
          <w:sz w:val="18"/>
          <w:szCs w:val="18"/>
          <w:u w:val="single" w:color="auto"/>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natural disasters;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33" w:name="page34"/>
    <w:bookmarkEnd w:id="33"/>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our executive officers and directors or our stockholders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equity or debt securities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 active, liquid and orderly market in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 regarding us.</w:t>
      </w:r>
    </w:p>
    <w:p>
      <w:pPr>
        <w:spacing w:after="0" w:line="22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stockholders to evaluate the success of our business to date and to assess our future viability.</w:t>
      </w:r>
    </w:p>
    <w:p>
      <w:pPr>
        <w:spacing w:after="0" w:line="12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 are a biopharmaceutical company with a limited operating history. We commenced active operations in 2014. Our operations to date have been limited to organizing and staffing our company, research and development activities, business planning and raising capital. In February 2024, we voluntarily halted Synpheny-3 based on results of an internal review in advance of an upcoming independent Data Monitoring Committee (DMC) assessment, which indicated the trial was unlikely to meet its primary endpoint. The decision was not based on concerns regarding safety or tolerability.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83"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Similarly, on March 12, 2023, Signature Bank and Silvergate Capital Corp. were each swept into receivership and on May 1, 2023, First Republic Bank was swept into receivership. Although a statement by the Department of the Treasury, the Federal Reserve and the FDIC stated that all depositors of SVB would have access to all of their money after only one business day of closure, including funds held in uninsured deposit accounts, uncertainty remains over liquidity concerns in the broader financial services industry. Similar impacts have occurred in the past, such as during the 2008-2010 financial crisis.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Although we review our banking relationships as we believe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access to working capital 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or credit or other credit support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8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 Events that may prevent successful or timely completion of clinical development of our product candidates include but are not limited to:</w:t>
      </w:r>
    </w:p>
    <w:p>
      <w:pPr>
        <w:spacing w:after="0" w:line="77" w:lineRule="exact"/>
        <w:rPr>
          <w:sz w:val="20"/>
          <w:szCs w:val="20"/>
          <w:color w:val="auto"/>
        </w:rPr>
      </w:pPr>
    </w:p>
    <w:p>
      <w:pPr>
        <w:ind w:left="1020" w:right="140" w:hanging="503"/>
        <w:spacing w:after="0" w:line="284"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satisfactory preclinical or other nonclinical data, including,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or diagnostics to support the initiation or continuation of clinical trials;</w:t>
      </w:r>
    </w:p>
    <w:p>
      <w:pPr>
        <w:spacing w:after="0" w:line="52"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approval at each clinical trial site;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1020" w:right="3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permit the conduct of a clinical trial by regulatory authorities, after review of an investigational new drug or equivalent foreign application or amendment;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qualified patients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sites or CROs or other third parties to adhere to clinical trial requirements;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clinical sites, CROs or other third parties to perform in accordance with the good clinical practices requirements of the FDA or applicable foreign regulatory guidelines;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the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unacceptable side effects or toxicity issues associated with our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by the FDA of a clinical hold or the requirement by other similar regulatory agencies that one or more clinical trials be delayed or halted;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performing additional nonclinical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affordability of the cost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for our product candidates could result in additional costs to us or impair our ability to raise additional capital or generate revenue. In addition, if we make manufacturing or formulation changes to our product candidates, we may need to conduct additional nonclinical studies and/or clinical trials, the results obtained from such new formulation may not be consistent with previous results obtained, or the regulatory authorities may need to further review and approve our process before we can proceed.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 Additionally, the FDA or other regulatory authorities may lack experience in evaluating the safety and efficacy of novel product candidates based on synthetic biology, which could result in a longer than expected regulatory review process, increase our expected development costs and delay or prevent commercialization of our product candidates.</w:t>
      </w:r>
    </w:p>
    <w:p>
      <w:pPr>
        <w:spacing w:after="0" w:line="2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date on a limited number of product candidates based on our Synthetic Biotic therapeutic platform.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60" w:firstLine="509"/>
        <w:spacing w:after="0" w:line="271" w:lineRule="auto"/>
        <w:rPr>
          <w:sz w:val="20"/>
          <w:szCs w:val="20"/>
          <w:color w:val="auto"/>
        </w:rPr>
      </w:pPr>
      <w:r>
        <w:rPr>
          <w:rFonts w:ascii="Times New Roman" w:cs="Times New Roman" w:eastAsia="Times New Roman" w:hAnsi="Times New Roman"/>
          <w:sz w:val="17"/>
          <w:szCs w:val="17"/>
          <w:color w:val="auto"/>
        </w:rPr>
        <w:t>The clinical trial and manufacturing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EMA or national regulatory agencies may not be indicative of what the FDA, and vice versa, may require for approval and different or additional nonclinical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product candidates.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create Synthetic Biotics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or revoke licenses for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 of such products;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conduct additional clinical trials or costly post-marketing testing and surveillance to monitor the safety of the product;</w:t>
      </w:r>
    </w:p>
    <w:p>
      <w:pPr>
        <w:spacing w:after="0" w:line="12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6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spacing w:after="0" w:line="261" w:lineRule="auto"/>
        <w:rPr>
          <w:sz w:val="20"/>
          <w:szCs w:val="20"/>
          <w:color w:val="auto"/>
        </w:rPr>
      </w:pPr>
      <w:r>
        <w:rPr>
          <w:rFonts w:ascii="Times New Roman" w:cs="Times New Roman" w:eastAsia="Times New Roman" w:hAnsi="Times New Roman"/>
          <w:sz w:val="18"/>
          <w:szCs w:val="18"/>
          <w:color w:val="auto"/>
        </w:rPr>
        <w:t>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developed and may in the future develop product candidates that may be eligible for FDA and European Commission orphan drug designation. In May 2023, the FDA granted orphan drug designation to labafenogene marselecobac (SYNB1934)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Because the extent and scope of patent protection for some of our product candidates may be limited, obtaining orphan drug exclusivity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though we have obtained orphan drug designation for some of our product candidates and intend to seek orphan drug designation for other product candidates, there is no assurance that we will be the first to obtain marketing approval for any particular orphan indication. Further, even though we have obtained orphan drug designation for certain of our product candidates, or even if we obtain orphan drug designation for other potential product candidates, and obtain approval for such products, orphan product exclusivity may not effectively protect us from competition because different drugs can be approved for the same condition and the same drug can be approved for different conditions and potentially used off-label in the orphan indication. In addition,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00" w:lineRule="exact"/>
        <w:rPr>
          <w:sz w:val="20"/>
          <w:szCs w:val="20"/>
          <w:color w:val="auto"/>
        </w:rPr>
      </w:pPr>
    </w:p>
    <w:p>
      <w:pPr>
        <w:spacing w:after="0" w:line="20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or RPDD, for one or more of our product candidates. However, a BLA for one or more of our product candidates may not meet the eligibility criteria for a priority review voucher upon approval.</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January 2023, labafenogene marselecobac received RPDD (Rare Pediatric Drug Designation) for phenylketonuria and in December 2022, SYNB1353 received RPDD for homocystinuria. 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94" w:lineRule="exact"/>
        <w:rPr>
          <w:sz w:val="20"/>
          <w:szCs w:val="20"/>
          <w:color w:val="auto"/>
        </w:rPr>
      </w:pPr>
    </w:p>
    <w:p>
      <w:pPr>
        <w:jc w:val="center"/>
        <w:ind w:right="160"/>
        <w:spacing w:after="0" w:line="276" w:lineRule="auto"/>
        <w:rPr>
          <w:sz w:val="20"/>
          <w:szCs w:val="20"/>
          <w:color w:val="auto"/>
        </w:rPr>
      </w:pPr>
      <w:r>
        <w:rPr>
          <w:rFonts w:ascii="Times New Roman" w:cs="Times New Roman" w:eastAsia="Times New Roman" w:hAnsi="Times New Roman"/>
          <w:sz w:val="17"/>
          <w:szCs w:val="17"/>
          <w:color w:val="auto"/>
        </w:rPr>
        <w:t>For the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spacing w:after="0" w:line="1" w:lineRule="exact"/>
        <w:rPr>
          <w:sz w:val="20"/>
          <w:szCs w:val="20"/>
          <w:color w:val="auto"/>
        </w:rPr>
      </w:pPr>
    </w:p>
    <w:p>
      <w:pPr>
        <w:ind w:right="60" w:firstLine="8"/>
        <w:spacing w:after="0" w:line="253"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 disease or conditions within the meaning of the Orphan Drug Act. The FDA may determine that a BLA for one or more of our product candidates does not meet the eligibility criteria for a priority review voucher upon approval. Moreover, due to the current statutory authority for the RPDD and voucher program, the FDA may not award the voucher to sponsors of marketing applications unless either (i) the drug has received rare pediatric disease designation as of September 30, 2024, and is then approved by the FDA no later than September 30, 2026; or (ii) Congress reauthorizes the program. Even if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right="40"/>
        <w:spacing w:after="0" w:line="282" w:lineRule="auto"/>
        <w:rPr>
          <w:sz w:val="20"/>
          <w:szCs w:val="20"/>
          <w:color w:val="auto"/>
        </w:rPr>
      </w:pPr>
      <w:r>
        <w:rPr>
          <w:rFonts w:ascii="Times New Roman" w:cs="Times New Roman" w:eastAsia="Times New Roman" w:hAnsi="Times New Roman"/>
          <w:sz w:val="18"/>
          <w:szCs w:val="18"/>
          <w:color w:val="auto"/>
        </w:rPr>
        <w:t>legislation is enacted that extends the date by which approval of the rare pediatric disease-designated drug must obtain approval to receive a priority review voucher, we may not obtain approval by that date, and even if we do, we may not obtain a priority review voucher.</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 fail to obtain regulatory approval. There is a high failure rate for drugs proceeding through clinical trials. Many companies in the pharmaceutical and biotechnology industries have suffered significant setbacks in clinical development even after achieving promising 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w:t>
      </w:r>
    </w:p>
    <w:p>
      <w:pPr>
        <w:spacing w:after="0" w:line="29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local or global health emergencies.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the clinical trial administration practices of the contract research organization (CRO) or clinical trial sites, labor shortages at the CRO or clinical trial sites, benefits and convenience of administration of the product candidate being studied, the patient referral practices of physicians, the amount of attention provided to our trial by clinical trial sites, our efforts and the CRO efforts,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Congress also recently amended the FDCA to require sponsors of a Phase 3 clinical trial, or other “pivotal study” of a new drug or biologic to support marketing authorization, to design and submit a diversity action plan for such clinical trial. The action plan must describe appropriate diversity goals for enrollment, as well as a rationale for the goals and a description of how the sponsor will meet them. For any future Phase 3 trials we plan to conduct, we must submit a diversity action plan to the FDA by the time we submit plans for such Phase 3, or pivotal study, protocol to the agency for review as part of an IND, unless we are able to obtain a waiver for some or all of the requirements for a diversity action plan. It is unknown at this time how the diversity action plan may affect the planning and timing of any future Phase 3 trial for our product candidates or what specific information FDA will expect in such plans. However, initiation of such trials may be delayed if the FDA objects to our proposed diversity action plans for any future Phase 3 trial for our product candidates, and we may experience difficulties recruiting a diverse population of patients in attempting to fulfill the requirements of any approved diversity action plan.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 top-line” and preliminary data from our clinical trials that we announce or publish from time to time may change as more patient data become available and are subject to audit and verification procedures that could result in material changes in final data.</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that we previously published. As a result, top-line and preliminary data should be viewed with caution until final data are available. Adverse differences between interim data and final data could significantly harm our business prospects.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 Further, disclosure of interim data by us or by our competitors could result in volatility in the price of our common stock.</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we have product liability insurance, which covers any clinical trial we may conduct in the United States or internationally,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0" w:name="page41"/>
    <w:bookmarkEnd w:id="40"/>
    <w:p>
      <w:pPr>
        <w:ind w:right="700"/>
        <w:spacing w:after="0" w:line="282" w:lineRule="auto"/>
        <w:rPr>
          <w:sz w:val="20"/>
          <w:szCs w:val="20"/>
          <w:color w:val="auto"/>
        </w:rPr>
      </w:pPr>
      <w:r>
        <w:rPr>
          <w:rFonts w:ascii="Times New Roman" w:cs="Times New Roman" w:eastAsia="Times New Roman" w:hAnsi="Times New Roman"/>
          <w:sz w:val="18"/>
          <w:szCs w:val="18"/>
          <w:color w:val="auto"/>
        </w:rPr>
        <w:t>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investigators, patients or trial sites or limitations on approved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if commercialized, decreased demand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commercialized, product recalls, withdrawals of labeling, marketing or promotional restrictions or the need for product modification;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of litigation, including monetary awards to patients or other claimants;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ourselves;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product liability insurance rates or the inability to maintain insurance coverage in the future on acceptable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and our technology.</w:t>
      </w:r>
    </w:p>
    <w:p>
      <w:pPr>
        <w:spacing w:after="0" w:line="22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Product liability claims may subject us to the foregoing and other risks, which could have a material adverse effect on our business, financial condition or results of operations.</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which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such as COVID-19, or geopolitical tensions, such as the armed conflict between Russia and Ukraine, or the conflict in the Middle East, may materially and adversely affect our business and our financial results.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Over the past several years, COVID-19 has affected segments of the global economy and it may materially affect our operations again, including potentially significant interruption of our clinical trial activities. In addition, there could be a continuing effect of COVID-19 to the business at FDA or other health authorities, which could result in delays of reviews and approvals, including with respect to our product candidates. The COVID-19 pandemic, including surges in cases,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COVID-19 may also affect employees of third-party contract research organizations and contract manufacturing organizations located in affected geographies that we rely upon to carry out our clinical trials.</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COVID-19 may be difficult to assess or predict, a widespread pandemic could result in significant disruption of global financial markets, potentially reducing our ability to access capital, which could in the future negatively affect our liquidity. Similarly, the current conflicts between Ukraine and Russia and in the Middle East have created extreme volatility in the global capital markets and is expected to have further global economic consequences, including disruptions of the global supply chain and energy markets. In addition, we have previously announced our intention to open a clinical trial site in Israel and this could be impacted by the events in the Middle East. A recession or market correction resulting from the continued spread of COVID-19 or the geopolitical tensions in Russia and Ukraine, and in the Middle East, could materially affect our business and the price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p>
    <w:p>
      <w:pPr>
        <w:spacing w:after="0" w:line="2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 candidate and it is possible that none of our existing product candidates or any product candidates we may seek to develop in the future will ever obtain that approval.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other comparable foreign regulatory authorities that our product candidates are safe, pure and potent or effective for their proposed indications;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other comparable foreign regulatory authorities in order to support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to the FDA or other equivalent marketing authorization application submissions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review of our clinical trial sites and data, the FDA or comparable foreign regulatory authorities may find our record keeping or the record keeping of our clinical trial sites or investigators to be inadequate;</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or the laws they enforce may significantly change in a manner rendering our clinical data insufficient for approval.</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European Union (EU) recently evolved. The EU Clinical Trials Regulation (CTR) which was adopted in April 2014 and repeals the EU Clinical Trials Directive, became applicable on January 31, 2022. The CTR introduced a centralized process and only requires the submission of a single application to all member states concerned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or CTIS. Once the CTA is approved,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t>clinical study development may proceed. The extent to which ongoing and new clinical trials will be governed by the CTR varies. Clinical trials for which an application was submitted (i) prior to January 31, 2022 under the Clinical Trials Directive, which the CTR replaced, or (ii) between January 31, 2022 and January 31, 2023 and for which the sponsor has opted for the application of the Clinical Trials Directive remain governed by said Directive until January 31, 2025. After this date, all clinical trials, including those that are ongoing, will become subject to the provisions of the CTR. Compliance with the CTR requirements by us, our collaborators and third-party service providers, such as CROs, may impact our development plans.</w:t>
      </w:r>
    </w:p>
    <w:p>
      <w:pPr>
        <w:spacing w:after="0" w:line="183"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jc w:val="both"/>
        <w:ind w:right="40" w:firstLine="509"/>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A drug or biologic designated as breakthrough therapies by the FDA could also be eligible for accelerated approval.</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9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three of our product candidates and may seek such designation for one or more of our other product candidates, but we might not receive such designation, and even if we do, such designation may not actually lead to a faster development or regulatory review or approval process.</w:t>
      </w:r>
    </w:p>
    <w:p>
      <w:pPr>
        <w:spacing w:after="0" w:line="67" w:lineRule="exact"/>
        <w:rPr>
          <w:sz w:val="20"/>
          <w:szCs w:val="20"/>
          <w:color w:val="auto"/>
        </w:rPr>
      </w:pPr>
    </w:p>
    <w:p>
      <w:pPr>
        <w:jc w:val="both"/>
        <w:ind w:right="20" w:firstLine="509"/>
        <w:spacing w:after="0" w:line="272" w:lineRule="auto"/>
        <w:rPr>
          <w:sz w:val="20"/>
          <w:szCs w:val="20"/>
          <w:color w:val="auto"/>
        </w:rPr>
      </w:pPr>
      <w:r>
        <w:rPr>
          <w:rFonts w:ascii="Times New Roman" w:cs="Times New Roman" w:eastAsia="Times New Roman" w:hAnsi="Times New Roman"/>
          <w:sz w:val="17"/>
          <w:szCs w:val="17"/>
          <w:color w:val="auto"/>
        </w:rPr>
        <w:t>If a product candidate is intended for the treatment of a serious condition and nonclinical or clinical data demonstrate the potential to address unmet medical need for the condition, a product sponsor may apply for Fast Track designation. We were awarded Fast track designation for SYNB1618 (an earlier generation of SYNB1934:labafenogene marselecobac) in April 2018, for labofenogene marselecobac in July 2023, and for SYNB1353 in August 2022.</w:t>
      </w:r>
    </w:p>
    <w:p>
      <w:pPr>
        <w:spacing w:after="0" w:line="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we will remain subject to ongoing regulatory requirements.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260"/>
        <w:spacing w:after="0" w:line="282" w:lineRule="auto"/>
        <w:rPr>
          <w:sz w:val="20"/>
          <w:szCs w:val="20"/>
          <w:color w:val="auto"/>
        </w:rPr>
      </w:pPr>
      <w:r>
        <w:rPr>
          <w:rFonts w:ascii="Times New Roman" w:cs="Times New Roman" w:eastAsia="Times New Roman" w:hAnsi="Times New Roman"/>
          <w:sz w:val="18"/>
          <w:szCs w:val="18"/>
          <w:color w:val="auto"/>
        </w:rPr>
        <w:t>manufacturers will be subject to continual review and inspections to assess compliance with cGMP and adherence to commitments made in any BLA or marketing authorization application.</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Times New Roman" w:cs="Times New Roman" w:eastAsia="Times New Roman" w:hAnsi="Times New Roman"/>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ensure compliance. If our original marketing approval for a product candidate were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untitled or 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 or revoke a license;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2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8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therapeutic product candidates in other jurisdictions.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8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i w:val="1"/>
          <w:iCs w:val="1"/>
          <w:color w:val="auto"/>
        </w:rPr>
        <w:t>The FDA and other comparable ex-U.S. regulatory authorities may not accept data from trials conducted in locations outside of their jurisdiction.</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4" w:name="page45"/>
    <w:bookmarkEnd w:id="44"/>
    <w:p>
      <w:pPr>
        <w:ind w:firstLine="509"/>
        <w:spacing w:after="0" w:line="252" w:lineRule="auto"/>
        <w:rPr>
          <w:sz w:val="20"/>
          <w:szCs w:val="20"/>
          <w:color w:val="auto"/>
        </w:rPr>
      </w:pPr>
      <w:r>
        <w:rPr>
          <w:rFonts w:ascii="Times New Roman" w:cs="Times New Roman" w:eastAsia="Times New Roman" w:hAnsi="Times New Roman"/>
          <w:sz w:val="18"/>
          <w:szCs w:val="18"/>
          <w:color w:val="auto"/>
        </w:rPr>
        <w:t>We may choose to conduct international clinical trials in the future. The acceptance of study data by the FDA or other comparable ex-U.S. regulatory authority from clinical trials conducted outside of their respective jurisdictions may be subject to certain conditions. The acceptance of study data from clinical trials conducted outside the United States or another jurisdiction by the FDA or comparable ex-U.S. regulatory authority may be subject to certain conditions or may not be accepted at all. In cases where data from ex-U.S. clinical trials are intended to serve as the sole basis for marketing approval in the United States, the FDA will generally not approve the application on the basis of ex-U.S. data alone unless (i) the data are applicable to the U.S. population and U.S. medical practice; (ii) the trials were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Furthermore, even where the ex-U.S.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ex-U.S. regulatory authorities have similar approval requirements. In addition, such ex-U.S. trials would be subject to the applicable local laws of the ex-U.S. jurisdictions where the trials are conducted. There can be no assurance that the FDA or any comparable ex-U.S. regulatory authority will accept data from trials conducted outside of its applicable jurisdiction. If the FDA or any comparable ex-U.S. regulatory authority does not accept such data, it would result in the need for additional trials.</w:t>
      </w:r>
    </w:p>
    <w:p>
      <w:pPr>
        <w:spacing w:after="0" w:line="30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increases in workload, and statutory, regulatory, and policy changes. Average review times at the agency have fluctuated in recent years as a result. In 2023, for example, members of Congress wrote to officials at the FDA expressing their concern that clinical holds should not be a means for FDA to gain additional time to review a clinical protocol.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The coronavirus pandemic has also adversely affected the operations of necessary government agencies.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In addition, competing demands from other companies or issues can affect the timeliness for which the FDA can review and process our regulatory submissions.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financial condition or results of operations.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w:t>
      </w:r>
    </w:p>
    <w:p>
      <w:pPr>
        <w:spacing w:after="0" w:line="19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Further legislative and regulatory changes under the ACA remain possible, although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260"/>
        <w:spacing w:after="0" w:line="282" w:lineRule="auto"/>
        <w:rPr>
          <w:sz w:val="20"/>
          <w:szCs w:val="20"/>
          <w:color w:val="auto"/>
        </w:rPr>
      </w:pPr>
      <w:r>
        <w:rPr>
          <w:rFonts w:ascii="Times New Roman" w:cs="Times New Roman" w:eastAsia="Times New Roman" w:hAnsi="Times New Roman"/>
          <w:sz w:val="18"/>
          <w:szCs w:val="18"/>
          <w:color w:val="auto"/>
        </w:rPr>
        <w:t>to directly negotiate drug prices,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Most recently,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Additional state and federal healthcare reform measures are expected to be adopted in the future, any of which could limit the amounts that federal and state governments will pay for healthcare products and services, which could result in reduced demand for certain biopharmaceutical products or additional pricing pressures.</w:t>
      </w:r>
    </w:p>
    <w:p>
      <w:pPr>
        <w:spacing w:after="0" w:line="19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addition, in the last few years, several states have formed prescription drug affordability boards (PDABs) with the authority to implement upper payment limits (UPLs) on drugs sold in their respective jurisdictions. However, there are several pending federal lawsuits challenging the authority of states to impose UPLs.</w:t>
      </w:r>
    </w:p>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December 2020, the U.S. Supreme Court also held unanimously that federal law does not preempt the states’ ability to regulate pharmaceutical benefit managers, or PBMs, and other members of the healthcare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9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We expect that additional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payments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5" w:lineRule="exact"/>
        <w:rPr>
          <w:sz w:val="20"/>
          <w:szCs w:val="20"/>
          <w:color w:val="auto"/>
        </w:rPr>
      </w:pPr>
    </w:p>
    <w:p>
      <w:pPr>
        <w:jc w:val="both"/>
        <w:ind w:left="1020" w:right="6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67"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government payors that are false or fraudulent or making a false statement to avoid, decrease or conceal an obligation to pay money to the federal government;</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53" w:lineRule="exact"/>
        <w:rPr>
          <w:rFonts w:ascii="Times New Roman" w:cs="Times New Roman" w:eastAsia="Times New Roman" w:hAnsi="Times New Roman"/>
          <w:sz w:val="18"/>
          <w:szCs w:val="18"/>
          <w:color w:val="auto"/>
        </w:rPr>
      </w:pPr>
    </w:p>
    <w:p>
      <w:pPr>
        <w:ind w:left="1020" w:right="480" w:hanging="503"/>
        <w:spacing w:after="0" w:line="26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requirements under the ACA require manufacturers of drugs, devices, biologics, and medical supplies to report annually to CMS information related to payments and other transfers of value to physicians, certain advanced non-physician healthcare providers, and teaching hospitals, and ownership and investment interests held by physicians and other healthcare providers and their immediate family members; and</w:t>
      </w:r>
    </w:p>
    <w:p>
      <w:pPr>
        <w:spacing w:after="0" w:line="7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89"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healthcare reform legislation has strengthened these laws. For example, the ACA, among other things, amended the intent requirement of the federal anti-kickback and criminal healthcare fraud statutes. A person or entity no longer needs to have actual knowledge of this statute or specific intent to violate it. Moreover, the ACA provides that the U.S.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ability to operate our business and our results of operations.</w:t>
      </w:r>
    </w:p>
    <w:p>
      <w:pPr>
        <w:spacing w:after="0" w:line="28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may in the future become subject to, U.S. federal and state, and international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domestic and international laws and regulations governing data privacy, data security, and the protection of health-related and other personal information. The regulatory framework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7" w:name="page48"/>
    <w:bookmarkEnd w:id="47"/>
    <w:p>
      <w:pPr>
        <w:ind w:right="340"/>
        <w:spacing w:after="0" w:line="282" w:lineRule="auto"/>
        <w:rPr>
          <w:sz w:val="20"/>
          <w:szCs w:val="20"/>
          <w:color w:val="auto"/>
        </w:rPr>
      </w:pPr>
      <w:r>
        <w:rPr>
          <w:rFonts w:ascii="Times New Roman" w:cs="Times New Roman" w:eastAsia="Times New Roman" w:hAnsi="Times New Roman"/>
          <w:sz w:val="18"/>
          <w:szCs w:val="18"/>
          <w:color w:val="auto"/>
        </w:rPr>
        <w:t>for collecting, using, safeguarding, sharing, transferring and other processing of personal information worldwide is rapidly evolving and in recent years there has been an increasing focus on privacy and data security issues with the potential to affect our business.</w:t>
      </w:r>
    </w:p>
    <w:p>
      <w:pPr>
        <w:spacing w:after="0" w:line="5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the U.S., numerous federal and state laws and regulations, including state data breach notification laws, and federal and state consumer protection laws govern the collection, use, disclosure and protection of health-related and other personal information. Failure to comply with data protection laws and regulations, where applicable, could result in government enforcement actions, which could include civil or criminal penalties, private litigation and/or adverse publicity and could negatively affect our operating results and business. For example, California enacted the California Consumer Privacy Act (the CCPA), which took effect on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Further, in 2020, California voters passed the California Privacy Rights Act (the CPRA), which became effective as of January 1, 2023. The CPRA significantly amends the CCPA and imposes additional data protection obligations on companies doing business in California, including additional consumer rights processes, limitations on data uses, new audit requirements for higher risk data, and opt outs for certain uses of sensitive data. It also creates a new regulatory entity, the California Privacy Protection Agency, which is authorized to issue substantive regulations under the CPRA and could result in increased privacy and information security enforcement. Although the CCPA currently exempts certain health-related information, including clinical trial data, the CCPA and the CPRA may increase our compliance costs and potential liability. In addition to California, more U.S. states are enacting similar legislation, increasing compliance complexity and increasing risks of failures to comply. In 2023, comprehensive privacy laws in Virginia, Colorado, Connecticut, and Utah all took effect, and laws in Montana, Oregon, and Texas will take effect in 2024. In addition, laws in other U.S. states are set to take effect beyond 2024, and additional U.S. states have proposals under consideration, all of which are likely to increase our regulatory compliance costs and risks, exposure to regulatory enforcement action and other liabilities.</w:t>
      </w:r>
    </w:p>
    <w:p>
      <w:pPr>
        <w:spacing w:after="0" w:line="8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collection, use, disclosure, transfer, or other processing of personal data in the European Union, including personal health data, is subject to the General Data Protection Regulation, or GDPR, which took effect in 2018 and applies to companies within and outside of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enhances enforcement authority and imposes large penalties for noncompliance, including the potential for fines of up to €20 million or 4% of the annual global revenues of the infringer, whichever is greater. Additionally, the GDPR confers a private right of action on data subjects and consumer associations to lodge complaints with supervisory authorities, seek judicial remedies, and obtain compensation for damages resulting from violations of the GDPR. In addition, the withdrawal of the United Kingdom from the European Union and the subsequent separation of the data protection regimes of these territories mean we are required to also comply with similar data protection laws in the United Kingdom, which may lead to additional compliance costs and could increase our overall risk.</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Laws in the European Economic Area (EEA), Switzerland, and the UK on data export are also evolving. For example, the GDPR only permits exports of data outside the EU where there is a suitable data transfer solution in place to safeguard personal data (e.g. the EU Commission approved Standard Contractual Clauses or certification under the recently-adopted Data Privacy Framework). If we have to rely on third parties to carry out services for us, including processing personal data on our behalf, we are required under GDPR and similar laws in Switzerland and the UK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Future actions of EU, Swiss, and UK data protection authorities are difficult to predict. Some customers or other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86"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Numerous international,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international data protection laws. These laws and regulations are increasing in complexity and number, may change frequently and sometimes conflict.</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Other states have implemented similar laws protecting identifiable health and personal information, and most such laws differ from each other in significant ways and may not be preempted by HIPAA, thus complicating compliance efforts.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are often uncertain, contradictory, and in flux.</w:t>
      </w:r>
    </w:p>
    <w:p>
      <w:pPr>
        <w:spacing w:after="0" w:line="117" w:lineRule="exact"/>
        <w:rPr>
          <w:sz w:val="20"/>
          <w:szCs w:val="20"/>
          <w:color w:val="auto"/>
        </w:rPr>
      </w:pPr>
    </w:p>
    <w:p>
      <w:pPr>
        <w:jc w:val="both"/>
        <w:ind w:right="300" w:firstLine="509"/>
        <w:spacing w:after="0" w:line="281" w:lineRule="auto"/>
        <w:rPr>
          <w:sz w:val="20"/>
          <w:szCs w:val="20"/>
          <w:color w:val="auto"/>
        </w:rPr>
      </w:pPr>
      <w:r>
        <w:rPr>
          <w:rFonts w:ascii="Times New Roman" w:cs="Times New Roman" w:eastAsia="Times New Roman" w:hAnsi="Times New Roman"/>
          <w:sz w:val="17"/>
          <w:szCs w:val="17"/>
          <w:color w:val="auto"/>
        </w:rPr>
        <w:t>The legislative and regulatory landscape for privacy and data security continues to evolve, and there has been an increasing focus on privacy and data security issues which may affect our business. Despite our efforts, we may not have fully complied in the past and may not in the future.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26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line="266" w:lineRule="auto"/>
        <w:rPr>
          <w:sz w:val="20"/>
          <w:szCs w:val="20"/>
          <w:color w:val="auto"/>
        </w:rPr>
      </w:pPr>
      <w:r>
        <w:rPr>
          <w:rFonts w:ascii="Times New Roman" w:cs="Times New Roman" w:eastAsia="Times New Roman" w:hAnsi="Times New Roman"/>
          <w:sz w:val="18"/>
          <w:szCs w:val="18"/>
          <w:color w:val="auto"/>
        </w:rPr>
        <w:t>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cybersecurity incidents, which could result in a material disruption of our product development programs.</w:t>
      </w:r>
    </w:p>
    <w:p>
      <w:pPr>
        <w:spacing w:after="0" w:line="15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Our internal information technology, or IT, systems and those of our current and any future collaborators and other contractors, consultants, or clinical trial sites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phishing and other means to affect service reliability and threaten the confidentiality, integrity and availability of information and IT systems.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cybersecurity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The market perception of the effectiveness of our security measures could be harmed and our reputation and credibility could be damaged. Although we develop and maintain systems and controls designed to prevent these events from occurring, and we have processes to identify and mitigate threats, the development and maintenance of these systems, controls and processes is costly and requires ongoing monitoring and updating as technologies evolve and efforts to overcome security measures become increasingly sophisticated. Moreover, despite our efforts, the possibility of these events occurring cannot be eliminated entirely. In addition, there can be no assurance that we will promptly detect any such disruption or cybersecurity incident, if at all.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IT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cybersecurity incident, industrial espionage attacks or insider threat attacks which could result in financial, legal, business or reputational harm, as well as loss of competitive advantage or loss of consumer confidence.</w:t>
      </w:r>
    </w:p>
    <w:p>
      <w:pPr>
        <w:spacing w:after="0" w:line="31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Biotics, delays or other impediments to our programs or the public acceptance and commercialization of Synthetic Biotics. Further, there is a risk that Synthetic Biotics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Synthetic Biotics, product candidates and processes for our development pipeline through acquisitions and in-licenses.</w:t>
      </w:r>
    </w:p>
    <w:p>
      <w:pPr>
        <w:spacing w:after="0" w:line="5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intellectual property rights to other parties, potentially blocking our ability to pursue our program.</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8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being issued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1" w:name="page52"/>
    <w:bookmarkEnd w:id="51"/>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is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 protections for our product candidates to effectively protect our business.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29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U.S. and foreign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European patent practice is expected to change now that the European Unitary Patent (UP) and Unified Patent Court (UPC) went into force on June 1, 2023. The new system will impact both pending European applications and granted European patents, and uncertainty remains about long-term implications of this change. The UPC may particularly present uncertainties for our ability to protect and enforce our patent rights against competitors in Europe. While the UPC is being implemented to provide more certainty and efficiency to patent enforcement throughout Europe, it will also provide our competitors with a new forum to use to centrally revoke our European patents. It will be several years before we will understand the scope of patent rights that will be recognized and the strength of patent remedies that will be provided by the UPC. We will have the right to opt our patents out of the UPC system over the first seven years, but doing so may preclude us from realizing the benefits of the new unified court.</w:t>
      </w:r>
    </w:p>
    <w:p>
      <w:pPr>
        <w:spacing w:after="0" w:line="33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Periodic maintenance fees on any issued patents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2" w:name="page53"/>
    <w:bookmarkEnd w:id="52"/>
    <w:p>
      <w:pPr>
        <w:ind w:right="40"/>
        <w:spacing w:after="0" w:line="282" w:lineRule="auto"/>
        <w:rPr>
          <w:sz w:val="20"/>
          <w:szCs w:val="20"/>
          <w:color w:val="auto"/>
        </w:rPr>
      </w:pPr>
      <w:r>
        <w:rPr>
          <w:rFonts w:ascii="Times New Roman" w:cs="Times New Roman" w:eastAsia="Times New Roman" w:hAnsi="Times New Roman"/>
          <w:sz w:val="18"/>
          <w:szCs w:val="18"/>
          <w:color w:val="auto"/>
        </w:rPr>
        <w:t>properly legalize and submit formal documents. In any such event, our competitors might be able to enter the market, which would have a material adverse effect on our business.</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development and commercialization efforts.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biology. We may become aware of U.S. and foreign patents and pending patent applications owned by third parties that cover similar therapeutic uses as the product candidates we are developing and we may in the future pursue available proceedings in the U.S. and foreign patent offices to challenge the validity of such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on our licensors to file, prosecute, maintain, defend and enforce patents and patent applications that are material to our business.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2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a party to certain intellectual property license agreements and may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ind w:right="200" w:firstLine="509"/>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Europe's Unified Patent Court (UPC) may present uncertainties for our ability to protect and enforce our patent rights against competitors in Europe. Although this new court has been implemented to provide more certainty and efficiency to patent enforcement throughout Europe, it will also provide our competitors with a new forum to use to centrally challenge our patents if opted into the UPC, rather than having to seek invalidity or non-infringement decisions on a country-by-country basis. It will be several years before the scope of patent rights that will be recognized and the strength of patent remedies that will be provided is known.</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intellectual property may be subject to federal regulations such as “march-in” rights, certain reporting requirements and a preference for U.S.-based companies if it is determined that our intellectual property has been discovered through government-funded programs. Compliance with such regulations may limit our exclusive rights, and limit our ability to contract with non-U.S. manufacturers.</w:t>
      </w:r>
    </w:p>
    <w:p>
      <w:pPr>
        <w:spacing w:after="0" w:line="6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relating to such intellectual property. To the extent any of our future intellectual property is also generated through the use of U.S. government funding, the provisions of the Bayh-Dole Act may similarly apply.</w:t>
      </w:r>
    </w:p>
    <w:p>
      <w:pPr>
        <w:spacing w:after="0" w:line="30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relied on and may in the future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historically relied on and may in the future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have historically relied on and may in the future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any third-party contractors and CROs we engage will be required to comply with GLP, as applicable, and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that we engage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w:t>
      </w:r>
    </w:p>
    <w:p>
      <w:pPr>
        <w:spacing w:after="0" w:line="19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8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therapeutic product candidates it may develop.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relied on and may in the future rely on third-party supply and manufacturing partners for drug supplies for our late-stage clinical activities and may do the same for any commercial supplies of our product candidates.</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historically relied on and may in the future rely on third-party supply and manufacturing partners to supply the materials and components to manufacture parts of the process of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effective, or in an amount that satisfies our commercial needs.</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Synthetic Biotics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Although our agreements with our suppliers and manufacturers require them to perform according to certain cGMP requirements such as those relating to quality control, quality assurance and qualified personnel, we have limited control over their conduct to implement and maintain these standards.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w:t>
      </w:r>
    </w:p>
    <w:p>
      <w:pPr>
        <w:spacing w:after="0" w:line="19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our suppliers and manufacturers are subject to inspection and approval by regulatory authorities before we can commence the manufacture and sale of any of our product candidates, and thereafter are subject to ongoing inspection from time to time. Our failure, or the failure of our third-party manufacturers,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supplies of our products. Any such failure by us or any of our suppliers or manufacturers would significantly impact our ability to develop, obtain regulatory approval for or, if approved, market our product candidates.</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right="280"/>
        <w:spacing w:after="0" w:line="282" w:lineRule="auto"/>
        <w:rPr>
          <w:sz w:val="20"/>
          <w:szCs w:val="20"/>
          <w:color w:val="auto"/>
        </w:rPr>
      </w:pPr>
      <w:r>
        <w:rPr>
          <w:rFonts w:ascii="Times New Roman" w:cs="Times New Roman" w:eastAsia="Times New Roman" w:hAnsi="Times New Roman"/>
          <w:sz w:val="18"/>
          <w:szCs w:val="18"/>
          <w:color w:val="auto"/>
        </w:rPr>
        <w:t>reasonable terms, we may not be able to develop and commercialize our product candidates successfully. Our or a third-party’s failure to execute on our manufacturing requirements could adversely affect our business in a number of ways, including:</w:t>
      </w:r>
    </w:p>
    <w:p>
      <w:pPr>
        <w:spacing w:after="0" w:line="54" w:lineRule="exact"/>
        <w:rPr>
          <w:sz w:val="20"/>
          <w:szCs w:val="20"/>
          <w:color w:val="auto"/>
        </w:rPr>
      </w:pPr>
    </w:p>
    <w:p>
      <w:pPr>
        <w:ind w:left="1020" w:right="6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 which may impact our potential economic benefits;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329"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2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51" w:lineRule="exact"/>
        <w:rPr>
          <w:sz w:val="20"/>
          <w:szCs w:val="20"/>
          <w:color w:val="auto"/>
        </w:rPr>
      </w:pPr>
    </w:p>
    <w:p>
      <w:pPr>
        <w:ind w:right="180" w:firstLine="509"/>
        <w:spacing w:after="0" w:line="289" w:lineRule="auto"/>
        <w:rPr>
          <w:sz w:val="20"/>
          <w:szCs w:val="20"/>
          <w:color w:val="auto"/>
        </w:rPr>
      </w:pPr>
      <w:r>
        <w:rPr>
          <w:rFonts w:ascii="Times New Roman" w:cs="Times New Roman" w:eastAsia="Times New Roman" w:hAnsi="Times New Roman"/>
          <w:sz w:val="17"/>
          <w:szCs w:val="17"/>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9" w:name="page60"/>
    <w:bookmarkEnd w:id="59"/>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the macro-economic conditions may disfavor a collaboration, and/or third parties may not view our product candidates and programs as having sufficient potential for commercialization, including the likelihood of an adequate safety and efficacy profile.</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67" w:lineRule="exact"/>
        <w:rPr>
          <w:sz w:val="20"/>
          <w:szCs w:val="20"/>
          <w:color w:val="auto"/>
        </w:rPr>
      </w:pPr>
    </w:p>
    <w:p>
      <w:pPr>
        <w:ind w:right="240" w:firstLine="509"/>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1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0" w:name="page61"/>
    <w:bookmarkEnd w:id="60"/>
    <w:p>
      <w:pPr>
        <w:ind w:right="360"/>
        <w:spacing w:after="0" w:line="266" w:lineRule="auto"/>
        <w:rPr>
          <w:sz w:val="20"/>
          <w:szCs w:val="20"/>
          <w:color w:val="auto"/>
        </w:rPr>
      </w:pPr>
      <w:r>
        <w:rPr>
          <w:rFonts w:ascii="Times New Roman" w:cs="Times New Roman" w:eastAsia="Times New Roman" w:hAnsi="Times New Roman"/>
          <w:sz w:val="18"/>
          <w:szCs w:val="18"/>
          <w:color w:val="auto"/>
        </w:rPr>
        <w:t>candidates, we are also aware of several companies that are also working specifically to develop engineered bacteria as cellular drug therapies. Further there are several companies working to develop other similar products. Third-party payors, including governmental and private insurers, may also encourage the use of generic products.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6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have historically focused and may in the future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Even with approvals from the FDA and comparable foreign regulatory authorities, the commercial success of our products will depend in part on the healthcare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side effect profile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targeted;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approval is granted,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patients and physicians to accept products engineered from bacteria and these therapies;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sales and distribution support for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publicity concerning the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availability of third-party insurance coverage and reimbursement.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1" w:name="page62"/>
    <w:bookmarkEnd w:id="61"/>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healthcare providers, we will not be able to generate sufficient revenue to become or remain profitable.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any efforts to identify, license, discover, develop, or commercialize additional product candidates.</w:t>
      </w:r>
    </w:p>
    <w:p>
      <w:pPr>
        <w:spacing w:after="0" w:line="121" w:lineRule="exact"/>
        <w:rPr>
          <w:sz w:val="20"/>
          <w:szCs w:val="20"/>
          <w:color w:val="auto"/>
        </w:rPr>
      </w:pPr>
    </w:p>
    <w:p>
      <w:pPr>
        <w:ind w:right="20" w:firstLine="554"/>
        <w:spacing w:after="0" w:line="258" w:lineRule="auto"/>
        <w:rPr>
          <w:sz w:val="20"/>
          <w:szCs w:val="20"/>
          <w:color w:val="auto"/>
        </w:rPr>
      </w:pPr>
      <w:r>
        <w:rPr>
          <w:rFonts w:ascii="Times New Roman" w:cs="Times New Roman" w:eastAsia="Times New Roman" w:hAnsi="Times New Roman"/>
          <w:sz w:val="18"/>
          <w:szCs w:val="18"/>
          <w:color w:val="auto"/>
        </w:rPr>
        <w:t>The success of our business is expected to depend largely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75" w:lineRule="exact"/>
        <w:rPr>
          <w:sz w:val="20"/>
          <w:szCs w:val="20"/>
          <w:color w:val="auto"/>
        </w:rPr>
      </w:pPr>
    </w:p>
    <w:p>
      <w:pPr>
        <w:ind w:left="1020" w:right="4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or business development methodology or search criteria and process may be unsuccessful in identifying potential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or willing to assemble sufficient resources to acquire or discover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product candidates may be shown to have harmful side effects or may have other characteristics that may make the products unmarketable or unlikely to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development or commercialization so that such a product may become unreasonable to continue to develop or commercialize;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CMS, an agency within DHHS,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2" w:name="page63"/>
    <w:bookmarkEnd w:id="62"/>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 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on prescription drugs has increased and is expected to continue to increase in the future. As a result, profitability of our products, if any, may be more difficult to achieve even if they receive regulatory approval.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product candidates for which we obtain approval may face competition sooner than anticipated.</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ahead of our competitors, our product candidates may face competition from biosimilar products. In the United States, Synthetic Biotic products are expected to be regulated by the FDA as biological products and we intend to seek approval for these product candidates pursuant to the BLA pathway. The BPCIA created an abbreviated pathway for FDA approval of biosimilar and interchangeable biological products based on a previously licensed reference product. Under the BPCIA, an application for a biosimilar biological product cannot be approved by the FDA until 12 years after the original reference biological product was approved under a BLA. The law is complex and is still being interpreted and implemented by the FDA. As a result, its ultimate impact, implementation, and meaning are subject to uncertainty.</w:t>
      </w:r>
    </w:p>
    <w:p>
      <w:pPr>
        <w:spacing w:after="0" w:line="18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available to reference biological products. However, there is a risk that this exclusivity could be shortened due to congressional action or otherwise, or that the FDA will not consider our product candidates to be reference biological products pursuant to its interpretation of the exclusivity provisions of the BPCIA for competing products, potentially creating the opportunity for generic follow-on biosimilar competition sooner than anticipated. Moreover, the extent to which a biosimilar product, once approved, will be substituted for any one of our reference products in a way that is similar to traditional generic substitution for non-biological products is not yet clear, and will depend on a number of marketplace and regulatory factors that are still developing including whether a future competitor seeks an interchangeability designation for a biosimilar of one of our products. Under the BPCIA as well as state pharmacy laws, only interchangeable biosimilar products are considered substitutable for the reference biological product without the intervention of the healthcare provider who prescribed the original biological product. However, as with all prescribing decisions made in the context of a patient-provider relationship and a patient’s specific medical needs, healthcare providers are not restricted from prescribing biosimilar products in an off-label manner. In addition, a competitor could decide to forego the abbreviated approval pathway available for biosimilar products and to submit a full BLA for product licensure after completing its own preclinical studies and clinical trials. In such a situation, any exclusivity to which we may be eligible under the BPCIA would not prevent the competitor from marketing its biological product as soon as it is approved.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the CREATES Act established a private cause of action that permits a follow-on product developer to sue the brand manufacturer to compel it to furnish necessary samples of a reference product on “commercially reasonable, market-based terms.” If follow-on product developers request samples of any product candidates for which we receive marketing approval in order to conduct comparative testing to support one or more applications for a follow-on version of our products, and we refuse any such request, we may be subject to litigation under the CREATES Act.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spacing w:after="0" w:line="18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 products pursuant to a set of general and product class-specific guidelines for biosimilar approvals issued over the past few years. In addition, companies may be developing biosimilar products in other countries that could compete with our products, if approved.</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 candidates, if approved, our future products may become subject to competition from such biosimilars, whether or not they are designated as interchangeable, with the attendant competitive pressure and potential adverse consequences. Such competitive products may be able to immediately compete with us in each indication for which our product candidates may have received approval.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Employees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success depends in part on our ability to attract, retain and motivate highly qualified management, clinical and scientific personnel.</w:t>
      </w:r>
    </w:p>
    <w:p>
      <w:pPr>
        <w:spacing w:after="0" w:line="22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August 1, 2024, our executive officers and directors, together with holders of 5% or more of our common stock outstanding and their respective affiliates, beneficially own the majority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largest stockholders have significant influence over us, including influence over decisions that require the approval of stockholders, which could limit our stockholders’ ability to influence the outcome of key transactions, including a change of control.</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August 1, 2024, affiliates of Cable Car Capital LLC (“Cable Car”) and New Enterprise Associates 14, L.P. (“NEA 14”) owned approximately 28% and 25% of our outstanding common stock, respectively. Although we are not a “controlled company” within the meaning of the corporate governance standards of the New York Stock Exchange, affiliates of Cable Car and NEA 14 are able to significantly influence our decisions.</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Additionally, Cable Car’s and NEA 14’s interests may not align with the interests of our other stockholders. Both Cable Car and NEA 14 may make investments in companies and may acquire and hold interests in businesses that compete directly or indirectly with us. They may also pursue acquisition opportunities that may be complementary to our business, and, as a result, those acquisition opportunities may not be available to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securities convertible or exchangeable for our common stock may depress our stock price.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August 1, 2024, there were a total of 11,696,109 shares of our common stock outstanding.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and vesting provisions, as applicable.</w:t>
      </w:r>
    </w:p>
    <w:p>
      <w:pPr>
        <w:spacing w:after="0" w:line="2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our operating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modification or termination of government contracts or grants, and the timing of payments we receive under these arrangements;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under these arrangements;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140"/>
        <w:spacing w:after="0" w:line="282" w:lineRule="auto"/>
        <w:rPr>
          <w:sz w:val="20"/>
          <w:szCs w:val="20"/>
          <w:color w:val="auto"/>
        </w:rPr>
      </w:pPr>
      <w:r>
        <w:rPr>
          <w:rFonts w:ascii="Times New Roman" w:cs="Times New Roman" w:eastAsia="Times New Roman" w:hAnsi="Times New Roman"/>
          <w:sz w:val="18"/>
          <w:szCs w:val="18"/>
          <w:color w:val="auto"/>
        </w:rPr>
        <w:t>attempt by our stockholders to replace or remove our current management by making it more difficult to replace or remove our Board of Directors. These provisions include:</w:t>
      </w:r>
    </w:p>
    <w:p>
      <w:pPr>
        <w:spacing w:after="0" w:line="54"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directors are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 notice requirement for stockholder proposals and nominations;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9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Provisions in our charter and other provisions of Delaware law could limit the price that investors are willing to pay in the future for shares of our common stock.</w:t>
      </w:r>
    </w:p>
    <w:p>
      <w:pPr>
        <w:spacing w:after="0" w:line="26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6" w:name="page67"/>
    <w:bookmarkEnd w:id="66"/>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as a result of being a public company, and our management will continue to devote substantial time to compliance initiatives and corporate governance practices.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The Sarbanes-Oxley Act of 2002,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spacing w:after="0" w:line="84"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and was previously listed on the Nasdaq Global Market. To maintain the listing of our common stock on the Nasdaq Global Market, we were required to satisfy minimum financial and other continued listing requirements and standards, including those related to the price of our common stock. On December 6, 2022, we received a written notice from the Listing Qualifications Department of the Nasdaq Stock Market (Nasdaq) notifying us that, based on the closing bid price of our common stock being below $1.00 per share for 30 consecutive business days, we no longer complied with Nasdaq’s minimum bid price requirement in Listing Rule 5450(a)(1) for continued listing on the Nasdaq Global Market.</w:t>
      </w:r>
    </w:p>
    <w:p>
      <w:pPr>
        <w:spacing w:after="0" w:line="7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Pursuant to Nasdaq Listing Rule 5810(c)(3)(A), we were provided an initial compliance period of 180 calendar days from receipt of the Notice, or until June 5, 2023, to regain compliance with the minimum bid price requirement. To regain compliance, the bid price for our common stock would need to close at $1.00 per share or more for a minimum of 10 consecutive business days during this 180-day grace period, among other requirements.</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May 25, 2023, we submitted to the Listing Qualifications Department of Nasdaq an application to transfer the listing of our common stock from The Nasdaq Global Market to The Nasdaq Capital Market. On June 6, 2023, we received a notice (Extension Notice) from the Listing Qualifications Department informing us that Nasdaq granted us an additional 180 calendar days, or until December 4, 2023 to regain compliance with the minimum closing bid price requirement for continued listing on The Nasdaq Capital Market under Nasdaq Marketplace Rule 5550(a)(2). In connection with the Extension Notice, the listing of our common stock was transferred from the Nasdaq Global Market to the Nasdaq Capital Market, effective as of June 7, 2023. The Extension Notice had no other immediate effect on the listing of our common stock.</w:t>
      </w:r>
    </w:p>
    <w:p>
      <w:pPr>
        <w:spacing w:after="0" w:line="7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September 27, 2023, we implemented a reverse stock split of our shares of common stock, pursuant to which every fifteen (15) shares of our issued and outstanding common stock was automatically converted into one (1) issued and outstanding share of common stock without any change in the par value of $0.001 per share. The reverse stock split was approved by our stockholders on September 21, 2023 at our Special Meeting of stockholders.</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October 13, 2023, we received a written notice from the Listing Qualifications Department of Nasdaq notifying us that we had regained compliance with Listing Rule 5550(a)(2) and that this matter was closed. However, there can be no assurance that we will comply with the minimum bid price requirement in the future nor, is there any assurance that our common stock would never be delisted from Nasdaq at some future date. If our common stock were to be delisted from Nasdaq and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 Also, it may be difficult for us to raise additional capital if we are not listed on a major exchange.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30, 2024, none of our directors or executive officers adopted, modified or terminated any contract, instruction or written plan for the purchase or sale of our securities that was intended to satisfy the affirmative defense conditions of Rule 10b5-1 (c) or any "non-Rule 10b5-1 trading arrangement."</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360" w:type="dxa"/>
            <w:vAlign w:val="bottom"/>
            <w:gridSpan w:val="1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gridSpan w:val="1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18"/>
        </w:trPr>
        <w:tc>
          <w:tcPr>
            <w:tcW w:w="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4"/>
                <w:szCs w:val="24"/>
                <w:color w:val="auto"/>
              </w:rPr>
            </w:pPr>
          </w:p>
        </w:tc>
        <w:tc>
          <w:tcPr>
            <w:tcW w:w="5580" w:type="dxa"/>
            <w:vAlign w:val="bottom"/>
            <w:gridSpan w:val="16"/>
          </w:tcPr>
          <w:p>
            <w:pPr>
              <w:spacing w:after="0"/>
              <w:rPr>
                <w:rFonts w:ascii="Times New Roman" w:cs="Times New Roman" w:eastAsia="Times New Roman" w:hAnsi="Times New Roman"/>
                <w:sz w:val="16"/>
                <w:szCs w:val="16"/>
                <w:color w:val="0000FF"/>
              </w:rPr>
            </w:pPr>
            <w:hyperlink r:id="rId291">
              <w:r>
                <w:rPr>
                  <w:rFonts w:ascii="Times New Roman" w:cs="Times New Roman" w:eastAsia="Times New Roman" w:hAnsi="Times New Roman"/>
                  <w:sz w:val="16"/>
                  <w:szCs w:val="16"/>
                  <w:color w:val="0000FF"/>
                </w:rPr>
                <w:t>Certificate of Designation of Series A Junior Participating Preferred Stock of</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Form 8-K</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2/20/2024</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001-37566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rFonts w:ascii="Times New Roman" w:cs="Times New Roman" w:eastAsia="Times New Roman" w:hAnsi="Times New Roman"/>
                <w:sz w:val="16"/>
                <w:szCs w:val="16"/>
                <w:color w:val="0000FF"/>
              </w:rPr>
            </w:pPr>
            <w:hyperlink r:id="rId291">
              <w:r>
                <w:rPr>
                  <w:rFonts w:ascii="Times New Roman" w:cs="Times New Roman" w:eastAsia="Times New Roman" w:hAnsi="Times New Roman"/>
                  <w:sz w:val="16"/>
                  <w:szCs w:val="16"/>
                  <w:color w:val="0000FF"/>
                </w:rPr>
                <w:t>Synlogic, Inc., as filed with the Secretary of State of the State of Delaware on</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rFonts w:ascii="Times New Roman" w:cs="Times New Roman" w:eastAsia="Times New Roman" w:hAnsi="Times New Roman"/>
                <w:sz w:val="16"/>
                <w:szCs w:val="16"/>
                <w:color w:val="0000FF"/>
              </w:rPr>
            </w:pPr>
            <w:hyperlink r:id="rId291">
              <w:r>
                <w:rPr>
                  <w:rFonts w:ascii="Times New Roman" w:cs="Times New Roman" w:eastAsia="Times New Roman" w:hAnsi="Times New Roman"/>
                  <w:sz w:val="16"/>
                  <w:szCs w:val="16"/>
                  <w:color w:val="0000FF"/>
                </w:rPr>
                <w:t>February 20, 2024.</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24"/>
                <w:szCs w:val="24"/>
                <w:color w:val="auto"/>
              </w:rPr>
            </w:pPr>
          </w:p>
        </w:tc>
        <w:tc>
          <w:tcPr>
            <w:tcW w:w="5580" w:type="dxa"/>
            <w:vAlign w:val="bottom"/>
            <w:gridSpan w:val="16"/>
          </w:tcPr>
          <w:p>
            <w:pPr>
              <w:spacing w:after="0"/>
              <w:rPr>
                <w:rFonts w:ascii="Times New Roman" w:cs="Times New Roman" w:eastAsia="Times New Roman" w:hAnsi="Times New Roman"/>
                <w:sz w:val="16"/>
                <w:szCs w:val="16"/>
                <w:color w:val="0000FF"/>
              </w:rPr>
            </w:pPr>
            <w:hyperlink r:id="rId292">
              <w:r>
                <w:rPr>
                  <w:rFonts w:ascii="Times New Roman" w:cs="Times New Roman" w:eastAsia="Times New Roman" w:hAnsi="Times New Roman"/>
                  <w:sz w:val="16"/>
                  <w:szCs w:val="16"/>
                  <w:color w:val="0000FF"/>
                </w:rPr>
                <w:t>Rights Agreement, dated as of February 20, 2024, between Synlogic, Inc. and</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Form 8-K</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2/20/2024</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001-37566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rFonts w:ascii="Times New Roman" w:cs="Times New Roman" w:eastAsia="Times New Roman" w:hAnsi="Times New Roman"/>
                <w:sz w:val="16"/>
                <w:szCs w:val="16"/>
                <w:color w:val="0000FF"/>
              </w:rPr>
            </w:pPr>
            <w:hyperlink r:id="rId292">
              <w:r>
                <w:rPr>
                  <w:rFonts w:ascii="Times New Roman" w:cs="Times New Roman" w:eastAsia="Times New Roman" w:hAnsi="Times New Roman"/>
                  <w:sz w:val="16"/>
                  <w:szCs w:val="16"/>
                  <w:color w:val="0000FF"/>
                </w:rPr>
                <w:t>Equiniti Trust Company LLC, as rights agent.</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17"/>
                <w:szCs w:val="17"/>
                <w:color w:val="auto"/>
              </w:rPr>
              <w:t>†</w:t>
            </w: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16"/>
          </w:tcPr>
          <w:p>
            <w:pPr>
              <w:spacing w:after="0"/>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Statement of Work dated May 3, 2024 pursuant to Master Contract Services</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Form 10-Q</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05/14/2024</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001-37566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Agreement between Synlogic, Inc. and Azzur Group (d/b/a Azzur of New England</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LLC), SOW P-Cleanroom Offboarding CR3</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10.2</w:t>
            </w:r>
            <w:r>
              <w:rPr>
                <w:rFonts w:ascii="Times New Roman" w:cs="Times New Roman" w:eastAsia="Times New Roman" w:hAnsi="Times New Roman"/>
                <w:sz w:val="17"/>
                <w:szCs w:val="17"/>
                <w:color w:val="auto"/>
              </w:rPr>
              <w:t>†</w:t>
            </w: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Lease Termination Agreement by and between BMR-Rogers Street LLC and</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Synlogic, Inc.</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24"/>
                <w:szCs w:val="24"/>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First Amendment to Separation Agreement by and between Synlogic, Inc. and</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Antoine Awad, dated as of February 17, 2024</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4"/>
                <w:szCs w:val="24"/>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First Amendment to Retention Bonus Agreement by and between Synlogic, Inc. and</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Antoine Awad, dated as of March 7, 2024</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24"/>
                <w:szCs w:val="24"/>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First Amendment to Separation Agreement by and between Synlogic, Inc. and Mary</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Beth Dooley, dated as of February 17, 2024</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24"/>
                <w:szCs w:val="24"/>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First Amendment to Retention Bonus Agreement by and between Synlogic, Inc. and</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5"/>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Mary Beth Dooley, dated as of March 7, 2024</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5"/>
            <w:shd w:val="clear" w:color="auto" w:fill="0000FF"/>
          </w:tcPr>
          <w:p>
            <w:pPr>
              <w:spacing w:after="0" w:line="20" w:lineRule="exact"/>
              <w:rPr>
                <w:sz w:val="1"/>
                <w:szCs w:val="1"/>
                <w:color w:val="auto"/>
              </w:rPr>
            </w:pPr>
          </w:p>
        </w:tc>
        <w:tc>
          <w:tcPr>
            <w:tcW w:w="1480" w:type="dxa"/>
            <w:vAlign w:val="bottom"/>
            <w:tcBorders>
              <w:left w:val="single" w:sz="8" w:color="0000EE"/>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24"/>
                <w:szCs w:val="24"/>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required by Rule 13a-14(a) or Rule 15d-</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tcBorders>
              <w:right w:val="single" w:sz="8" w:color="0000FF"/>
            </w:tcBorders>
            <w:gridSpan w:val="6"/>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14(a).</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24"/>
                <w:szCs w:val="24"/>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Interim Chief Financial Officer required by Rule 13a-14(a) or Rule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740" w:type="dxa"/>
            <w:vAlign w:val="bottom"/>
            <w:tcBorders>
              <w:right w:val="single" w:sz="8" w:color="0000FF"/>
            </w:tcBorders>
            <w:gridSpan w:val="6"/>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15d-14(a).</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24"/>
                <w:szCs w:val="24"/>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20" w:type="dxa"/>
            <w:vAlign w:val="bottom"/>
            <w:tcBorders>
              <w:right w:val="single" w:sz="8" w:color="0000FF"/>
            </w:tcBorders>
            <w:gridSpan w:val="8"/>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Chapter 63 of Title 18 of the United States Code (18 U.S.C. §1350).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8"/>
            <w:shd w:val="clear" w:color="auto" w:fill="0000FF"/>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24"/>
                <w:szCs w:val="24"/>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0" w:type="dxa"/>
            <w:vAlign w:val="bottom"/>
            <w:gridSpan w:val="12"/>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Chapter 63 of Title 18 of the United States Code (18 U.S.C. §1350).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8"/>
            <w:shd w:val="clear" w:color="auto" w:fill="0000FF"/>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24"/>
                <w:szCs w:val="24"/>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Interactive Date File because XBRL tags are embedded within the Inline XBRL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document.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24"/>
                <w:szCs w:val="24"/>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4"/>
                <w:szCs w:val="24"/>
                <w:color w:val="auto"/>
              </w:rPr>
            </w:pPr>
          </w:p>
        </w:tc>
        <w:tc>
          <w:tcPr>
            <w:tcW w:w="55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66865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2" w:lineRule="exact"/>
        <w:rPr>
          <w:sz w:val="20"/>
          <w:szCs w:val="20"/>
          <w:color w:val="auto"/>
        </w:rPr>
      </w:pPr>
    </w:p>
    <w:p>
      <w:pPr>
        <w:ind w:right="80" w:firstLine="8"/>
        <w:spacing w:after="0" w:line="275" w:lineRule="auto"/>
        <w:tabs>
          <w:tab w:leader="none" w:pos="22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Portions of this exhibit (indicated by asterisks) have been omitted in accordance with the rules of the Securities and Exchange Commission.</w:t>
      </w:r>
    </w:p>
    <w:p>
      <w:pPr>
        <w:spacing w:after="0" w:line="5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Management contract or compensatory plans or arrangements.</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69" w:name="page70"/>
    <w:bookmarkEnd w:id="69"/>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3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SYNLOGIC, INC.</w:t>
      </w:r>
    </w:p>
    <w:p>
      <w:pPr>
        <w:spacing w:after="0" w:line="306" w:lineRule="exact"/>
        <w:rPr>
          <w:sz w:val="20"/>
          <w:szCs w:val="20"/>
          <w:color w:val="auto"/>
        </w:rPr>
      </w:pPr>
    </w:p>
    <w:p>
      <w:pPr>
        <w:ind w:left="688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ANTOINE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26035</wp:posOffset>
            </wp:positionV>
            <wp:extent cx="24688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Antoine Awad</w:t>
      </w:r>
    </w:p>
    <w:p>
      <w:pPr>
        <w:spacing w:after="0" w:line="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09" w:lineRule="exact"/>
        <w:rPr>
          <w:sz w:val="20"/>
          <w:szCs w:val="20"/>
          <w:color w:val="auto"/>
        </w:rPr>
      </w:pPr>
    </w:p>
    <w:p>
      <w:pPr>
        <w:ind w:left="688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 BETH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26035</wp:posOffset>
            </wp:positionV>
            <wp:extent cx="24688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Mary Beth Dooley</w:t>
      </w:r>
    </w:p>
    <w:p>
      <w:pPr>
        <w:spacing w:after="0" w:line="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Head of Finance</w:t>
      </w:r>
    </w:p>
    <w:p>
      <w:pPr>
        <w:spacing w:after="0" w:line="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81" w:right="71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38" w:lineRule="exact"/>
        <w:rPr>
          <w:sz w:val="20"/>
          <w:szCs w:val="20"/>
          <w:color w:val="auto"/>
        </w:rPr>
      </w:pPr>
    </w:p>
    <w:p>
      <w:pPr>
        <w:ind w:right="340" w:firstLine="8"/>
        <w:spacing w:after="0" w:line="254" w:lineRule="auto"/>
        <w:tabs>
          <w:tab w:leader="none" w:pos="47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LEASE TERMINATION AGREEMENT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LEASE TERMINATION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entered into as of this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day of June 2024 (“</w:t>
      </w: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by and between BMR-ROGERS STREET LLC, a Delaware limited liability company (“</w:t>
      </w:r>
      <w:r>
        <w:rPr>
          <w:rFonts w:ascii="Times New Roman" w:cs="Times New Roman" w:eastAsia="Times New Roman" w:hAnsi="Times New Roman"/>
          <w:sz w:val="22"/>
          <w:szCs w:val="22"/>
          <w:u w:val="single" w:color="auto"/>
          <w:color w:val="auto"/>
        </w:rPr>
        <w:t>BMR</w:t>
      </w:r>
      <w:r>
        <w:rPr>
          <w:rFonts w:ascii="Times New Roman" w:cs="Times New Roman" w:eastAsia="Times New Roman" w:hAnsi="Times New Roman"/>
          <w:sz w:val="22"/>
          <w:szCs w:val="22"/>
          <w:color w:val="auto"/>
        </w:rPr>
        <w:t>”), and SYNLOGIC, INC., a Delaware corporation (“</w:t>
      </w:r>
      <w:r>
        <w:rPr>
          <w:rFonts w:ascii="Times New Roman" w:cs="Times New Roman" w:eastAsia="Times New Roman" w:hAnsi="Times New Roman"/>
          <w:sz w:val="22"/>
          <w:szCs w:val="22"/>
          <w:u w:val="single" w:color="auto"/>
          <w:color w:val="auto"/>
        </w:rPr>
        <w:t>Synlogic</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1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A. WHEREAS, BMR and Synlogic entered into that certain Lease dated as of July 25, 2017 (as the same may have been amended, amended restated, supplemented, assigned or otherwise modified from time to time, the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 whereby Synlogic leases certain premises (the “</w:t>
      </w:r>
      <w:r>
        <w:rPr>
          <w:rFonts w:ascii="Times New Roman" w:cs="Times New Roman" w:eastAsia="Times New Roman" w:hAnsi="Times New Roman"/>
          <w:sz w:val="21"/>
          <w:szCs w:val="21"/>
          <w:u w:val="single" w:color="auto"/>
          <w:color w:val="auto"/>
        </w:rPr>
        <w:t>Premises</w:t>
      </w:r>
      <w:r>
        <w:rPr>
          <w:rFonts w:ascii="Times New Roman" w:cs="Times New Roman" w:eastAsia="Times New Roman" w:hAnsi="Times New Roman"/>
          <w:sz w:val="21"/>
          <w:szCs w:val="21"/>
          <w:color w:val="auto"/>
        </w:rPr>
        <w:t>”) from BMR at 301 Binney Street in Cambridge, Massachusetts (the “</w:t>
      </w:r>
      <w:r>
        <w:rPr>
          <w:rFonts w:ascii="Times New Roman" w:cs="Times New Roman" w:eastAsia="Times New Roman" w:hAnsi="Times New Roman"/>
          <w:sz w:val="21"/>
          <w:szCs w:val="21"/>
          <w:u w:val="single" w:color="auto"/>
          <w:color w:val="auto"/>
        </w:rPr>
        <w:t>Building</w:t>
      </w:r>
      <w:r>
        <w:rPr>
          <w:rFonts w:ascii="Times New Roman" w:cs="Times New Roman" w:eastAsia="Times New Roman" w:hAnsi="Times New Roman"/>
          <w:sz w:val="21"/>
          <w:szCs w:val="21"/>
          <w:color w:val="auto"/>
        </w:rPr>
        <w:t>”); and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 WHEREAS, BMR and Synlogic desire to terminate the Lease in accordance with the following provisions.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not defined herein shall have the meanings given them in the Lease.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BMR and Synlogic, in consideration of the mutual promises contained herein and for other good and valuable consideration, the receipt and sufficiency of which are hereby acknowledged, and intending to be legally bound, agree as follows:</w:t>
      </w:r>
    </w:p>
    <w:p>
      <w:pPr>
        <w:spacing w:after="0" w:line="173" w:lineRule="exact"/>
        <w:rPr>
          <w:sz w:val="20"/>
          <w:szCs w:val="20"/>
          <w:color w:val="auto"/>
        </w:rPr>
      </w:pPr>
    </w:p>
    <w:p>
      <w:pPr>
        <w:jc w:val="both"/>
        <w:ind w:firstLine="757"/>
        <w:spacing w:after="0" w:line="248" w:lineRule="auto"/>
        <w:tabs>
          <w:tab w:leader="none" w:pos="1018" w:val="left"/>
        </w:tabs>
        <w:numPr>
          <w:ilvl w:val="0"/>
          <w:numId w:val="5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Synlogic shall cause the Premises to be surrendered to BMR in vacant, broom clean condition and in the condition required under the Lease no later than June 30, 2024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xml:space="preserve">”). Notwithstanding the foregoing, (a) Synlogic shall not be required to remove any wiring and cabling in the Premises, and (b) Synlogic shall surrender the furniture, fixtures and equipment itemized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u w:val="single" w:color="auto"/>
          <w:color w:val="auto"/>
        </w:rPr>
        <w:t>Surrendered Furniture</w:t>
      </w:r>
      <w:r>
        <w:rPr>
          <w:rFonts w:ascii="Times New Roman" w:cs="Times New Roman" w:eastAsia="Times New Roman" w:hAnsi="Times New Roman"/>
          <w:sz w:val="21"/>
          <w:szCs w:val="21"/>
          <w:color w:val="auto"/>
        </w:rPr>
        <w:t xml:space="preserve">”) in the Premises on the Termination Date. BMR shall provide reasonable access to the Premises to Synlogic for a period of thirty (30) days from and after the Termination Date for Synlogic to remove additional furniture, fixtures and equipment that are not included in the Surrendered Furniture,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Synlogic shall comply with any reasonable requirements of BMR in connection with such removal.</w:t>
      </w:r>
    </w:p>
    <w:p>
      <w:pPr>
        <w:spacing w:after="0" w:line="170" w:lineRule="exact"/>
        <w:rPr>
          <w:rFonts w:ascii="Times New Roman" w:cs="Times New Roman" w:eastAsia="Times New Roman" w:hAnsi="Times New Roman"/>
          <w:sz w:val="21"/>
          <w:szCs w:val="21"/>
          <w:u w:val="single" w:color="auto"/>
          <w:color w:val="auto"/>
        </w:rPr>
      </w:pPr>
    </w:p>
    <w:p>
      <w:pPr>
        <w:jc w:val="both"/>
        <w:ind w:firstLine="757"/>
        <w:spacing w:after="0" w:line="249" w:lineRule="auto"/>
        <w:tabs>
          <w:tab w:leader="none" w:pos="1018" w:val="left"/>
        </w:tabs>
        <w:numPr>
          <w:ilvl w:val="0"/>
          <w:numId w:val="5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Termination Fee</w:t>
      </w:r>
      <w:r>
        <w:rPr>
          <w:rFonts w:ascii="Times New Roman" w:cs="Times New Roman" w:eastAsia="Times New Roman" w:hAnsi="Times New Roman"/>
          <w:sz w:val="21"/>
          <w:szCs w:val="21"/>
          <w:color w:val="auto"/>
        </w:rPr>
        <w:t>. In consideration for the termination of the Lease prior to the scheduled Term Expiration Date pursuant to this Agreement, the sufficiency of which is hereby acknowledged, on the earlier of (x) the Termination Date and (y) the date that is ten (10) Business Days following the Execution Date, Synlogic shall pay to BMR, by wire transfer in immediately available funds, a termination fee equal to $10,603,197.36 (the “</w:t>
      </w:r>
      <w:r>
        <w:rPr>
          <w:rFonts w:ascii="Times New Roman" w:cs="Times New Roman" w:eastAsia="Times New Roman" w:hAnsi="Times New Roman"/>
          <w:sz w:val="21"/>
          <w:szCs w:val="21"/>
          <w:u w:val="single" w:color="auto"/>
          <w:color w:val="auto"/>
        </w:rPr>
        <w:t>Termination Fee</w:t>
      </w:r>
      <w:r>
        <w:rPr>
          <w:rFonts w:ascii="Times New Roman" w:cs="Times New Roman" w:eastAsia="Times New Roman" w:hAnsi="Times New Roman"/>
          <w:sz w:val="21"/>
          <w:szCs w:val="21"/>
          <w:color w:val="auto"/>
        </w:rPr>
        <w:t>”). Notwithstanding the provisions of Article 11 of the Lease or anything in the Lease to the contrary, BMR and Synlogic agree that on or prior to the Termination Date, BMR shall draw down all of the L/C Security in the amount of $1,047,432.00 and credit it against the Termination Fee,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spacing w:after="0" w:line="258" w:lineRule="auto"/>
        <w:rPr>
          <w:sz w:val="20"/>
          <w:szCs w:val="20"/>
          <w:color w:val="auto"/>
        </w:rPr>
      </w:pPr>
      <w:r>
        <w:rPr>
          <w:rFonts w:ascii="Times New Roman" w:cs="Times New Roman" w:eastAsia="Times New Roman" w:hAnsi="Times New Roman"/>
          <w:sz w:val="22"/>
          <w:szCs w:val="22"/>
          <w:color w:val="auto"/>
        </w:rPr>
        <w:t xml:space="preserve">therefore Synlogic shall pay the balance of the Termination Fee to BMR in the amount of $9,555,765.36 in accordance with the terms of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57"/>
        <w:spacing w:after="0" w:line="234" w:lineRule="auto"/>
        <w:tabs>
          <w:tab w:leader="none" w:pos="1018"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Lease Termination</w:t>
      </w:r>
      <w:r>
        <w:rPr>
          <w:rFonts w:ascii="Times New Roman" w:cs="Times New Roman" w:eastAsia="Times New Roman" w:hAnsi="Times New Roman"/>
          <w:sz w:val="22"/>
          <w:szCs w:val="22"/>
          <w:color w:val="auto"/>
        </w:rPr>
        <w:t xml:space="preserve">. Provided that Synlogic has fully satisfied all of its obligations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Agreement (“</w:t>
      </w:r>
      <w:r>
        <w:rPr>
          <w:rFonts w:ascii="Times New Roman" w:cs="Times New Roman" w:eastAsia="Times New Roman" w:hAnsi="Times New Roman"/>
          <w:sz w:val="22"/>
          <w:szCs w:val="22"/>
          <w:u w:val="single" w:color="auto"/>
          <w:color w:val="auto"/>
        </w:rPr>
        <w:t>Termination Conditions</w:t>
      </w:r>
      <w:r>
        <w:rPr>
          <w:rFonts w:ascii="Times New Roman" w:cs="Times New Roman" w:eastAsia="Times New Roman" w:hAnsi="Times New Roman"/>
          <w:sz w:val="22"/>
          <w:szCs w:val="22"/>
          <w:color w:val="auto"/>
        </w:rPr>
        <w:t>”), and that all Rent due to BMR under the Lease through the Termination Date has been paid to BMR in full, then the Lease shall terminate effective as of 11:59 p.m. Eastern time on the Termination Date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BMR reserves the right to waive any of the Termination Conditions in its sole discretion. As of the Lease Termination, the Lease shall be fully and finally surrendered and terminated and shall no longer be of any force or effect, except for those provisions that, by their express terms, survive the expiration or earlier termination of the Lease. In the event that any of the Termination Conditions have not been satisfied or waived by BMR on or before the Termination Date, this Agreement shall automatically terminate on the Termination Date, except for those provisions that, by their express terms, survive the expiration of earlier termination of this Agreement, the Lease shall continue in full force and effect, and BMR shall refund to Synlogic any Termination Fee actually received by BMR.</w:t>
      </w:r>
    </w:p>
    <w:p>
      <w:pPr>
        <w:spacing w:after="0" w:line="179" w:lineRule="exact"/>
        <w:rPr>
          <w:rFonts w:ascii="Times New Roman" w:cs="Times New Roman" w:eastAsia="Times New Roman" w:hAnsi="Times New Roman"/>
          <w:sz w:val="22"/>
          <w:szCs w:val="22"/>
          <w:u w:val="single" w:color="auto"/>
          <w:color w:val="auto"/>
        </w:rPr>
      </w:pPr>
    </w:p>
    <w:p>
      <w:pPr>
        <w:jc w:val="both"/>
        <w:ind w:firstLine="757"/>
        <w:spacing w:after="0" w:line="233" w:lineRule="auto"/>
        <w:tabs>
          <w:tab w:leader="none" w:pos="1018"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Qualifying Synlogic Transaction</w:t>
      </w:r>
      <w:r>
        <w:rPr>
          <w:rFonts w:ascii="Times New Roman" w:cs="Times New Roman" w:eastAsia="Times New Roman" w:hAnsi="Times New Roman"/>
          <w:sz w:val="22"/>
          <w:szCs w:val="22"/>
          <w:color w:val="auto"/>
        </w:rPr>
        <w:t xml:space="preserve">. In the event that prior to or within twelve (12) months of the Termination Date, Synlogic enters into one or more transactions for the sale, pledge, encumbrance or other transfer of all or any material portion of Synlogic’s business, assets or equity interests, including without limitation by merger or the sale of all or substantially all of Synlogic’s assets, in any case at a valuation for Synlogic’s assets equal to or greater than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Qualifying Synlogic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then Synlogic shall pay to BMR, by wire transfer in immediately available funds, an additional fee equal to Two and One-Half Million Dollars $2,500,000.00 (the “</w:t>
      </w:r>
      <w:r>
        <w:rPr>
          <w:rFonts w:ascii="Times New Roman" w:cs="Times New Roman" w:eastAsia="Times New Roman" w:hAnsi="Times New Roman"/>
          <w:sz w:val="22"/>
          <w:szCs w:val="22"/>
          <w:u w:val="single" w:color="auto"/>
          <w:color w:val="auto"/>
        </w:rPr>
        <w:t>Additional Fee</w:t>
      </w:r>
      <w:r>
        <w:rPr>
          <w:rFonts w:ascii="Times New Roman" w:cs="Times New Roman" w:eastAsia="Times New Roman" w:hAnsi="Times New Roman"/>
          <w:sz w:val="22"/>
          <w:szCs w:val="22"/>
          <w:color w:val="auto"/>
        </w:rPr>
        <w:t xml:space="preserve">”); provided, however, that a Sale of Synlogic’s equity interests in connection with a reverse merger transaction (e.g., a private placement or other financing in connection with a reverse merger transaction) shall not be considered a Qualifying Synlogic Transaction for purposes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Additional Fee, if any, shall be due and payable to BMR on the closing date for the applicable Qualifying Synlogic Transaction and shall be paid to BMR in consideration for the termination of the Lease prior to the scheduled Term Expiration Date in accordance with this Agreement, the sufficiency of which is hereby acknowledged.</w:t>
      </w:r>
    </w:p>
    <w:p>
      <w:pPr>
        <w:spacing w:after="0" w:line="187" w:lineRule="exact"/>
        <w:rPr>
          <w:rFonts w:ascii="Times New Roman" w:cs="Times New Roman" w:eastAsia="Times New Roman" w:hAnsi="Times New Roman"/>
          <w:sz w:val="22"/>
          <w:szCs w:val="22"/>
          <w:u w:val="single" w:color="auto"/>
          <w:color w:val="auto"/>
        </w:rPr>
      </w:pPr>
    </w:p>
    <w:p>
      <w:pPr>
        <w:jc w:val="both"/>
        <w:ind w:firstLine="757"/>
        <w:spacing w:after="0" w:line="235" w:lineRule="auto"/>
        <w:tabs>
          <w:tab w:leader="none" w:pos="1018"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Qualifying New Lease</w:t>
      </w:r>
      <w:r>
        <w:rPr>
          <w:rFonts w:ascii="Times New Roman" w:cs="Times New Roman" w:eastAsia="Times New Roman" w:hAnsi="Times New Roman"/>
          <w:sz w:val="22"/>
          <w:szCs w:val="22"/>
          <w:color w:val="auto"/>
        </w:rPr>
        <w:t>. In the event that prior to June 30, 2025 (the “</w:t>
      </w:r>
      <w:r>
        <w:rPr>
          <w:rFonts w:ascii="Times New Roman" w:cs="Times New Roman" w:eastAsia="Times New Roman" w:hAnsi="Times New Roman"/>
          <w:sz w:val="22"/>
          <w:szCs w:val="22"/>
          <w:u w:val="single" w:color="auto"/>
          <w:color w:val="auto"/>
        </w:rPr>
        <w:t>Tail Period</w:t>
      </w:r>
      <w:r>
        <w:rPr>
          <w:rFonts w:ascii="Times New Roman" w:cs="Times New Roman" w:eastAsia="Times New Roman" w:hAnsi="Times New Roman"/>
          <w:sz w:val="22"/>
          <w:szCs w:val="22"/>
          <w:color w:val="auto"/>
        </w:rPr>
        <w:t>”) (x) BMR enters into a lease with a third party to lease all but not less than all of the Premises on market rate terms and (y) such third party tenant has commenced to pay base rent under such lease (a “</w:t>
      </w:r>
      <w:r>
        <w:rPr>
          <w:rFonts w:ascii="Times New Roman" w:cs="Times New Roman" w:eastAsia="Times New Roman" w:hAnsi="Times New Roman"/>
          <w:sz w:val="22"/>
          <w:szCs w:val="22"/>
          <w:u w:val="single" w:color="auto"/>
          <w:color w:val="auto"/>
        </w:rPr>
        <w:t>Qualifying New Lease</w:t>
      </w:r>
      <w:r>
        <w:rPr>
          <w:rFonts w:ascii="Times New Roman" w:cs="Times New Roman" w:eastAsia="Times New Roman" w:hAnsi="Times New Roman"/>
          <w:sz w:val="22"/>
          <w:szCs w:val="22"/>
          <w:color w:val="auto"/>
        </w:rPr>
        <w:t>”), then BMR shall pay to Synlogic, by wire transfer in immediately available funds, an amount equal to Four Hundred Twelve Thousand Nine Hundred Sixty-Six and 32/100 Dollars ($412,966.32) (the “</w:t>
      </w:r>
      <w:r>
        <w:rPr>
          <w:rFonts w:ascii="Times New Roman" w:cs="Times New Roman" w:eastAsia="Times New Roman" w:hAnsi="Times New Roman"/>
          <w:sz w:val="22"/>
          <w:szCs w:val="22"/>
          <w:u w:val="single" w:color="auto"/>
          <w:color w:val="auto"/>
        </w:rPr>
        <w:t>Refund Amount</w:t>
      </w:r>
      <w:r>
        <w:rPr>
          <w:rFonts w:ascii="Times New Roman" w:cs="Times New Roman" w:eastAsia="Times New Roman" w:hAnsi="Times New Roman"/>
          <w:sz w:val="22"/>
          <w:szCs w:val="22"/>
          <w:color w:val="auto"/>
        </w:rPr>
        <w:t>”). The Refund Amount shall be due and payable to Synlogic on the date the applicable Qualifying New Lease is executed. For the avoidance of doubt, in the event that BMR does not enter into a Qualifying New Lease during the Tail Period, then BMR will have no obligation to pay Synlogic any Refund Amount.</w:t>
      </w:r>
    </w:p>
    <w:p>
      <w:pPr>
        <w:spacing w:after="0" w:line="183" w:lineRule="exact"/>
        <w:rPr>
          <w:rFonts w:ascii="Times New Roman" w:cs="Times New Roman" w:eastAsia="Times New Roman" w:hAnsi="Times New Roman"/>
          <w:sz w:val="22"/>
          <w:szCs w:val="22"/>
          <w:u w:val="single" w:color="auto"/>
          <w:color w:val="auto"/>
        </w:rPr>
      </w:pPr>
    </w:p>
    <w:p>
      <w:pPr>
        <w:jc w:val="both"/>
        <w:ind w:right="20" w:firstLine="757"/>
        <w:spacing w:after="0" w:line="244" w:lineRule="auto"/>
        <w:tabs>
          <w:tab w:leader="none" w:pos="1018"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Release of Rights</w:t>
      </w:r>
      <w:r>
        <w:rPr>
          <w:rFonts w:ascii="Times New Roman" w:cs="Times New Roman" w:eastAsia="Times New Roman" w:hAnsi="Times New Roman"/>
          <w:sz w:val="22"/>
          <w:szCs w:val="22"/>
          <w:color w:val="auto"/>
        </w:rPr>
        <w:t>. As of Lease Termination, except as expressly provided in this Agreement, each party fully and unconditionally releases, cancels, annuls, rescinds, discharges, disclaims, waives and releases any and all rights and benefits the waiving party or any of its affiliates may have under the Lease arising from and after Lease Termination.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 w:name="page73"/>
    <w:bookmarkEnd w:id="72"/>
    <w:p>
      <w:pPr>
        <w:jc w:val="both"/>
        <w:ind w:firstLine="757"/>
        <w:spacing w:after="0" w:line="239" w:lineRule="auto"/>
        <w:tabs>
          <w:tab w:leader="none" w:pos="1018" w:val="left"/>
        </w:tabs>
        <w:numPr>
          <w:ilvl w:val="0"/>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Quitclaim</w:t>
      </w:r>
      <w:r>
        <w:rPr>
          <w:rFonts w:ascii="Times New Roman" w:cs="Times New Roman" w:eastAsia="Times New Roman" w:hAnsi="Times New Roman"/>
          <w:sz w:val="22"/>
          <w:szCs w:val="22"/>
          <w:color w:val="auto"/>
        </w:rPr>
        <w:t>. To the extent, if any, that the Lease gives Synlogic or any of its affiliates any right, title or interest in or to the Premises and the Surrendered Furniture, Synlogic does hereby remise, release and quitclaim to BMR such right, title or interest in or to the Premises and the Surrendered Furniture as of the Lease Termination and shall execute and deliver to BMR any documentation reasonably requested by BMR to effect or document such remise, release and quitclaim.</w:t>
      </w:r>
    </w:p>
    <w:p>
      <w:pPr>
        <w:spacing w:after="0" w:line="180"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Representation of Parties</w:t>
      </w:r>
      <w:r>
        <w:rPr>
          <w:rFonts w:ascii="Times New Roman" w:cs="Times New Roman" w:eastAsia="Times New Roman" w:hAnsi="Times New Roman"/>
          <w:sz w:val="22"/>
          <w:szCs w:val="22"/>
          <w:color w:val="auto"/>
        </w:rPr>
        <w:t>. Each party represents that it has not made any assignment, sublease, transfer, conveyance or other disposition of the Lease or any interest therein, nor made or entered into any agreement that would result in any mechanic’s lien or other claim, demand, obligation, liability, action or cause of action arising from or with respect to the Lease or the Premises.</w:t>
      </w:r>
    </w:p>
    <w:p>
      <w:pPr>
        <w:spacing w:after="0" w:line="180" w:lineRule="exact"/>
        <w:rPr>
          <w:rFonts w:ascii="Times New Roman" w:cs="Times New Roman" w:eastAsia="Times New Roman" w:hAnsi="Times New Roman"/>
          <w:sz w:val="22"/>
          <w:szCs w:val="22"/>
          <w:u w:val="single" w:color="auto"/>
          <w:color w:val="auto"/>
        </w:rPr>
      </w:pPr>
    </w:p>
    <w:p>
      <w:pPr>
        <w:jc w:val="both"/>
        <w:ind w:firstLine="757"/>
        <w:spacing w:after="0" w:line="235" w:lineRule="auto"/>
        <w:tabs>
          <w:tab w:leader="none" w:pos="1018" w:val="left"/>
        </w:tabs>
        <w:numPr>
          <w:ilvl w:val="0"/>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xml:space="preserve">. Except as otherwise expressly set forth in this Agreement, each party shall pay its own costs and expenses incurred in connection with this Agreement and such party’s performance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either party commences an action, proceeding, demand, claim, action, cause of action or suit against the other party arising out of or in connection with this Agreement, then the substantially prevailing party shall be reimbursed by the other party for all reasonable costs and expenses, including reasonable attorneys’ fees and expenses, incurred by the substantially prevailing party in such action, proceeding, demand, claim, action, cause of action or suit, and in any appeal in connection therewith (regardless of whether the applicable action, proceeding, demand, claim, action, cause of action, suit or appeal is voluntarily withdrawn or dismissed).</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10.Integration; Voluntary Agreement; Amendment</w:t>
      </w:r>
      <w:r>
        <w:rPr>
          <w:rFonts w:ascii="Times New Roman" w:cs="Times New Roman" w:eastAsia="Times New Roman" w:hAnsi="Times New Roman"/>
          <w:sz w:val="22"/>
          <w:szCs w:val="22"/>
          <w:color w:val="auto"/>
        </w:rPr>
        <w:t>. The terms of this Agreement are intended by the parties as a final and complete expression of their agreement with respect to the terms that are included in this Agreement, and may not be contradicted or supplemented by evidence of any other prior or contemporaneous agreement. The parties have read this Agreement and have freely and voluntarily entered into this Agreement. No provision of this Agreement may be modified, amended or supplemented except by an agreement in writing signed by BMR and Synlogic.</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11. Successors and Assigns</w:t>
      </w:r>
      <w:r>
        <w:rPr>
          <w:rFonts w:ascii="Times New Roman" w:cs="Times New Roman" w:eastAsia="Times New Roman" w:hAnsi="Times New Roman"/>
          <w:sz w:val="22"/>
          <w:szCs w:val="22"/>
          <w:color w:val="auto"/>
        </w:rPr>
        <w:t>. Each of the covenants, conditions and agreements contained in this Agreement shall inure to the benefit of and shall apply to and be binding upon the parties and their respective heirs, legatees, devisees, executors, administrators and permitted successors, assigns and sublessees. Nothing in this section shall in any way alter the provisions of the Lease restricting assignment and subletting.</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12.Governing Law</w:t>
      </w:r>
      <w:r>
        <w:rPr>
          <w:rFonts w:ascii="Times New Roman" w:cs="Times New Roman" w:eastAsia="Times New Roman" w:hAnsi="Times New Roman"/>
          <w:sz w:val="22"/>
          <w:szCs w:val="22"/>
          <w:color w:val="auto"/>
        </w:rPr>
        <w:t>. This Agreement shall be governed by and construed and enforced in accordance with the laws of the Commonwealth of Massachusetts, without regard to the Commonwealth of Massachusetts’ conflict of law principles.</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13.Authority</w:t>
      </w:r>
      <w:r>
        <w:rPr>
          <w:rFonts w:ascii="Times New Roman" w:cs="Times New Roman" w:eastAsia="Times New Roman" w:hAnsi="Times New Roman"/>
          <w:sz w:val="22"/>
          <w:szCs w:val="22"/>
          <w:color w:val="auto"/>
        </w:rPr>
        <w:t>. Each party guarantees, warrants and represents that the execution and consummation of this Agreement have been duly authorized by all appropriate company action, and the individual or individuals signing this Agreement have the power, authority and legal capacity to sign this Agreement on behalf of and to bind all entities, corporations, partnerships, limited liability companies, joint venturers or other organizations and entities on whose behalf</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such individual or individuals have signed.</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14.Waiver of Jury Trial</w:t>
      </w:r>
      <w:r>
        <w:rPr>
          <w:rFonts w:ascii="Times New Roman" w:cs="Times New Roman" w:eastAsia="Times New Roman" w:hAnsi="Times New Roman"/>
          <w:sz w:val="22"/>
          <w:szCs w:val="22"/>
          <w:color w:val="auto"/>
        </w:rPr>
        <w:t>. To the extent permitted by applicable laws, the parties waive trial by jury in any action, proceeding or counterclaim brought by the other party hereto related to matters arising out of or in any way connected with this Agreement, the use or occupancy of the Premises or any claim of injury or damage related to this Agreement or the Premises</w:t>
      </w:r>
      <w:r>
        <w:rPr>
          <w:rFonts w:ascii="Times New Roman" w:cs="Times New Roman" w:eastAsia="Times New Roman" w:hAnsi="Times New Roman"/>
          <w:sz w:val="22"/>
          <w:szCs w:val="22"/>
          <w:i w:val="1"/>
          <w:iCs w:val="1"/>
          <w:color w:val="auto"/>
        </w:rPr>
        <w: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15.Signatures</w:t>
      </w:r>
      <w:r>
        <w:rPr>
          <w:rFonts w:ascii="Times New Roman" w:cs="Times New Roman" w:eastAsia="Times New Roman" w:hAnsi="Times New Roman"/>
          <w:sz w:val="22"/>
          <w:szCs w:val="22"/>
          <w:color w:val="auto"/>
        </w:rPr>
        <w:t>. An electronic or portable document format (PDF) signature on this Agreement shall be equivalent to, and have the same force and effect as, an original signature. This Agreement may be executed in one or more counterparts, each of which, when taken together, shall constitute one and the same document.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4" w:name="page75"/>
    <w:bookmarkEnd w:id="74"/>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Agreement as a sealed Massachusetts instrument as of the day hereinabove first written.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BMR</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BMR-ROGERS STREET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Colleen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192024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880" w:type="dxa"/>
            <w:vAlign w:val="bottom"/>
            <w:gridSpan w:val="2"/>
          </w:tcPr>
          <w:p>
            <w:pPr>
              <w:spacing w:after="0" w:line="220" w:lineRule="exact"/>
              <w:rPr>
                <w:sz w:val="20"/>
                <w:szCs w:val="20"/>
                <w:color w:val="auto"/>
              </w:rPr>
            </w:pPr>
            <w:r>
              <w:rPr>
                <w:rFonts w:ascii="Times New Roman" w:cs="Times New Roman" w:eastAsia="Times New Roman" w:hAnsi="Times New Roman"/>
                <w:sz w:val="22"/>
                <w:szCs w:val="22"/>
                <w:color w:val="auto"/>
              </w:rPr>
              <w:t>Name:</w:t>
            </w:r>
          </w:p>
        </w:tc>
        <w:tc>
          <w:tcPr>
            <w:tcW w:w="3000" w:type="dxa"/>
            <w:vAlign w:val="bottom"/>
            <w:gridSpan w:val="2"/>
          </w:tcPr>
          <w:p>
            <w:pPr>
              <w:ind w:left="420"/>
              <w:spacing w:after="0" w:line="220" w:lineRule="exact"/>
              <w:rPr>
                <w:sz w:val="20"/>
                <w:szCs w:val="20"/>
                <w:color w:val="auto"/>
              </w:rPr>
            </w:pPr>
            <w:r>
              <w:rPr>
                <w:rFonts w:ascii="Times New Roman" w:cs="Times New Roman" w:eastAsia="Times New Roman" w:hAnsi="Times New Roman"/>
                <w:sz w:val="22"/>
                <w:szCs w:val="22"/>
                <w:color w:val="auto"/>
              </w:rPr>
              <w:t>Colleen O’Connor</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Its:</w:t>
            </w:r>
          </w:p>
        </w:tc>
        <w:tc>
          <w:tcPr>
            <w:tcW w:w="440" w:type="dxa"/>
            <w:vAlign w:val="bottom"/>
            <w:vMerge w:val="restart"/>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3000" w:type="dxa"/>
            <w:vAlign w:val="bottom"/>
            <w:tcBorders>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w w:val="96"/>
              </w:rPr>
              <w:t>EVP, East Coast and U.K. Markets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SYNLOGIC</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SYNLOGIC,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Tony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16459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640" w:type="dxa"/>
            <w:vAlign w:val="bottom"/>
            <w:gridSpan w:val="2"/>
          </w:tcPr>
          <w:p>
            <w:pPr>
              <w:spacing w:after="0" w:line="220" w:lineRule="exact"/>
              <w:rPr>
                <w:sz w:val="20"/>
                <w:szCs w:val="20"/>
                <w:color w:val="auto"/>
              </w:rPr>
            </w:pPr>
            <w:r>
              <w:rPr>
                <w:rFonts w:ascii="Times New Roman" w:cs="Times New Roman" w:eastAsia="Times New Roman" w:hAnsi="Times New Roman"/>
                <w:sz w:val="22"/>
                <w:szCs w:val="22"/>
                <w:color w:val="auto"/>
              </w:rPr>
              <w:t>Name:</w:t>
            </w:r>
          </w:p>
        </w:tc>
        <w:tc>
          <w:tcPr>
            <w:tcW w:w="2820" w:type="dxa"/>
            <w:vAlign w:val="bottom"/>
            <w:tcBorders>
              <w:bottom w:val="single" w:sz="8" w:color="auto"/>
            </w:tcBorders>
          </w:tcPr>
          <w:p>
            <w:pPr>
              <w:ind w:left="660"/>
              <w:spacing w:after="0" w:line="220" w:lineRule="exact"/>
              <w:rPr>
                <w:sz w:val="20"/>
                <w:szCs w:val="20"/>
                <w:color w:val="auto"/>
              </w:rPr>
            </w:pPr>
            <w:r>
              <w:rPr>
                <w:rFonts w:ascii="Times New Roman" w:cs="Times New Roman" w:eastAsia="Times New Roman" w:hAnsi="Times New Roman"/>
                <w:sz w:val="22"/>
                <w:szCs w:val="22"/>
                <w:color w:val="auto"/>
              </w:rPr>
              <w:t>Tony Awad</w:t>
            </w:r>
          </w:p>
        </w:tc>
      </w:tr>
      <w:tr>
        <w:trPr>
          <w:trHeight w:val="223"/>
        </w:trPr>
        <w:tc>
          <w:tcPr>
            <w:tcW w:w="4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Its:</w:t>
            </w:r>
          </w:p>
        </w:tc>
        <w:tc>
          <w:tcPr>
            <w:tcW w:w="2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22"/>
                <w:szCs w:val="22"/>
                <w:color w:val="auto"/>
              </w:rPr>
              <w:t>Principal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4650740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5" w:name="page76"/>
    <w:bookmarkEnd w:id="75"/>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FURNITURE INVENTORY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Synlogic Operating Company,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301 Binney Street, Suite 402</w:t>
      </w:r>
    </w:p>
    <w:p>
      <w:pPr>
        <w:jc w:val="center"/>
        <w:spacing w:after="0"/>
        <w:rPr>
          <w:sz w:val="20"/>
          <w:szCs w:val="20"/>
          <w:color w:val="auto"/>
        </w:rPr>
      </w:pPr>
      <w:r>
        <w:rPr>
          <w:rFonts w:ascii="Times New Roman" w:cs="Times New Roman" w:eastAsia="Times New Roman" w:hAnsi="Times New Roman"/>
          <w:sz w:val="20"/>
          <w:szCs w:val="20"/>
          <w:color w:val="auto"/>
        </w:rPr>
        <w:t>Cambridge, MA 02142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5,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Antoine Awad</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Re: Amendment to Separation Agreement by and between Synlogic, Inc. and Antoine Awad, dated as of February 17, 2024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Tony,</w:t>
      </w:r>
    </w:p>
    <w:p>
      <w:pPr>
        <w:spacing w:after="0" w:line="22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purpose of this letter agreement (“Agreement”) is to confirm the terms of this separation of employment from Synlogic, Inc. (“Synlogic” or “the Company”). The Severance Pay and Benefits described below are contingent on your agreement to and compliance with the provisions of this Agreement, as set forth below. This Agreement shall be effective on the day after you sign the same (the “Effective Date”).</w:t>
      </w:r>
    </w:p>
    <w:p>
      <w:pPr>
        <w:spacing w:after="0" w:line="193" w:lineRule="exact"/>
        <w:rPr>
          <w:sz w:val="20"/>
          <w:szCs w:val="20"/>
          <w:color w:val="auto"/>
        </w:rPr>
      </w:pPr>
    </w:p>
    <w:p>
      <w:pPr>
        <w:jc w:val="both"/>
        <w:ind w:firstLine="757"/>
        <w:spacing w:after="0" w:line="254" w:lineRule="auto"/>
        <w:tabs>
          <w:tab w:leader="none" w:pos="115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of Employment</w:t>
      </w:r>
      <w:r>
        <w:rPr>
          <w:rFonts w:ascii="Times New Roman" w:cs="Times New Roman" w:eastAsia="Times New Roman" w:hAnsi="Times New Roman"/>
          <w:sz w:val="20"/>
          <w:szCs w:val="20"/>
          <w:color w:val="auto"/>
        </w:rPr>
        <w:t>. As previously communicated to you, your employment with the Company ends on 11/30/2024 (the “Separation Date”). You acknowledge that from and after the Separation Date, you have no authority to, and shall not, represent yourself as an employee or agent of the Company.</w:t>
      </w:r>
    </w:p>
    <w:p>
      <w:pPr>
        <w:spacing w:after="0" w:line="187"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 and Benefits</w:t>
      </w:r>
      <w:r>
        <w:rPr>
          <w:rFonts w:ascii="Times New Roman" w:cs="Times New Roman" w:eastAsia="Times New Roman" w:hAnsi="Times New Roman"/>
          <w:sz w:val="20"/>
          <w:szCs w:val="20"/>
          <w:color w:val="auto"/>
        </w:rPr>
        <w:t>.  If you comply with the terms of this Agreement, the Company will provide you with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w:t>
      </w:r>
    </w:p>
    <w:p>
      <w:pPr>
        <w:spacing w:after="0" w:line="207" w:lineRule="exact"/>
        <w:rPr>
          <w:sz w:val="20"/>
          <w:szCs w:val="20"/>
          <w:color w:val="auto"/>
        </w:rPr>
      </w:pPr>
    </w:p>
    <w:p>
      <w:pPr>
        <w:jc w:val="both"/>
        <w:ind w:firstLine="757"/>
        <w:spacing w:after="0" w:line="249" w:lineRule="auto"/>
        <w:tabs>
          <w:tab w:leader="none" w:pos="114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Severance Pay in the form of a lump-sum payment equivalent to six (6) months of your base salary, or $218,856 less all tax withholdings and any other authorized deductions paid within thirty (30) days of you returning an executed Agreement. Such payment is being made consistent with the terms of the Employment Letter Agreement dated November 28, 2018 and the Amendment to the the Employment Letter Agreement, dated December 26, 2023 (collectively the “Awad Employment Agreement”).</w:t>
      </w:r>
    </w:p>
    <w:p>
      <w:pPr>
        <w:spacing w:after="0" w:line="193"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Health and Other Benefits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2340" w:hanging="835"/>
        <w:spacing w:after="0" w:line="253" w:lineRule="auto"/>
        <w:tabs>
          <w:tab w:leader="none" w:pos="2340" w:val="left"/>
        </w:tabs>
        <w:numPr>
          <w:ilvl w:val="1"/>
          <w:numId w:val="5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Health: You will have the right to continue your participation in Synlogic’s medical and dental insurance programs through your Separation Date. You will then have the right to continue your participation in Synlogic’s medical and dental insurance programs subject to your timely applying and being eligible for such benefits pursuant to the provisions of the Consolidated Omnibus Budget Reconciliation Act of 1985 (COBRA), subject to the requirements of COBRA and the continuation of the Company medical and dental plans by its insurance carrier. If you sign this Agreement and it becomes effective as set forth below, and elect COBRA coverage, the Company will continue to pay the Company premium for such coverage for six (6) months after your Separation Date. Your medical and dental plan contributions will be deducted from your severance pay. Thereafter, your continuation of your medical and dental insurance pursuant to the provisions of COBRA will be solely at your own cost. The “qualifying event” under COBRA shall be deemed to have commenced on the Separation Date. In the event that the Company, in connection with the winding down of its business, terminates its group health plan coverage, the Company shall provide you with a taxable lump sum payment equal to the cost of the currently selected medical benefit option times the number of months remaining in the severance</w:t>
      </w:r>
    </w:p>
    <w:p>
      <w:pPr>
        <w:spacing w:after="0" w:line="1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period following cessation of the Company’s group health plan coverage.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both"/>
        <w:ind w:left="2340" w:hanging="835"/>
        <w:spacing w:after="0" w:line="263" w:lineRule="auto"/>
        <w:tabs>
          <w:tab w:leader="none" w:pos="2340" w:val="left"/>
        </w:tabs>
        <w:numPr>
          <w:ilvl w:val="1"/>
          <w:numId w:val="5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2024 Bonus</w:t>
      </w:r>
      <w:r>
        <w:rPr>
          <w:rFonts w:ascii="Times New Roman" w:cs="Times New Roman" w:eastAsia="Times New Roman" w:hAnsi="Times New Roman"/>
          <w:sz w:val="19"/>
          <w:szCs w:val="19"/>
          <w:color w:val="auto"/>
        </w:rPr>
        <w:t>: You will be eligible for consideration of 100% of your target 2024 bonus, pro-rated by the number of days employed in 2024. The determination of whether to award a bonus and the amount of such bonus shall be in the sole discretion of the Company and is subject to the approval of the Board of Directors. If such bonus is awarded, it is expected to be paid by no later than within thirty (30) days of you returning an executed Agreement. You acknowledge and agree that you have no contractual or other entitlement to such a bonus.</w:t>
      </w:r>
    </w:p>
    <w:p>
      <w:pPr>
        <w:spacing w:after="0" w:line="196" w:lineRule="exact"/>
        <w:rPr>
          <w:rFonts w:ascii="Times New Roman" w:cs="Times New Roman" w:eastAsia="Times New Roman" w:hAnsi="Times New Roman"/>
          <w:sz w:val="19"/>
          <w:szCs w:val="19"/>
          <w:u w:val="single" w:color="auto"/>
          <w:color w:val="auto"/>
        </w:rPr>
      </w:pPr>
    </w:p>
    <w:p>
      <w:pPr>
        <w:jc w:val="both"/>
        <w:ind w:firstLine="757"/>
        <w:spacing w:after="0" w:line="255" w:lineRule="auto"/>
        <w:tabs>
          <w:tab w:leader="none" w:pos="116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acknowledge and agree that the Severance Pay and Benefits set forth in the sub-sections above are consistent with the provisions of the Awad Employment Agreement, and that your signing of this Agreement is a condition precedent to the receipt of such Severance Pay and Benefits.</w:t>
      </w:r>
    </w:p>
    <w:p>
      <w:pPr>
        <w:spacing w:after="0" w:line="185" w:lineRule="exact"/>
        <w:rPr>
          <w:sz w:val="20"/>
          <w:szCs w:val="20"/>
          <w:color w:val="auto"/>
        </w:rPr>
      </w:pPr>
    </w:p>
    <w:p>
      <w:pPr>
        <w:ind w:left="1160" w:hanging="403"/>
        <w:spacing w:after="0"/>
        <w:tabs>
          <w:tab w:leader="none" w:pos="11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757"/>
        <w:spacing w:after="0" w:line="245" w:lineRule="auto"/>
        <w:tabs>
          <w:tab w:leader="none" w:pos="99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Equity Grants will continue to vest during the employment period according to the applicable vesting schedule set forth in the original grant agreement, but shall otherwise remain subject to the original terms and conditions of such Equity Grants. Any unvested equity upon the termination of this Agreement will be forfeited. The term "Equity Grants" shall mean all previous grants to the Employee of (i) shares of Restricted Stock and (ii) grants of stock options (the “Options”) to purchase common stock of the Company, par value $0.001 per share ("Common Stock"), in each case which are subject to time-based vesting as set forth in the applicable Restricted Stock or Option agreement(s).</w:t>
      </w:r>
    </w:p>
    <w:p>
      <w:pPr>
        <w:spacing w:after="0" w:line="197"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Portion of Options: The Company and the Employee hereby agree that Options are amended on the date indicated on the first page of this Agreement (the “Effective Date”), to provide that the portions of such Options which are vested (the “Vested Options”) shall continue to be outstanding so long as this Agreement remains in effect.</w:t>
      </w:r>
    </w:p>
    <w:p>
      <w:pPr>
        <w:spacing w:after="0" w:line="106" w:lineRule="exact"/>
        <w:rPr>
          <w:rFonts w:ascii="Times New Roman" w:cs="Times New Roman" w:eastAsia="Times New Roman" w:hAnsi="Times New Roman"/>
          <w:sz w:val="20"/>
          <w:szCs w:val="20"/>
          <w:color w:val="auto"/>
        </w:rPr>
      </w:pPr>
    </w:p>
    <w:p>
      <w:pPr>
        <w:ind w:right="280" w:firstLine="757"/>
        <w:spacing w:after="0" w:line="269" w:lineRule="auto"/>
        <w:tabs>
          <w:tab w:leader="none" w:pos="109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Unvested Portion: The Company and the Employee hereby agree that the Equity Grants are further amended effective on the Effective Date as follows:</w:t>
      </w:r>
    </w:p>
    <w:p>
      <w:pPr>
        <w:spacing w:after="0" w:line="78" w:lineRule="exact"/>
        <w:rPr>
          <w:rFonts w:ascii="Times New Roman" w:cs="Times New Roman" w:eastAsia="Times New Roman" w:hAnsi="Times New Roman"/>
          <w:sz w:val="20"/>
          <w:szCs w:val="20"/>
          <w:color w:val="auto"/>
        </w:rPr>
      </w:pPr>
    </w:p>
    <w:p>
      <w:pPr>
        <w:ind w:left="1500" w:right="160" w:firstLine="5"/>
        <w:spacing w:after="0" w:line="269" w:lineRule="auto"/>
        <w:tabs>
          <w:tab w:leader="none" w:pos="182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shall have 90 days following such termination in which to exercise any Options which are vested as of the termination date, after which 90- day period any unexercised stock options shall be forfeited to the Company.</w:t>
      </w:r>
    </w:p>
    <w:p>
      <w:pPr>
        <w:spacing w:after="0" w:line="91"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vesting schedule of the unvested portion of the Equity Grant shall not be modified.</w:t>
      </w:r>
    </w:p>
    <w:p>
      <w:pPr>
        <w:spacing w:after="0" w:line="148"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further grants of equity will be made to Employee.</w:t>
      </w:r>
    </w:p>
    <w:p>
      <w:pPr>
        <w:spacing w:after="0" w:line="134" w:lineRule="exact"/>
        <w:rPr>
          <w:rFonts w:ascii="Times New Roman" w:cs="Times New Roman" w:eastAsia="Times New Roman" w:hAnsi="Times New Roman"/>
          <w:sz w:val="20"/>
          <w:szCs w:val="20"/>
          <w:color w:val="auto"/>
        </w:rPr>
      </w:pPr>
    </w:p>
    <w:p>
      <w:pPr>
        <w:jc w:val="both"/>
        <w:ind w:right="120" w:firstLine="757"/>
        <w:spacing w:after="0" w:line="254" w:lineRule="auto"/>
        <w:tabs>
          <w:tab w:leader="none" w:pos="108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amend the Equity Grant in accordance with applicable sections of the Company's 2015 Equity Incentive Award Plan and Company’s 2017 Stock Incentive Plan. The provisions of the Equity Grant, including without limitation the expiration dates of the Options, which are not amended or terminated hereby shall remain in effect unchanged.</w:t>
      </w:r>
    </w:p>
    <w:p>
      <w:pPr>
        <w:spacing w:after="0" w:line="106" w:lineRule="exact"/>
        <w:rPr>
          <w:rFonts w:ascii="Times New Roman" w:cs="Times New Roman" w:eastAsia="Times New Roman" w:hAnsi="Times New Roman"/>
          <w:sz w:val="20"/>
          <w:szCs w:val="20"/>
          <w:color w:val="auto"/>
        </w:rPr>
      </w:pPr>
    </w:p>
    <w:p>
      <w:pPr>
        <w:ind w:right="400" w:firstLine="757"/>
        <w:spacing w:after="0" w:line="254" w:lineRule="auto"/>
        <w:tabs>
          <w:tab w:leader="none" w:pos="102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upon the earlier of (a) the filing of a certificate of corporate dissolution with the Delaware Secretary of State or (b) the closing of a Change in Control, the Unvested Portion of each Equity Grant shall accelerate and become fully vested.</w:t>
      </w:r>
    </w:p>
    <w:p>
      <w:pPr>
        <w:spacing w:after="0" w:line="106" w:lineRule="exact"/>
        <w:rPr>
          <w:rFonts w:ascii="Times New Roman" w:cs="Times New Roman" w:eastAsia="Times New Roman" w:hAnsi="Times New Roman"/>
          <w:sz w:val="20"/>
          <w:szCs w:val="20"/>
          <w:color w:val="auto"/>
        </w:rPr>
      </w:pPr>
    </w:p>
    <w:p>
      <w:pPr>
        <w:ind w:right="120" w:firstLine="757"/>
        <w:spacing w:after="0" w:line="249" w:lineRule="auto"/>
        <w:tabs>
          <w:tab w:leader="none" w:pos="108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of Control” shall mean the (i) the sale of the Company by merger in which the shareholders of the Company in their capacity as such no longer own a majority of the outstanding equity securities of the Company (or its successor); (ii) any sale of all or substantially all of the assets or capital stock of the Company (other than in a spin-off or similar transaction); or (iii) any other acquisition of the business of the Company, as determined by the Company’s Board of Directors in their sole discretion.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472C4"/>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jc w:val="both"/>
        <w:ind w:firstLine="757"/>
        <w:spacing w:after="0" w:line="245" w:lineRule="auto"/>
        <w:tabs>
          <w:tab w:leader="none" w:pos="114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Acknowledgements</w:t>
      </w:r>
      <w:r>
        <w:rPr>
          <w:rFonts w:ascii="Times New Roman" w:cs="Times New Roman" w:eastAsia="Times New Roman" w:hAnsi="Times New Roman"/>
          <w:sz w:val="20"/>
          <w:szCs w:val="20"/>
          <w:color w:val="auto"/>
        </w:rPr>
        <w:t>. You acknowledge and agree that the Severance Pay and Benefits to be provided to you are not intended to, and shall not constitute, a severance plan and shall confer no benefit on anyone other than the Company and you. You further acknowledge that except for any unpaid regular wages (including accrued and unused vacation) earned through the Separation Date, which shall be paid on or around the Separation Date, you have been paid and provided all wages, vacation pay, holiday pay, bonus, business expenses, and any other form of compensation or benefit that may be due to you now or which would have become due in the future in connection with your employment or separation of employment with the Company.</w:t>
      </w:r>
    </w:p>
    <w:p>
      <w:pPr>
        <w:spacing w:after="0" w:line="197"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Property, Confidentiality, Non-Disparagement</w:t>
      </w:r>
      <w:r>
        <w:rPr>
          <w:rFonts w:ascii="Times New Roman" w:cs="Times New Roman" w:eastAsia="Times New Roman" w:hAnsi="Times New Roman"/>
          <w:sz w:val="20"/>
          <w:szCs w:val="20"/>
          <w:color w:val="auto"/>
        </w:rPr>
        <w:t>. You expressly acknowledge and agree to the following:</w:t>
      </w:r>
    </w:p>
    <w:p>
      <w:pPr>
        <w:spacing w:after="0" w:line="215" w:lineRule="exact"/>
        <w:rPr>
          <w:rFonts w:ascii="Times New Roman" w:cs="Times New Roman" w:eastAsia="Times New Roman" w:hAnsi="Times New Roman"/>
          <w:sz w:val="20"/>
          <w:szCs w:val="20"/>
          <w:color w:val="auto"/>
        </w:rPr>
      </w:pPr>
    </w:p>
    <w:p>
      <w:pPr>
        <w:ind w:left="1500" w:hanging="690"/>
        <w:spacing w:after="0" w:line="244" w:lineRule="auto"/>
        <w:tabs>
          <w:tab w:leader="none" w:pos="1201"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you will abide by any and all obligations contained in agreements you have executed (copies of which can be provided to you), the terms of which are hereby incorporated by reference, which shall survive the signing of this Agreement, and which you hereby affirm. You further agree that you otherwise will keep all confidential information and trade secrets of the Company confidential, and that you will abide by any and all common law and/or statutory obligations relating to protection and non-disclosure of the Company’s trade secrets and/or confidential and proprietary documents and information. Consistent with applicable law, the Company is providing you with the notice of immunity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is a part of this Agreement and each other agreement referenced in this subsection.</w:t>
      </w:r>
    </w:p>
    <w:p>
      <w:pPr>
        <w:spacing w:after="0" w:line="199" w:lineRule="exact"/>
        <w:rPr>
          <w:rFonts w:ascii="Times New Roman" w:cs="Times New Roman" w:eastAsia="Times New Roman" w:hAnsi="Times New Roman"/>
          <w:sz w:val="20"/>
          <w:szCs w:val="20"/>
          <w:color w:val="auto"/>
        </w:rPr>
      </w:pPr>
    </w:p>
    <w:p>
      <w:pPr>
        <w:ind w:left="1500" w:hanging="690"/>
        <w:spacing w:after="0" w:line="263" w:lineRule="auto"/>
        <w:tabs>
          <w:tab w:leader="none" w:pos="1201"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obligations, that by your Separation Date, you will promptly return to the Company all the Company documents (and any copies) and property (including all electronically stored information) regardless of where such documents, information or property is maintained. You acknowledge and agree that you shall not maintain any copies or duplicates of such documents or information. You further acknowledge that if you were to use or disclose any of the information reflected in such items, that this would cause immediate, substantial and irreparable harm to the Company.</w:t>
      </w:r>
    </w:p>
    <w:p>
      <w:pPr>
        <w:spacing w:after="0" w:line="179" w:lineRule="exact"/>
        <w:rPr>
          <w:rFonts w:ascii="Times New Roman" w:cs="Times New Roman" w:eastAsia="Times New Roman" w:hAnsi="Times New Roman"/>
          <w:sz w:val="19"/>
          <w:szCs w:val="19"/>
          <w:color w:val="auto"/>
        </w:rPr>
      </w:pPr>
    </w:p>
    <w:p>
      <w:pPr>
        <w:ind w:left="1500" w:hanging="690"/>
        <w:spacing w:after="0" w:line="246" w:lineRule="auto"/>
        <w:tabs>
          <w:tab w:leader="none" w:pos="1201"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all information relating in any way to the negotiation and terms of this Agreement (except for your obligations under Section 5(i) above), including the amount of financial consideration provided for in this Agreement, shall be held confidential by you and shall not be publicized or disclosed to any person (other than an immediate family member, legal counsel, or financial advisor, provided that any such individual to whom disclosure is made agrees to be bound by these confidentiality obligations), business entity, or as otherwise mandated by state or federal law.</w:t>
      </w:r>
    </w:p>
    <w:p>
      <w:pPr>
        <w:spacing w:after="0" w:line="184" w:lineRule="exact"/>
        <w:rPr>
          <w:rFonts w:ascii="Times New Roman" w:cs="Times New Roman" w:eastAsia="Times New Roman" w:hAnsi="Times New Roman"/>
          <w:sz w:val="20"/>
          <w:szCs w:val="20"/>
          <w:color w:val="auto"/>
        </w:rPr>
      </w:pPr>
    </w:p>
    <w:p>
      <w:pPr>
        <w:ind w:left="1500" w:hanging="690"/>
        <w:spacing w:after="0" w:line="245" w:lineRule="auto"/>
        <w:tabs>
          <w:tab w:leader="none" w:pos="1201"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you will not make any oral or written statements (including on any social media or other similar platform) that are professionally or personally disparaging about, or adverse to, the interests of the Company (including its officers, directors, employees and consultants) including, but not limited to, any statements that disparage any person, product, service, finances, financial condition, capability or any other aspect of the business of the Company, and that you will not engage in any conduct which could reasonably be expected to harm professionally or personally the reputation of the Company (including its officers, directors, employees and consultants).</w:t>
      </w:r>
    </w:p>
    <w:p>
      <w:pPr>
        <w:spacing w:after="0" w:line="184" w:lineRule="exact"/>
        <w:rPr>
          <w:rFonts w:ascii="Times New Roman" w:cs="Times New Roman" w:eastAsia="Times New Roman" w:hAnsi="Times New Roman"/>
          <w:sz w:val="20"/>
          <w:szCs w:val="20"/>
          <w:color w:val="auto"/>
        </w:rPr>
      </w:pPr>
    </w:p>
    <w:p>
      <w:pPr>
        <w:ind w:left="1500" w:hanging="690"/>
        <w:spacing w:after="0" w:line="254" w:lineRule="auto"/>
        <w:tabs>
          <w:tab w:leader="none" w:pos="1201"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Severance Pay and Benefits being offered are based on your representations that you have not engaged in any fraudulent or unlawful conduct, and that you have fully disclosed to the Company all material information relating to your job duties for the Company.</w:t>
      </w:r>
    </w:p>
    <w:p>
      <w:pPr>
        <w:spacing w:after="0" w:line="187" w:lineRule="exact"/>
        <w:rPr>
          <w:rFonts w:ascii="Times New Roman" w:cs="Times New Roman" w:eastAsia="Times New Roman" w:hAnsi="Times New Roman"/>
          <w:sz w:val="20"/>
          <w:szCs w:val="20"/>
          <w:color w:val="auto"/>
        </w:rPr>
      </w:pPr>
    </w:p>
    <w:p>
      <w:pPr>
        <w:jc w:val="right"/>
        <w:ind w:left="1500" w:hanging="690"/>
        <w:spacing w:after="0" w:line="250" w:lineRule="auto"/>
        <w:tabs>
          <w:tab w:leader="none" w:pos="1201"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that in the event of your breach of any of your agreements set forth in this Section 5 the Company would suffer substantial irreparable harm and that the Company would not have an adequate remedy at law for such breach. In</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recognition of the foregoing, you agree that in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472C4"/>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79" w:name="page80"/>
    <w:bookmarkEnd w:id="79"/>
    <w:p>
      <w:pPr>
        <w:jc w:val="both"/>
        <w:ind w:left="1500"/>
        <w:spacing w:after="0" w:line="244" w:lineRule="auto"/>
        <w:rPr>
          <w:sz w:val="20"/>
          <w:szCs w:val="20"/>
          <w:color w:val="auto"/>
        </w:rPr>
      </w:pPr>
      <w:r>
        <w:rPr>
          <w:rFonts w:ascii="Times New Roman" w:cs="Times New Roman" w:eastAsia="Times New Roman" w:hAnsi="Times New Roman"/>
          <w:sz w:val="20"/>
          <w:szCs w:val="20"/>
          <w:color w:val="auto"/>
        </w:rPr>
        <w:t>event of a breach or threatened breach of any of these covenants, in addition to such other remedies as the Company may have at law, without posting any bond or security, the Company shall be entitled to seek and obtain equitable relief, in the form of specific performance, 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You further agree that the Company shall be entitled to its costs and fees, including attorneys’ fees, incurred by it should it prevail in enforcing and provision of this Agreement.</w:t>
      </w:r>
    </w:p>
    <w:p>
      <w:pPr>
        <w:spacing w:after="0" w:line="199" w:lineRule="exact"/>
        <w:rPr>
          <w:sz w:val="20"/>
          <w:szCs w:val="20"/>
          <w:color w:val="auto"/>
        </w:rPr>
      </w:pPr>
    </w:p>
    <w:p>
      <w:pPr>
        <w:jc w:val="both"/>
        <w:ind w:firstLine="757"/>
        <w:spacing w:after="0" w:line="255" w:lineRule="auto"/>
        <w:tabs>
          <w:tab w:leader="none" w:pos="1145"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Cooperation/Transition of Duties</w:t>
      </w:r>
      <w:r>
        <w:rPr>
          <w:rFonts w:ascii="Times New Roman" w:cs="Times New Roman" w:eastAsia="Times New Roman" w:hAnsi="Times New Roman"/>
          <w:sz w:val="19"/>
          <w:szCs w:val="19"/>
          <w:color w:val="auto"/>
        </w:rPr>
        <w:t>. You agree that during the Severance Period you will make yourself reasonably available to the Company, upon reasonable notice, either by email, telephone or, if the Company believes necessary, in person to assist the Company in any matter relating to the services performed by you during your employment with the Company including, but not limited, transitioning your duties to others at the Company. You further agree that during this period of time and thereafter you will cooperate fully with the Company in the defense or prosecution of any claims or actions now in existence or which may be brought or threatened in the future against or on behalf of the Company, including any claim or action against its directors, officers and employees. Your cooperation in connection with such claims or actions shall include, your being available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within reason given the constraints of future employment or job search activities, to meet with the Company to prepare for any proceeding, to provide truthful affidavits and/or testimony, to assist with any audit, inspection, proceeding or other inquiry, and to act as a witness in connection with any litigation or other legal proceeding affecting the Company. You further agree that should an individual representing a party adverse to the business or legal interests of the Company (including, without limitation, anyone threatening any form of legal action against the Company) contact you (directly or indirectly), you will promptly (within 48 hours) inform the Company of that fact. Nothing herein shall be construed to prohibit or prevent you from cooperating with any government investigation (including maintaining the confidentiality of such investigation if required by the government), nor shall any such cooperation be deemed to be a violation of your obligations of non-disparagement set forth in Section 5(iv) above.</w:t>
      </w:r>
    </w:p>
    <w:p>
      <w:pPr>
        <w:spacing w:after="0" w:line="192" w:lineRule="exact"/>
        <w:rPr>
          <w:rFonts w:ascii="Times New Roman" w:cs="Times New Roman" w:eastAsia="Times New Roman" w:hAnsi="Times New Roman"/>
          <w:sz w:val="19"/>
          <w:szCs w:val="19"/>
          <w:color w:val="auto"/>
        </w:rPr>
      </w:pPr>
    </w:p>
    <w:p>
      <w:pPr>
        <w:ind w:right="100" w:firstLine="757"/>
        <w:spacing w:after="0" w:line="254" w:lineRule="auto"/>
        <w:tabs>
          <w:tab w:leader="none" w:pos="114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You hereby acknowledge and agree that by signing this Agreement, you are waiving your right to assert any Claim (as defined below) against Synlogic arising from acts or omissions that occurred on or before the Separation Date or the Effective Date, whichever is later. Please note definition of Synlogic contained in footnote 1 of this Agreement.</w:t>
      </w:r>
    </w:p>
    <w:p>
      <w:pPr>
        <w:spacing w:after="0" w:line="188" w:lineRule="exact"/>
        <w:rPr>
          <w:sz w:val="20"/>
          <w:szCs w:val="20"/>
          <w:color w:val="auto"/>
        </w:rPr>
      </w:pPr>
    </w:p>
    <w:p>
      <w:pPr>
        <w:ind w:right="60" w:firstLine="594"/>
        <w:spacing w:after="0" w:line="242" w:lineRule="auto"/>
        <w:rPr>
          <w:sz w:val="20"/>
          <w:szCs w:val="20"/>
          <w:color w:val="auto"/>
        </w:rPr>
      </w:pPr>
      <w:r>
        <w:rPr>
          <w:rFonts w:ascii="Times New Roman" w:cs="Times New Roman" w:eastAsia="Times New Roman" w:hAnsi="Times New Roman"/>
          <w:sz w:val="20"/>
          <w:szCs w:val="20"/>
          <w:color w:val="auto"/>
        </w:rPr>
        <w:t>Your waiver and release is intended to bar any form of legal claim, lawsuit, charge, complaint or any other form of action (jointly referred to as “Claims”) against the Company seeking money or any other form of relief, including but not limited to equitable relief (whether declaratory, injunctive or otherwise), damages or any other form of monetary recovery (including but not limited to back pay, front pay, compensatory damages, emotional distress damages, punitive damages, attorneys’ fees and any other costs).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 under any statute, ordinance, regulation, executive order, common law, constitution and/or other source of law of any state, country and/or locality (collectively and individually referred to as “Law”), including but not limited to the United States, the Commonwealth of Massachusetts, and/or any other state or locality where you worked for the Company.</w:t>
      </w:r>
    </w:p>
    <w:p>
      <w:pPr>
        <w:spacing w:after="0" w:line="206" w:lineRule="exact"/>
        <w:rPr>
          <w:sz w:val="20"/>
          <w:szCs w:val="20"/>
          <w:color w:val="auto"/>
        </w:rPr>
      </w:pPr>
    </w:p>
    <w:p>
      <w:pPr>
        <w:ind w:right="160" w:firstLine="495"/>
        <w:spacing w:after="0" w:line="254" w:lineRule="auto"/>
        <w:rPr>
          <w:sz w:val="20"/>
          <w:szCs w:val="20"/>
          <w:color w:val="auto"/>
        </w:rPr>
      </w:pPr>
      <w:r>
        <w:rPr>
          <w:rFonts w:ascii="Times New Roman" w:cs="Times New Roman" w:eastAsia="Times New Roman" w:hAnsi="Times New Roman"/>
          <w:sz w:val="20"/>
          <w:szCs w:val="20"/>
          <w:color w:val="auto"/>
        </w:rPr>
        <w:t>Without limiting the foregoing general waiver and release, except for Claims resulting from the failure of the Company to perform its obligations under this Agreement, you specifically waive and release the Company from any Claims arising from or related to your employment relationship with the Company or the termination thereof, including without limitation: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472C4"/>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0" w:name="page81"/>
    <w:bookmarkEnd w:id="80"/>
    <w:p>
      <w:pPr>
        <w:ind w:left="1500" w:hanging="690"/>
        <w:spacing w:after="0" w:line="243" w:lineRule="auto"/>
        <w:tabs>
          <w:tab w:leader="none" w:pos="1201"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under any Law concerning discrimination, harassment, retaliation, or other fair employment practices, including, but not limited to the Massachusetts Anti-Discrimination and Anti-Harassment Law (M.G.L. c. 151B), the Massachusetts Sexual Harassment Law (M.G.L. c. 214, § 1C), the Massachusetts Equal Pay Act (M.G.L. c. 149, § 105A), the Massachusetts Civil Rights Act (M.G.L. c. 12, §§ 11H, 11I), the Massachusetts Equal Rights Act (M.G.L. c. 93, §§ 102, 103), the Age Discrimination in Employment Act (29 U.S.C. § 621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Title VII of the Civil Rights Act of 1964 (42 U.S.C. § 2000e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42 U.S.C. § 1981, the Civil Rights Act of 1991, Section 1981 of the U.S.C. Title 42, the Americans with Disabilities Act (42 U.S.C. § 12101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the Occupational Safety and Health Act, 29 U.S.C. §651 et seq. each as they may have been amended through the Separation Date or the Effective Date, whichever is later.</w:t>
      </w:r>
    </w:p>
    <w:p>
      <w:pPr>
        <w:spacing w:after="0" w:line="202" w:lineRule="exact"/>
        <w:rPr>
          <w:rFonts w:ascii="Times New Roman" w:cs="Times New Roman" w:eastAsia="Times New Roman" w:hAnsi="Times New Roman"/>
          <w:sz w:val="20"/>
          <w:szCs w:val="20"/>
          <w:color w:val="auto"/>
        </w:rPr>
      </w:pPr>
    </w:p>
    <w:p>
      <w:pPr>
        <w:ind w:left="1500" w:hanging="690"/>
        <w:spacing w:after="0" w:line="242" w:lineRule="auto"/>
        <w:tabs>
          <w:tab w:leader="none" w:pos="1201"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under any Law relating to wages, hours, whistleblowing, leaves of absences or any other terms and conditions of employment, including but not limited to the Family and Medical Leave Act of 1993 (29 U.S.C. § 2601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Emergency Family and Medical Leave Expansion Act (Pub. L. No. 116-127, § 3101, 134 Stat. 178, 189); the Emergency Paid Sick Leave Act (Pub. L. No. 116-127, § 5101, 134 Stat. 178, 195), the Employee Retirement Income Security Act (ERISA), the Fair Labor Standards Act, the Worker Adjustment and Retraining Notification (WARN) Act, the National Labor Relations Act (NLRA), the American Rescue Plan Act of 2021, the Massachusetts Payment of Wages Law (Massachusetts General Laws Chapter 149, §§ 148, 150), Massachusetts General Laws Chapter 149 in its entirety, Massachusetts General Laws Chapter 151 in its entirety (including but not limited to the minimum wage and overtime provisions), the Massachusetts Paid Family Medical Leave Act (M.G.L. c. 175M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each as they may have been amended through the Separation Date or the Effective Date, whichever is later. You specifically acknowledge that you are waiving any Claims for unpaid wages under these and other Laws.</w:t>
      </w:r>
    </w:p>
    <w:p>
      <w:pPr>
        <w:spacing w:after="0" w:line="203" w:lineRule="exact"/>
        <w:rPr>
          <w:rFonts w:ascii="Times New Roman" w:cs="Times New Roman" w:eastAsia="Times New Roman" w:hAnsi="Times New Roman"/>
          <w:sz w:val="20"/>
          <w:szCs w:val="20"/>
          <w:color w:val="auto"/>
        </w:rPr>
      </w:pPr>
    </w:p>
    <w:p>
      <w:pPr>
        <w:ind w:left="1500" w:hanging="690"/>
        <w:spacing w:after="0" w:line="249" w:lineRule="auto"/>
        <w:tabs>
          <w:tab w:leader="none" w:pos="1596"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under any local, state or federal common law theory including, without limitation, any Claim for breach of contract, ownership of inventions or any other intellectual property, implied contract, misrepresentation (intentional or negligent), fraud, promissory estoppel, unjust enrichment, quantum meruit, defamation (libel or slander), or any other Claim sounding in contract or tort.</w:t>
      </w:r>
    </w:p>
    <w:p>
      <w:pPr>
        <w:spacing w:after="0" w:line="193"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arising under the Company’s policies or benefit plans.</w:t>
      </w:r>
    </w:p>
    <w:p>
      <w:pPr>
        <w:spacing w:after="0" w:line="22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arising under any other Law or constitution.</w:t>
      </w:r>
    </w:p>
    <w:p>
      <w:pPr>
        <w:spacing w:after="0" w:line="229" w:lineRule="exact"/>
        <w:rPr>
          <w:sz w:val="20"/>
          <w:szCs w:val="20"/>
          <w:color w:val="auto"/>
        </w:rPr>
      </w:pPr>
    </w:p>
    <w:p>
      <w:pPr>
        <w:jc w:val="both"/>
        <w:ind w:right="20" w:firstLine="396"/>
        <w:spacing w:after="0" w:line="254" w:lineRule="auto"/>
        <w:rPr>
          <w:sz w:val="20"/>
          <w:szCs w:val="20"/>
          <w:color w:val="auto"/>
        </w:rPr>
      </w:pPr>
      <w:r>
        <w:rPr>
          <w:rFonts w:ascii="Times New Roman" w:cs="Times New Roman" w:eastAsia="Times New Roman" w:hAnsi="Times New Roman"/>
          <w:sz w:val="20"/>
          <w:szCs w:val="20"/>
          <w:color w:val="auto"/>
        </w:rPr>
        <w:t>Notwithstanding the foregoing, this Section shall not release Synlogic from any obligation expressly set forth in this Agreement. You acknowledge and agree that, but for providing this waiver and release, you would not be receiving the Severance Pay and Benefits provided for in this Agreement.</w:t>
      </w:r>
    </w:p>
    <w:p>
      <w:pPr>
        <w:spacing w:after="0" w:line="188" w:lineRule="exact"/>
        <w:rPr>
          <w:sz w:val="20"/>
          <w:szCs w:val="20"/>
          <w:color w:val="auto"/>
        </w:rPr>
      </w:pPr>
    </w:p>
    <w:p>
      <w:pPr>
        <w:jc w:val="both"/>
        <w:ind w:firstLine="757"/>
        <w:spacing w:after="0" w:line="246" w:lineRule="auto"/>
        <w:tabs>
          <w:tab w:leader="none" w:pos="115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OWBPA</w:t>
      </w:r>
      <w:r>
        <w:rPr>
          <w:rFonts w:ascii="Times New Roman" w:cs="Times New Roman" w:eastAsia="Times New Roman" w:hAnsi="Times New Roman"/>
          <w:sz w:val="20"/>
          <w:szCs w:val="20"/>
          <w:color w:val="auto"/>
        </w:rPr>
        <w:t>. Because you are at least forty (40) years of age, you have specific rights under the federal Age Discrimination in Employment Act (“ADEA”) and Older Workers Benefit Protection Act (“OWBPA”), which prohibit discrimination on the basis of age. The release in Section 7 is intended to release any Claim you may have against Synlogic alleging discrimination on the basis of age under the ADEA, OWBPA, and other Laws. Notwithstanding anything to the contrary in this Agreement, the release in Section 7 does not cover rights or Claims under the ADEA that arise after the date you sign this Agreement or the Effective Date, whichever is later.</w:t>
      </w:r>
    </w:p>
    <w:p>
      <w:pPr>
        <w:spacing w:after="0" w:line="1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Further, it is the Company’s desire and intent to make certain that you fully understand the provisions and effects of this Agreement. To that end, the Company hereby advises you in writing to consult with legal counsel prior to signing this Agreement for the purpose of reviewing the terms of this Agreement. Also, because you are at least age 40, and consistent with the provisions of the OWBPA, you are being provided with certain information, in the chart attached as Exhibit B to this Agreement, pertaining to the ages and job titles of employees in the same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472C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1" w:name="page82"/>
    <w:bookmarkEnd w:id="81"/>
    <w:p>
      <w:pPr>
        <w:jc w:val="both"/>
        <w:spacing w:after="0" w:line="243" w:lineRule="auto"/>
        <w:rPr>
          <w:sz w:val="20"/>
          <w:szCs w:val="20"/>
          <w:color w:val="auto"/>
        </w:rPr>
      </w:pPr>
      <w:r>
        <w:rPr>
          <w:rFonts w:ascii="Times New Roman" w:cs="Times New Roman" w:eastAsia="Times New Roman" w:hAnsi="Times New Roman"/>
          <w:sz w:val="20"/>
          <w:szCs w:val="20"/>
          <w:color w:val="auto"/>
        </w:rPr>
        <w:t>decisional unit who are affected and who are not affected by the reduction in force that is resulting in the termination of your employment. In addition, consistent with the provisions of the OWBPA, the Company is providing you with over forty-five (45) days from the date you are provided this Agreement to consider and accept the terms of this Agreement by signing below and returning it to Mary Beth Dooley, Head of Finance at marybeth@synlogictx.com or returning it to Synlogic, 301 Binney St, Cambridge, MA 02142 c/o Mary Beth Dooley, Head of Finance, and notifying Mary Beth Dooley by email that it has been sent by hard copy.You further agree that any changes to this Agreement will not restart the running of this 45-day period. In addition, you may rescind your assent to this Agreement if, within seven (7) days after you sign this Agreement, you deliver a notice of rescission to Synlogic. To be effective, such rescission must be hand delivered or postmarked within the seven (7) day period and sent by certified mail, return receipt requested, to Mary Beth Dooley at Synlogic at the above referenced address.</w:t>
      </w:r>
    </w:p>
    <w:p>
      <w:pPr>
        <w:spacing w:after="0" w:line="19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Also, consistent with the provisions of state and federal discrimination laws (the “Discrimination Laws”), nothing in the general waiver and release set forth in Section 7 above shall be deemed to prohibit you from challenging the validity of this release under the Discrimination Laws or from filing a charge or complaint of age or other related discrimination with the Equal Employment Opportunity Commission (“EEOC”) or similar state agency, or from participating in any investigation or proceeding conducted by the EEOC or such state agency. However, the release in Section 7 does prohibit you from seeking or receiving monetary damages or other individual-specific relief in connection with any such charge or complaint of age or other work-related discrimination. Further, nothing in this Agreement shall be deemed to limit Synlogic’s right to seek immediate dismissal of such charge or complaint on the basis that your signing of this Agreement constitutes a full release of any individual rights under the Discrimination Laws, or Synlogic’s right to seek restitution or other legal remedies to the extent permitted by law of the economic benefits provided to you under this Agreement in the event that you successfully challenge the validity of this release and prevail in any claim under the Discrimination Laws.</w:t>
      </w:r>
    </w:p>
    <w:p>
      <w:pPr>
        <w:spacing w:after="0" w:line="206" w:lineRule="exact"/>
        <w:rPr>
          <w:sz w:val="20"/>
          <w:szCs w:val="20"/>
          <w:color w:val="auto"/>
        </w:rPr>
      </w:pPr>
    </w:p>
    <w:p>
      <w:pPr>
        <w:jc w:val="both"/>
        <w:ind w:firstLine="757"/>
        <w:spacing w:after="0" w:line="246" w:lineRule="auto"/>
        <w:tabs>
          <w:tab w:leader="none" w:pos="117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Consequences of Breach</w:t>
      </w:r>
      <w:r>
        <w:rPr>
          <w:rFonts w:ascii="Times New Roman" w:cs="Times New Roman" w:eastAsia="Times New Roman" w:hAnsi="Times New Roman"/>
          <w:sz w:val="20"/>
          <w:szCs w:val="20"/>
          <w:color w:val="auto"/>
        </w:rPr>
        <w:t>. In addition to any other remedies set forth in this Agreement, a breach by you of any of your obligations set forth in this Agreement shall constitute a material breach of this Agreement and, in addition to any other legal or equitable remedy available to Synlogic, shall entitle Synlogic to cease any further payment of the Severance Pay and Benefits, and to recover any Severance Pay or Benefits or its support for other benefits already provided to you. Regardless of any such breach, your release set forth in Section 7 above shall remain in full force and effect.</w:t>
      </w:r>
    </w:p>
    <w:p>
      <w:pPr>
        <w:spacing w:after="0" w:line="19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Agreement/Choice of Law/Enforceability/Jury Waiver/Successors and Assigns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760" w:hanging="356"/>
        <w:spacing w:after="0" w:line="254" w:lineRule="auto"/>
        <w:tabs>
          <w:tab w:leader="none" w:pos="86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in this Agreement, this Agreement supersedes any and all other prior oral and/or written agreements and sets forth the entire agreement between you and Synlogic. No variations or modifications hereof shall be deemed valid unless reduced to writing and signed by the parties hereto.</w:t>
      </w:r>
    </w:p>
    <w:p>
      <w:pPr>
        <w:spacing w:after="0" w:line="187" w:lineRule="exact"/>
        <w:rPr>
          <w:rFonts w:ascii="Times New Roman" w:cs="Times New Roman" w:eastAsia="Times New Roman" w:hAnsi="Times New Roman"/>
          <w:sz w:val="20"/>
          <w:szCs w:val="20"/>
          <w:color w:val="auto"/>
        </w:rPr>
      </w:pPr>
    </w:p>
    <w:p>
      <w:pPr>
        <w:ind w:left="760" w:right="60" w:hanging="356"/>
        <w:spacing w:after="0" w:line="269" w:lineRule="auto"/>
        <w:tabs>
          <w:tab w:leader="none" w:pos="80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the law of the state where you reside on the date you sign this Agreement, without giving effect to conflict of law principles.</w:t>
      </w:r>
    </w:p>
    <w:p>
      <w:pPr>
        <w:spacing w:after="0" w:line="172" w:lineRule="exact"/>
        <w:rPr>
          <w:rFonts w:ascii="Times New Roman" w:cs="Times New Roman" w:eastAsia="Times New Roman" w:hAnsi="Times New Roman"/>
          <w:sz w:val="20"/>
          <w:szCs w:val="20"/>
          <w:color w:val="auto"/>
        </w:rPr>
      </w:pPr>
    </w:p>
    <w:p>
      <w:pPr>
        <w:ind w:left="760" w:right="80" w:hanging="356"/>
        <w:spacing w:after="0" w:line="269" w:lineRule="auto"/>
        <w:tabs>
          <w:tab w:leader="none" w:pos="119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parties further agree that any action, demand, claim or counterclaim relating to this Agreement shall be resolved by a judge alone, and both parties hereby waive and forever renounce the right to a trial before a civil jury.</w:t>
      </w:r>
    </w:p>
    <w:p>
      <w:pPr>
        <w:spacing w:after="0" w:line="172" w:lineRule="exact"/>
        <w:rPr>
          <w:rFonts w:ascii="Times New Roman" w:cs="Times New Roman" w:eastAsia="Times New Roman" w:hAnsi="Times New Roman"/>
          <w:sz w:val="20"/>
          <w:szCs w:val="20"/>
          <w:color w:val="auto"/>
        </w:rPr>
      </w:pPr>
    </w:p>
    <w:p>
      <w:pPr>
        <w:jc w:val="both"/>
        <w:ind w:left="760" w:hanging="356"/>
        <w:spacing w:after="0" w:line="245" w:lineRule="auto"/>
        <w:tabs>
          <w:tab w:leader="none" w:pos="119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release of Claims pursuant to Section 7 is determined to be unenforceable in whole or part, the Company will have the option, in its sole discretion, to either (a) declare the entire Agreement null and void and require you to refund the Severance Pay and Benefits provided for in this Agreement; or (b) enforce the portions of the Agreement found not to be unenforceable. In the event that any other provision of this Agreement is determined to be unenforceable in whole or part, the remainder of the</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Agreement shall be enforced in full.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472C4"/>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2" w:name="page83"/>
    <w:bookmarkEnd w:id="82"/>
    <w:p>
      <w:pPr>
        <w:ind w:left="400"/>
        <w:spacing w:after="0"/>
        <w:tabs>
          <w:tab w:leader="none" w:pos="780" w:val="left"/>
        </w:tabs>
        <w:rPr>
          <w:sz w:val="20"/>
          <w:szCs w:val="20"/>
          <w:color w:val="auto"/>
        </w:rPr>
      </w:pPr>
      <w:r>
        <w:rPr>
          <w:rFonts w:ascii="Times New Roman" w:cs="Times New Roman" w:eastAsia="Times New Roman" w:hAnsi="Times New Roman"/>
          <w:sz w:val="20"/>
          <w:szCs w:val="20"/>
          <w:color w:val="auto"/>
        </w:rPr>
        <w:t>(v)</w:t>
      </w:r>
      <w:r>
        <w:rPr>
          <w:sz w:val="20"/>
          <w:szCs w:val="20"/>
          <w:color w:val="auto"/>
        </w:rPr>
        <w:tab/>
      </w:r>
      <w:r>
        <w:rPr>
          <w:rFonts w:ascii="Times New Roman" w:cs="Times New Roman" w:eastAsia="Times New Roman" w:hAnsi="Times New Roman"/>
          <w:sz w:val="19"/>
          <w:szCs w:val="19"/>
          <w:color w:val="auto"/>
        </w:rPr>
        <w:t>This Agreement shall inure to the benefit of Synlogic and any of its successors and assigns.</w:t>
      </w:r>
    </w:p>
    <w:p>
      <w:pPr>
        <w:spacing w:after="0" w:line="225" w:lineRule="exact"/>
        <w:rPr>
          <w:sz w:val="20"/>
          <w:szCs w:val="20"/>
          <w:color w:val="auto"/>
        </w:rPr>
      </w:pPr>
    </w:p>
    <w:p>
      <w:pPr>
        <w:jc w:val="both"/>
        <w:ind w:firstLine="409"/>
        <w:spacing w:after="0" w:line="247" w:lineRule="auto"/>
        <w:rPr>
          <w:sz w:val="20"/>
          <w:szCs w:val="20"/>
          <w:color w:val="auto"/>
        </w:rPr>
      </w:pPr>
      <w:r>
        <w:rPr>
          <w:rFonts w:ascii="Times New Roman" w:cs="Times New Roman" w:eastAsia="Times New Roman" w:hAnsi="Times New Roman"/>
          <w:sz w:val="20"/>
          <w:szCs w:val="20"/>
          <w:b w:val="1"/>
          <w:bCs w:val="1"/>
          <w:color w:val="auto"/>
        </w:rPr>
        <w:t>It is Synlogic’s desire and intent to make certain that you fully understand the provisions and effects of this Agreement. By executing this Agreement, you are acknowledging (a) that you have been afforded sufficient time to understand the terms and effects of this Agreement and to consult with legal counsel, (b) that your agreements and obligations hereunder are made voluntarily, knowingly and without duress, and (c) that neither Synlogic nor its agents or representatives have made any representations inconsistent with the provisions of this Agreement.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you agree to the terms of this Agreement, please sign and return the enclosed copy of this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Very truly yours,</w:t>
            </w: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59"/>
        </w:trPr>
        <w:tc>
          <w:tcPr>
            <w:tcW w:w="23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Synlogic, Inc.</w:t>
            </w:r>
          </w:p>
        </w:tc>
        <w:tc>
          <w:tcPr>
            <w:tcW w:w="800" w:type="dxa"/>
            <w:vAlign w:val="bottom"/>
          </w:tcPr>
          <w:p>
            <w:pPr>
              <w:spacing w:after="0"/>
              <w:rPr>
                <w:sz w:val="24"/>
                <w:szCs w:val="24"/>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7"/>
              </w:rPr>
              <w:t>Accepted and Agreed To:</w:t>
            </w:r>
          </w:p>
        </w:tc>
      </w:tr>
      <w:tr>
        <w:trPr>
          <w:trHeight w:val="872"/>
        </w:trPr>
        <w:tc>
          <w:tcPr>
            <w:tcW w:w="23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Peter Barrett</w:t>
            </w:r>
          </w:p>
        </w:tc>
        <w:tc>
          <w:tcPr>
            <w:tcW w:w="800" w:type="dxa"/>
            <w:vAlign w:val="bottom"/>
          </w:tcPr>
          <w:p>
            <w:pPr>
              <w:spacing w:after="0"/>
              <w:rPr>
                <w:sz w:val="24"/>
                <w:szCs w:val="24"/>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 Tony Awad</w:t>
            </w:r>
          </w:p>
        </w:tc>
      </w:tr>
      <w:tr>
        <w:trPr>
          <w:trHeight w:val="20"/>
        </w:trPr>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7"/>
        </w:trPr>
        <w:tc>
          <w:tcPr>
            <w:tcW w:w="2380" w:type="dxa"/>
            <w:vAlign w:val="bottom"/>
            <w:gridSpan w:val="4"/>
          </w:tcPr>
          <w:p>
            <w:pPr>
              <w:spacing w:after="0" w:line="228" w:lineRule="exact"/>
              <w:rPr>
                <w:sz w:val="20"/>
                <w:szCs w:val="20"/>
                <w:color w:val="auto"/>
              </w:rPr>
            </w:pPr>
            <w:r>
              <w:rPr>
                <w:rFonts w:ascii="Times New Roman" w:cs="Times New Roman" w:eastAsia="Times New Roman" w:hAnsi="Times New Roman"/>
                <w:sz w:val="20"/>
                <w:szCs w:val="20"/>
                <w:color w:val="auto"/>
              </w:rPr>
              <w:t>Peter Barrett, Chair</w:t>
            </w: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238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auto"/>
              </w:rPr>
              <w:t>Dated:   8/5/2024</w:t>
            </w:r>
          </w:p>
        </w:tc>
        <w:tc>
          <w:tcPr>
            <w:tcW w:w="800" w:type="dxa"/>
            <w:vAlign w:val="bottom"/>
          </w:tcPr>
          <w:p>
            <w:pPr>
              <w:spacing w:after="0"/>
              <w:rPr>
                <w:sz w:val="18"/>
                <w:szCs w:val="18"/>
                <w:color w:val="auto"/>
              </w:rPr>
            </w:pPr>
          </w:p>
        </w:tc>
        <w:tc>
          <w:tcPr>
            <w:tcW w:w="202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auto"/>
              </w:rPr>
              <w:t>Dated: 8/5/2024</w:t>
            </w:r>
          </w:p>
        </w:tc>
      </w:tr>
      <w:tr>
        <w:trPr>
          <w:trHeight w:val="20"/>
        </w:trPr>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472C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131445</wp:posOffset>
            </wp:positionV>
            <wp:extent cx="1371600" cy="514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13716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Date: March 1, 2024</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Tony Awad</w:t>
      </w:r>
    </w:p>
    <w:p>
      <w:pPr>
        <w:spacing w:after="0" w:line="197"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Re:</w:t>
      </w:r>
      <w:r>
        <w:rPr>
          <w:sz w:val="20"/>
          <w:szCs w:val="20"/>
          <w:color w:val="auto"/>
        </w:rPr>
        <w:tab/>
      </w:r>
      <w:r>
        <w:rPr>
          <w:rFonts w:ascii="Times New Roman" w:cs="Times New Roman" w:eastAsia="Times New Roman" w:hAnsi="Times New Roman"/>
          <w:sz w:val="20"/>
          <w:szCs w:val="20"/>
          <w:i w:val="1"/>
          <w:iCs w:val="1"/>
          <w:color w:val="auto"/>
        </w:rPr>
        <w:t>Amendment to Retention Bonus Agreement by and between Synlogic, Inc. and Antoine Awad, dated as of March 7, 2024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Dear Tony:</w:t>
      </w:r>
    </w:p>
    <w:p>
      <w:pPr>
        <w:spacing w:after="0" w:line="2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In recognition of your value and expected contributions to Synlogic, Inc. (“the Company”) we are pleased to offer you the following Retention Bonus Agreement (the “Agreement”).</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Retention Bonus Amount and Eligibility Conditions</w:t>
      </w:r>
    </w:p>
    <w:p>
      <w:pPr>
        <w:spacing w:after="0" w:line="20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0"/>
          <w:szCs w:val="20"/>
          <w:color w:val="auto"/>
        </w:rPr>
        <w:t>If you (a) remain employed by the Company and continue to provide services at a satisfactory level through November 30, 2024 (the “Termination Date”) and (b) meet the remaining conditions of this paragraph, then you will receive a Retention Bonus in the amount of 75% of your base salary for each month worked on a pro rata basis, paid as a lump sum within thirty (30) days of your Termination Date. If you terminate your employment for any reason prior to November 30, 2024 or the Company terminates your employment for cause, then you shall not be eligible for the Retention Bonus. This bonus will be subject to all federal, state, city or other tax withholdings.</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Terms</w:t>
      </w:r>
    </w:p>
    <w:p>
      <w:pPr>
        <w:spacing w:after="0" w:line="2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20"/>
          <w:szCs w:val="20"/>
          <w:color w:val="auto"/>
        </w:rPr>
        <w:t>Nothing in this letter supersedes or in any way modifies any existing agreement(s) between you and the Company including, without limitation, any separation agreement, agreements concerning inventions assignment, protection of confidential information or trade secrets, non-solicitation of customers, clients, business or employee. This Retention Bonus is not intended and shall not be deemed a “wage” under any federal or state wage-hour law.</w:t>
      </w:r>
    </w:p>
    <w:p>
      <w:pPr>
        <w:spacing w:after="0" w:line="17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0"/>
          <w:szCs w:val="20"/>
          <w:color w:val="auto"/>
        </w:rPr>
        <w:t>You acknowledge that payment of the Retention Bonus is not part of normal or expected compensation for purposes of calculating any severance, resignation, redundancy, end of service payments, bonuses, long-service awards, pension or retirement benefits, matching contributions or similar payments.</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The validity, interpretation and performance of this Agreement shall, in all respects, be governed by the laws of the Commonwealth of Massachusetts. No provision of this Agreement may be modified, altered or amended, except in a writing signed by both you and an authorized Officer of the Company. The Company may assign or delegate this Agreement or any of its rights or obligations hereunder to a person or entity that is an affiliate of or successor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2347595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On behalf of Synlogic, I want to thank you in advance for your efforts in helping the Company. Please confirm your understanding and agreement to the terms and conditions of this Agreement by signing and returning the enclosed copy of this letter.</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Sincerely,</w:t>
      </w:r>
    </w:p>
    <w:p>
      <w:pPr>
        <w:spacing w:after="0" w:line="9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SYNLOGIC, INC.</w:t>
      </w:r>
    </w:p>
    <w:p>
      <w:pPr>
        <w:spacing w:after="0" w:line="9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18"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/s/ Peter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3136900</wp:posOffset>
            </wp:positionH>
            <wp:positionV relativeFrom="paragraph">
              <wp:posOffset>-11430</wp:posOffset>
            </wp:positionV>
            <wp:extent cx="13963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7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Peter Barrett</w:t>
      </w:r>
    </w:p>
    <w:p>
      <w:pPr>
        <w:spacing w:after="0" w:line="94"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20"/>
          <w:szCs w:val="20"/>
          <w:color w:val="auto"/>
        </w:rPr>
        <w:t>Title:</w:t>
        <w:tab/>
        <w:t>Chair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Accepted and Approved: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 Tony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39636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Name: Tony Awad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Date: 8/5/2024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1063625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-11430</wp:posOffset>
            </wp:positionV>
            <wp:extent cx="13398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Synlogic Operating Company,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301 Binney Street, Suite 402</w:t>
      </w:r>
    </w:p>
    <w:p>
      <w:pPr>
        <w:jc w:val="center"/>
        <w:spacing w:after="0"/>
        <w:rPr>
          <w:sz w:val="20"/>
          <w:szCs w:val="20"/>
          <w:color w:val="auto"/>
        </w:rPr>
      </w:pPr>
      <w:r>
        <w:rPr>
          <w:rFonts w:ascii="Times New Roman" w:cs="Times New Roman" w:eastAsia="Times New Roman" w:hAnsi="Times New Roman"/>
          <w:sz w:val="20"/>
          <w:szCs w:val="20"/>
          <w:color w:val="auto"/>
        </w:rPr>
        <w:t>Cambridge, MA 02142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5, 2024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 Amendment to Separation Agreement by and between Synlogic, Inc. and Mary Beth Dooley, dated as of February 16,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Mary Beth,</w:t>
      </w:r>
    </w:p>
    <w:p>
      <w:pPr>
        <w:spacing w:after="0" w:line="22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purpose of this letter agreement (“Agreement”) is to confirm the terms of this separation of employment from Synlogic, Inc. (“Synlogic” or “the Company”). The Severance Pay and Benefits described below are contingent on your agreement to and compliance with the provisions of this Agreement, as set forth below. This Agreement shall be effective on the day after you sign the same (the “Effective Date”).</w:t>
      </w:r>
    </w:p>
    <w:p>
      <w:pPr>
        <w:spacing w:after="0" w:line="193" w:lineRule="exact"/>
        <w:rPr>
          <w:sz w:val="20"/>
          <w:szCs w:val="20"/>
          <w:color w:val="auto"/>
        </w:rPr>
      </w:pPr>
    </w:p>
    <w:p>
      <w:pPr>
        <w:jc w:val="both"/>
        <w:ind w:firstLine="757"/>
        <w:spacing w:after="0" w:line="254" w:lineRule="auto"/>
        <w:tabs>
          <w:tab w:leader="none" w:pos="114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of Employment</w:t>
      </w:r>
      <w:r>
        <w:rPr>
          <w:rFonts w:ascii="Times New Roman" w:cs="Times New Roman" w:eastAsia="Times New Roman" w:hAnsi="Times New Roman"/>
          <w:sz w:val="20"/>
          <w:szCs w:val="20"/>
          <w:color w:val="auto"/>
        </w:rPr>
        <w:t>. As previously communicated to you, your employment with the Company ends on November 30, 2024 (the “Separation Date”). You acknowledge that from and after the Separation Date, you have no authority to, and shall not, represent yourself as an employee or agent of the Company.</w:t>
      </w:r>
    </w:p>
    <w:p>
      <w:pPr>
        <w:spacing w:after="0" w:line="187"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 and Benefits</w:t>
      </w:r>
      <w:r>
        <w:rPr>
          <w:rFonts w:ascii="Times New Roman" w:cs="Times New Roman" w:eastAsia="Times New Roman" w:hAnsi="Times New Roman"/>
          <w:sz w:val="20"/>
          <w:szCs w:val="20"/>
          <w:color w:val="auto"/>
        </w:rPr>
        <w:t>.  If you comply with the terms of this Agreement, the Company will provide you with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w:t>
      </w:r>
    </w:p>
    <w:p>
      <w:pPr>
        <w:spacing w:after="0" w:line="207" w:lineRule="exact"/>
        <w:rPr>
          <w:sz w:val="20"/>
          <w:szCs w:val="20"/>
          <w:color w:val="auto"/>
        </w:rPr>
      </w:pPr>
    </w:p>
    <w:p>
      <w:pPr>
        <w:ind w:right="20" w:firstLine="757"/>
        <w:spacing w:after="0" w:line="269" w:lineRule="auto"/>
        <w:tabs>
          <w:tab w:leader="none" w:pos="114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Severance Pay in the form of a lump-sum payment equivalent to six (6) months of your base salary, or $162,500, less all tax withholdings and any other authorized deductions paid within thirty (30) days of you returning an executed Agreement.</w:t>
      </w:r>
    </w:p>
    <w:p>
      <w:pPr>
        <w:spacing w:after="0" w:line="172"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Health and Other Benefits</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2340" w:hanging="835"/>
        <w:spacing w:after="0" w:line="241" w:lineRule="auto"/>
        <w:tabs>
          <w:tab w:leader="none" w:pos="2340" w:val="left"/>
        </w:tabs>
        <w:numPr>
          <w:ilvl w:val="1"/>
          <w:numId w:val="6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0"/>
          <w:szCs w:val="20"/>
          <w:color w:val="auto"/>
        </w:rPr>
        <w:t>Health: You will have the right to continue your participation in Synlogic’s medical and dental insurance programs through your Separation Date. You will then have the right to continue your participation in Synlogic’s medical and dental insurance programs subject to your timely applying and being eligible for such benefits pursuant to the provisions of the Consolidated Omnibus Budget Reconciliation Act of 1985 (COBRA), subject to the requirements of COBRA and the continuation of the Company medical and dental plans by its insurance carrier. If you sign this Agreement and it becomes effective as set forth below, and elect COBRA coverage, the Company will continue to pay the Company premium for such coverage for six (6) months after your Separation Date. Your medical and dental plan contributions will be deducted from your severance pay. Thereafter, your continuation of your medical and dental insurance pursuant to the provisions of COBRA will be solely at your own cost. The “qualifying event” under COBRA shall be deemed to have commenced on the Separation Date.</w:t>
      </w:r>
    </w:p>
    <w:p>
      <w:pPr>
        <w:spacing w:after="0" w:line="216" w:lineRule="exact"/>
        <w:rPr>
          <w:sz w:val="20"/>
          <w:szCs w:val="20"/>
          <w:color w:val="auto"/>
        </w:rPr>
      </w:pPr>
    </w:p>
    <w:p>
      <w:pPr>
        <w:jc w:val="both"/>
        <w:ind w:left="2340"/>
        <w:spacing w:after="0" w:line="249" w:lineRule="auto"/>
        <w:rPr>
          <w:sz w:val="20"/>
          <w:szCs w:val="20"/>
          <w:color w:val="auto"/>
        </w:rPr>
      </w:pPr>
      <w:r>
        <w:rPr>
          <w:rFonts w:ascii="Times New Roman" w:cs="Times New Roman" w:eastAsia="Times New Roman" w:hAnsi="Times New Roman"/>
          <w:sz w:val="20"/>
          <w:szCs w:val="20"/>
          <w:color w:val="auto"/>
        </w:rPr>
        <w:t>In the event that the Company, in connection with the winding down of its business, terminates its group health plan coverage, the Company shall provide you with a taxable lump sum payment equal to the cost of the currently selected medical benefit option times the number of months remaining in the severance period following cessation of the Company’s group health plan coverage.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both"/>
        <w:ind w:left="2340" w:hanging="835"/>
        <w:spacing w:after="0" w:line="247" w:lineRule="auto"/>
        <w:tabs>
          <w:tab w:leader="none" w:pos="2340" w:val="left"/>
        </w:tabs>
        <w:numPr>
          <w:ilvl w:val="1"/>
          <w:numId w:val="6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2024 Bonus</w:t>
      </w:r>
      <w:r>
        <w:rPr>
          <w:rFonts w:ascii="Times New Roman" w:cs="Times New Roman" w:eastAsia="Times New Roman" w:hAnsi="Times New Roman"/>
          <w:sz w:val="21"/>
          <w:szCs w:val="21"/>
          <w:color w:val="auto"/>
        </w:rPr>
        <w:t>: You will be eligible for consideration of 100% of your target 2024 bonus, pro-rated by the number of days employed in 2024. The determination of whether to award a bonus and the amount of such bonus shall be in the sole discretion of the Company and is subject to the approval of the Board of Directors. If such bonus is awarded, it is expected to be paid by no later than within thirty (30) days of you returning an executed Agreement. You acknowledge and agree that you have no contractual or other entitlement to such a bonus.</w:t>
      </w:r>
    </w:p>
    <w:p>
      <w:pPr>
        <w:spacing w:after="0" w:line="206" w:lineRule="exact"/>
        <w:rPr>
          <w:rFonts w:ascii="Times New Roman" w:cs="Times New Roman" w:eastAsia="Times New Roman" w:hAnsi="Times New Roman"/>
          <w:sz w:val="21"/>
          <w:szCs w:val="21"/>
          <w:u w:val="single" w:color="auto"/>
          <w:color w:val="auto"/>
        </w:rPr>
      </w:pPr>
    </w:p>
    <w:p>
      <w:pPr>
        <w:ind w:left="1160" w:hanging="403"/>
        <w:spacing w:after="0"/>
        <w:tabs>
          <w:tab w:leader="none" w:pos="11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757"/>
        <w:spacing w:after="0" w:line="245" w:lineRule="auto"/>
        <w:tabs>
          <w:tab w:leader="none" w:pos="98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Equity Grants will continue to vest during the employment period according to the applicable vesting schedule set forth in the original grant agreement, but shall otherwise remain subject to the original terms and conditions of such Equity Grants. Any unvested equity upon the termination of this Agreement will be forfeited. The term "Equity Grants" shall mean all previous grants to the Employee of (i) shares of Restricted Stock and (ii) grants of stock options (the “Options”) to purchase common stock of the Company, par value $0.001 per share ("Common Stock"), in each case which are subject to time-based vesting as set forth in the applicable Restricted Stock or Option agreement(s).</w:t>
      </w:r>
    </w:p>
    <w:p>
      <w:pPr>
        <w:spacing w:after="0" w:line="197"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Portion of Options: The Company and the Employee hereby agree that Options are amended on the date indicated on the first page of this Agreement (the “Effective Date”), to provide that the portions of such Options which are vested (the “Vested Options”) shall continue to be outstanding so long as this Agreement remains in effect.</w:t>
      </w:r>
    </w:p>
    <w:p>
      <w:pPr>
        <w:spacing w:after="0" w:line="187" w:lineRule="exact"/>
        <w:rPr>
          <w:rFonts w:ascii="Times New Roman" w:cs="Times New Roman" w:eastAsia="Times New Roman" w:hAnsi="Times New Roman"/>
          <w:sz w:val="20"/>
          <w:szCs w:val="20"/>
          <w:color w:val="auto"/>
        </w:rPr>
      </w:pPr>
    </w:p>
    <w:p>
      <w:pPr>
        <w:ind w:right="280" w:firstLine="757"/>
        <w:spacing w:after="0" w:line="269" w:lineRule="auto"/>
        <w:tabs>
          <w:tab w:leader="none" w:pos="109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Unvested Portion: The Company and the Employee hereby agree that the Equity Grants are further amended effective on the Effective Date as follows:</w:t>
      </w:r>
    </w:p>
    <w:p>
      <w:pPr>
        <w:spacing w:after="0" w:line="172" w:lineRule="exact"/>
        <w:rPr>
          <w:rFonts w:ascii="Times New Roman" w:cs="Times New Roman" w:eastAsia="Times New Roman" w:hAnsi="Times New Roman"/>
          <w:sz w:val="20"/>
          <w:szCs w:val="20"/>
          <w:color w:val="auto"/>
        </w:rPr>
      </w:pPr>
    </w:p>
    <w:p>
      <w:pPr>
        <w:ind w:left="760" w:right="160" w:firstLine="745"/>
        <w:spacing w:after="0" w:line="269" w:lineRule="auto"/>
        <w:tabs>
          <w:tab w:leader="none" w:pos="183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shall have 90 days following such termination in which to exercise any Options which are vested as of the termination date, after which 90- day period any unexercised stock options shall be forfeited to the Company.</w:t>
      </w:r>
    </w:p>
    <w:p>
      <w:pPr>
        <w:spacing w:after="0" w:line="172"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vesting schedule of the unvested portion of the Equity Grant shall not be modified.</w:t>
      </w:r>
    </w:p>
    <w:p>
      <w:pPr>
        <w:spacing w:after="0" w:line="229"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further grants of equity will be made to Employee.</w:t>
      </w:r>
    </w:p>
    <w:p>
      <w:pPr>
        <w:spacing w:after="0" w:line="229" w:lineRule="exact"/>
        <w:rPr>
          <w:rFonts w:ascii="Times New Roman" w:cs="Times New Roman" w:eastAsia="Times New Roman" w:hAnsi="Times New Roman"/>
          <w:sz w:val="20"/>
          <w:szCs w:val="20"/>
          <w:color w:val="auto"/>
        </w:rPr>
      </w:pPr>
    </w:p>
    <w:p>
      <w:pPr>
        <w:jc w:val="both"/>
        <w:ind w:right="120" w:firstLine="757"/>
        <w:spacing w:after="0" w:line="254" w:lineRule="auto"/>
        <w:tabs>
          <w:tab w:leader="none" w:pos="108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amend the Equity Grant in accordance with applicable sections of the Company's 2015 Equity Incentive Award Plan and Company’s 2017 Stock Incentive Plan. The provisions of the Equity Grant, including without limitation the expiration dates of the Options, which are not amended or terminated hereby shall remain in effect unchanged.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472C4"/>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7" w:name="page88"/>
    <w:bookmarkEnd w:id="87"/>
    <w:p>
      <w:pPr>
        <w:ind w:right="400" w:firstLine="757"/>
        <w:spacing w:after="0" w:line="254" w:lineRule="auto"/>
        <w:tabs>
          <w:tab w:leader="none" w:pos="102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upon the earlier of (a) the filing of a certificate of corporate dissolution with the Delaware Secretary of State or (b) the closing of a Change in Control, the Unvested Portion of each Equity Grant shall accelerate and become fully vested.</w:t>
      </w:r>
    </w:p>
    <w:p>
      <w:pPr>
        <w:spacing w:after="0" w:line="187" w:lineRule="exact"/>
        <w:rPr>
          <w:rFonts w:ascii="Times New Roman" w:cs="Times New Roman" w:eastAsia="Times New Roman" w:hAnsi="Times New Roman"/>
          <w:sz w:val="20"/>
          <w:szCs w:val="20"/>
          <w:color w:val="auto"/>
        </w:rPr>
      </w:pPr>
    </w:p>
    <w:p>
      <w:pPr>
        <w:jc w:val="both"/>
        <w:ind w:firstLine="757"/>
        <w:spacing w:after="0" w:line="249" w:lineRule="auto"/>
        <w:tabs>
          <w:tab w:leader="none" w:pos="109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of Control” shall mean the (i) the sale of the Company by merger in which the shareholders of the Company in their capacity as such no longer own a majority of the outstanding equity securities of the Company (or its successor); (ii) any sale of all or substantially all of the assets or capital stock of the Company (other than in a spin-off or similar transaction); or (iii) any other acquisition of the business of the Company, as determined by the Company’s Board of Directors in their sole discretion.</w:t>
      </w:r>
    </w:p>
    <w:p>
      <w:pPr>
        <w:spacing w:after="0" w:line="193" w:lineRule="exact"/>
        <w:rPr>
          <w:sz w:val="20"/>
          <w:szCs w:val="20"/>
          <w:color w:val="auto"/>
        </w:rPr>
      </w:pPr>
    </w:p>
    <w:p>
      <w:pPr>
        <w:jc w:val="both"/>
        <w:ind w:firstLine="757"/>
        <w:spacing w:after="0" w:line="245" w:lineRule="auto"/>
        <w:tabs>
          <w:tab w:leader="none" w:pos="114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Acknowledgements</w:t>
      </w:r>
      <w:r>
        <w:rPr>
          <w:rFonts w:ascii="Times New Roman" w:cs="Times New Roman" w:eastAsia="Times New Roman" w:hAnsi="Times New Roman"/>
          <w:sz w:val="20"/>
          <w:szCs w:val="20"/>
          <w:color w:val="auto"/>
        </w:rPr>
        <w:t>. You acknowledge and agree that the Severance Pay and Benefits to be provided to you are not intended to, and shall not constitute, a severance plan and shall confer no benefit on anyone other than the Company and you. You further acknowledge that except for any unpaid regular wages (including accrued and unused vacation) earned through the Separation Date, which shall be paid on or around the Separation Date, you have been paid and provided all wages, vacation pay, holiday pay, bonus, business expenses, and any other form of compensation or benefit that may be due to you now or which would have become due in the future in connection with your employment or separation of employment with the Company.</w:t>
      </w:r>
    </w:p>
    <w:p>
      <w:pPr>
        <w:spacing w:after="0" w:line="197" w:lineRule="exact"/>
        <w:rPr>
          <w:rFonts w:ascii="Times New Roman" w:cs="Times New Roman" w:eastAsia="Times New Roman" w:hAnsi="Times New Roman"/>
          <w:sz w:val="20"/>
          <w:szCs w:val="20"/>
          <w:color w:val="auto"/>
        </w:rPr>
      </w:pPr>
    </w:p>
    <w:p>
      <w:pPr>
        <w:ind w:left="1160" w:hanging="404"/>
        <w:spacing w:after="0"/>
        <w:tabs>
          <w:tab w:leader="none" w:pos="11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Property, Confidentiality, Non-Disparagement</w:t>
      </w:r>
      <w:r>
        <w:rPr>
          <w:rFonts w:ascii="Times New Roman" w:cs="Times New Roman" w:eastAsia="Times New Roman" w:hAnsi="Times New Roman"/>
          <w:sz w:val="20"/>
          <w:szCs w:val="20"/>
          <w:color w:val="auto"/>
        </w:rPr>
        <w:t>. You expressly acknowledge and agree to the following:</w:t>
      </w:r>
    </w:p>
    <w:p>
      <w:pPr>
        <w:spacing w:after="0" w:line="215" w:lineRule="exact"/>
        <w:rPr>
          <w:rFonts w:ascii="Times New Roman" w:cs="Times New Roman" w:eastAsia="Times New Roman" w:hAnsi="Times New Roman"/>
          <w:sz w:val="20"/>
          <w:szCs w:val="20"/>
          <w:color w:val="auto"/>
        </w:rPr>
      </w:pPr>
    </w:p>
    <w:p>
      <w:pPr>
        <w:ind w:left="1500" w:hanging="690"/>
        <w:spacing w:after="0" w:line="244" w:lineRule="auto"/>
        <w:tabs>
          <w:tab w:leader="none" w:pos="120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you will abide by any and all obligations contained in agreements you have executed (copies of which can be provided to you), the terms of which are hereby incorporated by reference, which shall survive the signing of this Agreement, and which you hereby affirm. You further agree that you otherwise will keep all confidential information and trade secrets of the Company confidential, and that you will abide by any and all common law and/or statutory obligations relating to protection and non-disclosure of the Company’s trade secrets and/or confidential and proprietary documents and information. Consistent with applicable law, the Company is providing you with the notice of immunity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is a part of this Agreement and each other agreement referenced in this subsection.</w:t>
      </w:r>
    </w:p>
    <w:p>
      <w:pPr>
        <w:spacing w:after="0" w:line="199" w:lineRule="exact"/>
        <w:rPr>
          <w:rFonts w:ascii="Times New Roman" w:cs="Times New Roman" w:eastAsia="Times New Roman" w:hAnsi="Times New Roman"/>
          <w:sz w:val="20"/>
          <w:szCs w:val="20"/>
          <w:color w:val="auto"/>
        </w:rPr>
      </w:pPr>
    </w:p>
    <w:p>
      <w:pPr>
        <w:ind w:left="1500" w:hanging="690"/>
        <w:spacing w:after="0" w:line="263" w:lineRule="auto"/>
        <w:tabs>
          <w:tab w:leader="none" w:pos="1201"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obligations, that by your Separation Date, you will promptly return to the Company all the Company documents (and any copies) and property (including all electronically stored information) regardless of where such documents, information or property is maintained. You acknowledge and agree that you shall not maintain any copies or duplicates of such documents or information. You further acknowledge that if you were to use or disclose any of the information reflected in such items, that this would cause immediate, substantial and irreparable harm to the Company.</w:t>
      </w:r>
    </w:p>
    <w:p>
      <w:pPr>
        <w:spacing w:after="0" w:line="179" w:lineRule="exact"/>
        <w:rPr>
          <w:rFonts w:ascii="Times New Roman" w:cs="Times New Roman" w:eastAsia="Times New Roman" w:hAnsi="Times New Roman"/>
          <w:sz w:val="19"/>
          <w:szCs w:val="19"/>
          <w:color w:val="auto"/>
        </w:rPr>
      </w:pPr>
    </w:p>
    <w:p>
      <w:pPr>
        <w:ind w:left="1500" w:hanging="690"/>
        <w:spacing w:after="0" w:line="246" w:lineRule="auto"/>
        <w:tabs>
          <w:tab w:leader="none" w:pos="120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all information relating in any way to the negotiation and terms of this Agreement (except for your obligations under Section 5(i) above), including the amount of financial consideration provided for in this Agreement, shall be held confidential by you and shall not be publicized or disclosed to any person (other than an immediate family member, legal counsel, or financial advisor, provided that any such individual to whom disclosure is made agrees to be bound by these confidentiality obligations), business entity, or as otherwise mandated by state or federal law.</w:t>
      </w:r>
    </w:p>
    <w:p>
      <w:pPr>
        <w:spacing w:after="0" w:line="184" w:lineRule="exact"/>
        <w:rPr>
          <w:rFonts w:ascii="Times New Roman" w:cs="Times New Roman" w:eastAsia="Times New Roman" w:hAnsi="Times New Roman"/>
          <w:sz w:val="20"/>
          <w:szCs w:val="20"/>
          <w:color w:val="auto"/>
        </w:rPr>
      </w:pPr>
    </w:p>
    <w:p>
      <w:pPr>
        <w:ind w:left="1500" w:hanging="690"/>
        <w:spacing w:after="0" w:line="249" w:lineRule="auto"/>
        <w:tabs>
          <w:tab w:leader="none" w:pos="120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you will not make any oral or written statements (including on any social media or other similar platform) that are professionally or personally disparaging about, or adverse to, the interests of the Company (including its officers, directors, employees and consultants) including, but not limited to, any statements that disparage any person, product, service, finances, financial condition, capability or any other aspect of the business of the Company, and that you will not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472C4"/>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8" w:name="page89"/>
    <w:bookmarkEnd w:id="88"/>
    <w:p>
      <w:pPr>
        <w:ind w:left="1500"/>
        <w:spacing w:after="0" w:line="269" w:lineRule="auto"/>
        <w:rPr>
          <w:sz w:val="20"/>
          <w:szCs w:val="20"/>
          <w:color w:val="auto"/>
        </w:rPr>
      </w:pPr>
      <w:r>
        <w:rPr>
          <w:rFonts w:ascii="Times New Roman" w:cs="Times New Roman" w:eastAsia="Times New Roman" w:hAnsi="Times New Roman"/>
          <w:sz w:val="20"/>
          <w:szCs w:val="20"/>
          <w:color w:val="auto"/>
        </w:rPr>
        <w:t>engage in any conduct which could reasonably be expected to harm professionally or personally the reputation of the Company (including its officers, directors, employees and consultants).</w:t>
      </w:r>
    </w:p>
    <w:p>
      <w:pPr>
        <w:spacing w:after="0" w:line="159" w:lineRule="exact"/>
        <w:rPr>
          <w:sz w:val="20"/>
          <w:szCs w:val="20"/>
          <w:color w:val="auto"/>
        </w:rPr>
      </w:pPr>
    </w:p>
    <w:p>
      <w:pPr>
        <w:ind w:left="1500" w:hanging="690"/>
        <w:spacing w:after="0" w:line="254" w:lineRule="auto"/>
        <w:tabs>
          <w:tab w:leader="none" w:pos="1201"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Severance Pay and Benefits being offered are based on your representations that you have not engaged in any fraudulent or unlawful conduct, and that you have fully disclosed to the Company all material information relating to your job duties for the Company.</w:t>
      </w:r>
    </w:p>
    <w:p>
      <w:pPr>
        <w:spacing w:after="0" w:line="187" w:lineRule="exact"/>
        <w:rPr>
          <w:rFonts w:ascii="Times New Roman" w:cs="Times New Roman" w:eastAsia="Times New Roman" w:hAnsi="Times New Roman"/>
          <w:sz w:val="20"/>
          <w:szCs w:val="20"/>
          <w:color w:val="auto"/>
        </w:rPr>
      </w:pPr>
    </w:p>
    <w:p>
      <w:pPr>
        <w:ind w:left="1500" w:hanging="690"/>
        <w:spacing w:after="0" w:line="243" w:lineRule="auto"/>
        <w:tabs>
          <w:tab w:leader="none" w:pos="1201"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that in the event of your breach of any of your agreements set forth in this Section 5 the Company would suffer substantial irreparable harm and that the Company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You further agree that the Company shall be entitled to its costs and fees, including attorneys’ fees, incurred by it should it prevail in enforcing and provision of this Agreement.</w:t>
      </w:r>
    </w:p>
    <w:p>
      <w:pPr>
        <w:spacing w:after="0" w:line="199" w:lineRule="exact"/>
        <w:rPr>
          <w:rFonts w:ascii="Times New Roman" w:cs="Times New Roman" w:eastAsia="Times New Roman" w:hAnsi="Times New Roman"/>
          <w:sz w:val="20"/>
          <w:szCs w:val="20"/>
          <w:color w:val="auto"/>
        </w:rPr>
      </w:pPr>
    </w:p>
    <w:p>
      <w:pPr>
        <w:jc w:val="both"/>
        <w:ind w:firstLine="757"/>
        <w:spacing w:after="0" w:line="255" w:lineRule="auto"/>
        <w:tabs>
          <w:tab w:leader="none" w:pos="1145"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Cooperation/Transition of Duties</w:t>
      </w:r>
      <w:r>
        <w:rPr>
          <w:rFonts w:ascii="Times New Roman" w:cs="Times New Roman" w:eastAsia="Times New Roman" w:hAnsi="Times New Roman"/>
          <w:sz w:val="19"/>
          <w:szCs w:val="19"/>
          <w:color w:val="auto"/>
        </w:rPr>
        <w:t>. You agree that during the Severance Period you will make yourself reasonably available to the Company, upon reasonable notice, either by email, telephone or, if the Company believes necessary, in person to assist the Company in any matter relating to the services performed by you during your employment with the Company including, but not limited, transitioning your duties to others at the Company. You further agree that during this period of time and thereafter you will cooperate fully with the Company in the defense or prosecution of any claims or actions now in existence or which may be brought or threatened in the future against or on behalf of the Company, including any claim or action against its directors, officers and employees. Your cooperation in connection with such claims or actions shall include, your being available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within reason given the constraints of future employment or job search activities, to meet with the Company to prepare for any proceeding, to provide truthful affidavits and/or testimony, to assist with any audit, inspection, proceeding or other inquiry, and to act as a witness in connection with any litigation or other legal proceeding affecting the Company. You further agree that should an individual representing a party adverse to the business or legal interests of the Company (including, without limitation, anyone threatening any form of legal action against the Company) contact you (directly or indirectly), you will promptly (within 48 hours) inform the Company of that fact. Nothing herein shall be construed to prohibit or prevent you from cooperating with any government investigation (including maintaining the confidentiality of such investigation if required by the government), nor shall any such cooperation be deemed to be a violation of your obligations of non-disparagement set forth in Section 5(iv) above.</w:t>
      </w:r>
    </w:p>
    <w:p>
      <w:pPr>
        <w:spacing w:after="0" w:line="200" w:lineRule="exact"/>
        <w:rPr>
          <w:rFonts w:ascii="Times New Roman" w:cs="Times New Roman" w:eastAsia="Times New Roman" w:hAnsi="Times New Roman"/>
          <w:sz w:val="19"/>
          <w:szCs w:val="19"/>
          <w:color w:val="auto"/>
        </w:rPr>
      </w:pPr>
    </w:p>
    <w:p>
      <w:pPr>
        <w:spacing w:after="0" w:line="222" w:lineRule="exact"/>
        <w:rPr>
          <w:rFonts w:ascii="Times New Roman" w:cs="Times New Roman" w:eastAsia="Times New Roman" w:hAnsi="Times New Roman"/>
          <w:sz w:val="19"/>
          <w:szCs w:val="19"/>
          <w:color w:val="auto"/>
        </w:rPr>
      </w:pPr>
    </w:p>
    <w:p>
      <w:pPr>
        <w:ind w:right="100" w:firstLine="757"/>
        <w:spacing w:after="0" w:line="254" w:lineRule="auto"/>
        <w:tabs>
          <w:tab w:leader="none" w:pos="110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You hereby acknowledge and agree that by signing this Agreement, you are waiving your right to assert any Claim (as defined below) against Synlogic arising from acts or omissions that occurred on or before the Separation Date or the Effective Date, whichever is later. Please note definition of Synlogic contained in footnote 1 of this Agreement.</w:t>
      </w:r>
    </w:p>
    <w:p>
      <w:pPr>
        <w:spacing w:after="0" w:line="188" w:lineRule="exact"/>
        <w:rPr>
          <w:sz w:val="20"/>
          <w:szCs w:val="20"/>
          <w:color w:val="auto"/>
        </w:rPr>
      </w:pPr>
    </w:p>
    <w:p>
      <w:pPr>
        <w:ind w:right="60" w:firstLine="594"/>
        <w:spacing w:after="0" w:line="242" w:lineRule="auto"/>
        <w:rPr>
          <w:sz w:val="20"/>
          <w:szCs w:val="20"/>
          <w:color w:val="auto"/>
        </w:rPr>
      </w:pPr>
      <w:r>
        <w:rPr>
          <w:rFonts w:ascii="Times New Roman" w:cs="Times New Roman" w:eastAsia="Times New Roman" w:hAnsi="Times New Roman"/>
          <w:sz w:val="20"/>
          <w:szCs w:val="20"/>
          <w:color w:val="auto"/>
        </w:rPr>
        <w:t>Your waiver and release is intended to bar any form of legal claim, lawsuit, charge, complaint or any other form of action (jointly referred to as “Claims”) against the Company seeking money or any other form of relief, including but not limited to equitable relief (whether declaratory, injunctive or otherwise), damages or any other form of monetary recovery (including but not limited to back pay, front pay, compensatory damages, emotional distress damages, punitive damages, attorneys’ fees and any other costs).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472C4"/>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9" w:name="page90"/>
    <w:bookmarkEnd w:id="89"/>
    <w:p>
      <w:pPr>
        <w:ind w:right="300"/>
        <w:spacing w:after="0" w:line="254" w:lineRule="auto"/>
        <w:rPr>
          <w:sz w:val="20"/>
          <w:szCs w:val="20"/>
          <w:color w:val="auto"/>
        </w:rPr>
      </w:pPr>
      <w:r>
        <w:rPr>
          <w:rFonts w:ascii="Times New Roman" w:cs="Times New Roman" w:eastAsia="Times New Roman" w:hAnsi="Times New Roman"/>
          <w:sz w:val="20"/>
          <w:szCs w:val="20"/>
          <w:color w:val="auto"/>
        </w:rPr>
        <w:t>under any statute, ordinance, regulation, executive order, common law, constitution and/or other source of law of any state, country and/or locality (collectively and individually referred to as “Law”), including but not limited to the United States, the Commonwealth of Massachusetts, and/or any other state or locality where you worked for the Company.</w:t>
      </w:r>
    </w:p>
    <w:p>
      <w:pPr>
        <w:spacing w:after="0" w:line="188" w:lineRule="exact"/>
        <w:rPr>
          <w:sz w:val="20"/>
          <w:szCs w:val="20"/>
          <w:color w:val="auto"/>
        </w:rPr>
      </w:pPr>
    </w:p>
    <w:p>
      <w:pPr>
        <w:ind w:right="160" w:firstLine="495"/>
        <w:spacing w:after="0" w:line="254" w:lineRule="auto"/>
        <w:rPr>
          <w:sz w:val="20"/>
          <w:szCs w:val="20"/>
          <w:color w:val="auto"/>
        </w:rPr>
      </w:pPr>
      <w:r>
        <w:rPr>
          <w:rFonts w:ascii="Times New Roman" w:cs="Times New Roman" w:eastAsia="Times New Roman" w:hAnsi="Times New Roman"/>
          <w:sz w:val="20"/>
          <w:szCs w:val="20"/>
          <w:color w:val="auto"/>
        </w:rPr>
        <w:t>Without limiting the foregoing general waiver and release, except for Claims resulting from the failure of the Company to perform its obligations under this Agreement, you specifically waive and release the Company from any Claims arising from or related to your employment relationship with the Company or the termination thereof, including without limitation:</w:t>
      </w:r>
    </w:p>
    <w:p>
      <w:pPr>
        <w:spacing w:after="0" w:line="188" w:lineRule="exact"/>
        <w:rPr>
          <w:sz w:val="20"/>
          <w:szCs w:val="20"/>
          <w:color w:val="auto"/>
        </w:rPr>
      </w:pPr>
    </w:p>
    <w:p>
      <w:pPr>
        <w:ind w:left="1500" w:hanging="690"/>
        <w:spacing w:after="0" w:line="243" w:lineRule="auto"/>
        <w:tabs>
          <w:tab w:leader="none" w:pos="1201"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under any Law concerning discrimination, harassment, retaliation, or other fair employment practices, including, but not limited to the Massachusetts Anti-Discrimination and Anti-Harassment Law (M.G.L. c. 151B), the Massachusetts Sexual Harassment Law (M.G.L. c. 214, § 1C), the Massachusetts Equal Pay Act (M.G.L. c. 149, § 105A), the Massachusetts Civil Rights Act (M.G.L. c. 12, §§ 11H, 11I), the Massachusetts Equal Rights Act (M.G.L. c. 93, §§ 102, 103), the Age Discrimination in Employment Act (29 U.S.C. § 621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Title VII of the Civil Rights Act of 1964 (42 U.S.C. § 2000e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42 U.S.C. § 1981, the Civil Rights Act of 1991, Section 1981 of the U.S.C. Title 42, the Americans with Disabilities Act (42 U.S.C. § 12101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the Occupational Safety and Health Act, 29 U.S.C. §651 et seq. each as they may have been amended through the Separation Date or the Effective Date, whichever is later.</w:t>
      </w:r>
    </w:p>
    <w:p>
      <w:pPr>
        <w:spacing w:after="0" w:line="202" w:lineRule="exact"/>
        <w:rPr>
          <w:rFonts w:ascii="Times New Roman" w:cs="Times New Roman" w:eastAsia="Times New Roman" w:hAnsi="Times New Roman"/>
          <w:sz w:val="20"/>
          <w:szCs w:val="20"/>
          <w:color w:val="auto"/>
        </w:rPr>
      </w:pPr>
    </w:p>
    <w:p>
      <w:pPr>
        <w:ind w:left="1500" w:hanging="690"/>
        <w:spacing w:after="0" w:line="242" w:lineRule="auto"/>
        <w:tabs>
          <w:tab w:leader="none" w:pos="1201"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under any Law relating to wages, hours, whistleblowing, leaves of absences or any other terms and conditions of employment, including but not limited to the Family and Medical Leave Act of 1993 (29 U.S.C. § 2601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Emergency Family and Medical Leave Expansion Act (Pub. L. No. 116-127, § 3101, 134 Stat. 178, 189); the Emergency Paid Sick Leave Act (Pub. L. No. 116-127, § 5101, 134 Stat. 178, 195), the Employee Retirement Income Security Act (ERISA), the Fair Labor Standards Act, the Worker Adjustment and Retraining Notification (WARN) Act, the National Labor Relations Act (NLRA), the American Rescue Plan Act of 2021, the Massachusetts Payment of Wages Law (Massachusetts General Laws Chapter 149, §§ 148, 150), Massachusetts General Laws Chapter 149 in its entirety, Massachusetts General Laws Chapter 151 in its entirety (including but not limited to the minimum wage and overtime provisions), the Massachusetts Paid Family Medical Leave Act (M.G.L. c. 175M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each as they may have been amended through the Separation Date or the Effective Date, whichever is later. You specifically acknowledge that you are waiving any Claims for unpaid wages under these and other Laws.</w:t>
      </w:r>
    </w:p>
    <w:p>
      <w:pPr>
        <w:spacing w:after="0" w:line="203" w:lineRule="exact"/>
        <w:rPr>
          <w:rFonts w:ascii="Times New Roman" w:cs="Times New Roman" w:eastAsia="Times New Roman" w:hAnsi="Times New Roman"/>
          <w:sz w:val="20"/>
          <w:szCs w:val="20"/>
          <w:color w:val="auto"/>
        </w:rPr>
      </w:pPr>
    </w:p>
    <w:p>
      <w:pPr>
        <w:ind w:left="1500" w:hanging="690"/>
        <w:spacing w:after="0" w:line="249" w:lineRule="auto"/>
        <w:tabs>
          <w:tab w:leader="none" w:pos="1596"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under any local, state or federal common law theory including, without limitation, any Claim for breach of contract, ownership of inventions or any other intellectual property, implied contract, misrepresentation (intentional or negligent), fraud, promissory estoppel, unjust enrichment, quantum meruit, defamation (libel or slander), or any other Claim sounding in contract or tort.</w:t>
      </w:r>
    </w:p>
    <w:p>
      <w:pPr>
        <w:spacing w:after="0" w:line="193"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arising under the Company’s policies or benefit plans.</w:t>
      </w:r>
    </w:p>
    <w:p>
      <w:pPr>
        <w:spacing w:after="0" w:line="22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arising under any other Law or constitution.</w:t>
      </w:r>
    </w:p>
    <w:p>
      <w:pPr>
        <w:spacing w:after="0" w:line="229" w:lineRule="exact"/>
        <w:rPr>
          <w:sz w:val="20"/>
          <w:szCs w:val="20"/>
          <w:color w:val="auto"/>
        </w:rPr>
      </w:pPr>
    </w:p>
    <w:p>
      <w:pPr>
        <w:jc w:val="both"/>
        <w:ind w:right="20" w:firstLine="396"/>
        <w:spacing w:after="0" w:line="254" w:lineRule="auto"/>
        <w:rPr>
          <w:sz w:val="20"/>
          <w:szCs w:val="20"/>
          <w:color w:val="auto"/>
        </w:rPr>
      </w:pPr>
      <w:r>
        <w:rPr>
          <w:rFonts w:ascii="Times New Roman" w:cs="Times New Roman" w:eastAsia="Times New Roman" w:hAnsi="Times New Roman"/>
          <w:sz w:val="20"/>
          <w:szCs w:val="20"/>
          <w:color w:val="auto"/>
        </w:rPr>
        <w:t>Notwithstanding the foregoing, this Section shall not release Synlogic from any obligation expressly set forth in this Agreement. You acknowledge and agree that, but for providing this waiver and release, you would not be receiving the Severance Pay and Benefits provided for in this Agreement.</w:t>
      </w:r>
    </w:p>
    <w:p>
      <w:pPr>
        <w:spacing w:after="0" w:line="188" w:lineRule="exact"/>
        <w:rPr>
          <w:sz w:val="20"/>
          <w:szCs w:val="20"/>
          <w:color w:val="auto"/>
        </w:rPr>
      </w:pPr>
    </w:p>
    <w:p>
      <w:pPr>
        <w:jc w:val="both"/>
        <w:ind w:firstLine="757"/>
        <w:spacing w:after="0" w:line="248" w:lineRule="auto"/>
        <w:tabs>
          <w:tab w:leader="none" w:pos="115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OWBPA</w:t>
      </w:r>
      <w:r>
        <w:rPr>
          <w:rFonts w:ascii="Times New Roman" w:cs="Times New Roman" w:eastAsia="Times New Roman" w:hAnsi="Times New Roman"/>
          <w:sz w:val="20"/>
          <w:szCs w:val="20"/>
          <w:color w:val="auto"/>
        </w:rPr>
        <w:t>. Because you are at least forty (40) years of age, you have specific rights under the federal Age Discrimination in Employment Act (“ADEA”) and Older Workers Benefit Protection Act (“OWBPA”), which prohibit discrimination on the basis of age. The release in Section 7 is intended to release any</w:t>
      </w:r>
    </w:p>
    <w:p>
      <w:pPr>
        <w:jc w:val="center"/>
        <w:spacing w:after="0"/>
        <w:rPr>
          <w:sz w:val="20"/>
          <w:szCs w:val="20"/>
          <w:color w:val="auto"/>
        </w:rPr>
      </w:pPr>
      <w:r>
        <w:rPr>
          <w:rFonts w:ascii="Times New Roman" w:cs="Times New Roman" w:eastAsia="Times New Roman" w:hAnsi="Times New Roman"/>
          <w:sz w:val="18"/>
          <w:szCs w:val="18"/>
          <w:color w:val="4472C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0" w:name="page91"/>
    <w:bookmarkEnd w:id="90"/>
    <w:p>
      <w:pPr>
        <w:jc w:val="both"/>
        <w:spacing w:after="0" w:line="254" w:lineRule="auto"/>
        <w:rPr>
          <w:sz w:val="20"/>
          <w:szCs w:val="20"/>
          <w:color w:val="auto"/>
        </w:rPr>
      </w:pPr>
      <w:r>
        <w:rPr>
          <w:rFonts w:ascii="Times New Roman" w:cs="Times New Roman" w:eastAsia="Times New Roman" w:hAnsi="Times New Roman"/>
          <w:sz w:val="20"/>
          <w:szCs w:val="20"/>
          <w:color w:val="auto"/>
        </w:rPr>
        <w:t>Claim you may have against Synlogic alleging discrimination on the basis of age under the ADEA, OWBPA, and other Laws. Notwithstanding anything to the contrary in this Agreement, the release in Section 7 does not cover rights or Claims under the ADEA that arise after the date you sign this Agreement or the Effective Date, whichever is later.</w:t>
      </w:r>
    </w:p>
    <w:p>
      <w:pPr>
        <w:spacing w:after="0" w:line="188"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20"/>
          <w:szCs w:val="20"/>
          <w:color w:val="auto"/>
        </w:rPr>
        <w:t>Further, it is the Company’s desire and intent to make certain that you fully understand the provisions and effects of this Agreement. To that end, the Company hereby advises you in writing to consult with legal counsel prior to signing this Agreement for the purpose of reviewing the terms of this Agreement. Also, because you are at least age 40, and consistent with the provisions of the OWBPA, you are being provided with certain information, in the chart attached as Exhibit B to this Agreement, pertaining to the ages and job titles of employees in the same decisional unit who are affected and who are not affected by the reduction in force that is resulting in the termination of your employment. In addition, consistent with the provisions of the OWBPA, the Company is providing you with over forty-five (45) days from the date you are provided this Agreement to consider and accept the terms of this Agreement by signing below and returning it to an authorized agent of the Company. You further agree that any changes to this Agreement will not restart the running of this 45-day period. In addition, you may rescind your assent to this Agreement if, within seven (7) days after you sign this Agreement, you deliver a notice of rescission to Synlogic. To be effective, such rescission must be hand delivered or postmarked within the seven (7) day period and sent by certified mail, return receipt requested, to the authorized agent at the above referenced address.</w:t>
      </w:r>
    </w:p>
    <w:p>
      <w:pPr>
        <w:spacing w:after="0" w:line="203"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20"/>
          <w:szCs w:val="20"/>
          <w:color w:val="auto"/>
        </w:rPr>
        <w:t>Also, consistent with the provisions of state and federal discrimination laws (the “Discrimination Laws”), nothing in the general waiver and release set forth in Section 7 above shall be deemed to prohibit you from challenging the validity of this release under the Discrimination Laws or from filing a charge or complaint of age or other related discrimination with the Equal Employment Opportunity Commission (“EEOC”) or similar state agency, or from participating in any investigation or proceeding conducted by the EEOC or such state agency. However, the release in Section 7 does prohibit you from seeking or receiving monetary damages or other individual-specific relief in connection with any such charge or complaint of age or other work-related discrimination. Further, nothing in this Agreement shall be deemed to limit Synlogic’s right to seek immediate dismissal of such charge or complaint on the basis that your signing of this Agreement constitutes a full release of any individual rights under the Discrimination Laws, or Synlogic’s right to seek restitution or other legal remedies to the extent permitted by law of the economic benefits provided to you under this Agreement in the event that you successfully challenge the validity of this release and prevail in any claim under the Discrimination Laws.</w:t>
      </w:r>
    </w:p>
    <w:p>
      <w:pPr>
        <w:spacing w:after="0" w:line="206" w:lineRule="exact"/>
        <w:rPr>
          <w:sz w:val="20"/>
          <w:szCs w:val="20"/>
          <w:color w:val="auto"/>
        </w:rPr>
      </w:pPr>
    </w:p>
    <w:p>
      <w:pPr>
        <w:jc w:val="both"/>
        <w:ind w:firstLine="757"/>
        <w:spacing w:after="0" w:line="246" w:lineRule="auto"/>
        <w:tabs>
          <w:tab w:leader="none" w:pos="117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Consequences of Breach</w:t>
      </w:r>
      <w:r>
        <w:rPr>
          <w:rFonts w:ascii="Times New Roman" w:cs="Times New Roman" w:eastAsia="Times New Roman" w:hAnsi="Times New Roman"/>
          <w:sz w:val="20"/>
          <w:szCs w:val="20"/>
          <w:color w:val="auto"/>
        </w:rPr>
        <w:t>. In addition to any other remedies set forth in this Agreement, a breach by you of any of your obligations set forth in this Agreement shall constitute a material breach of this Agreement and, in addition to any other legal or equitable remedy available to Synlogic, shall entitle Synlogic to cease any further payment of the Severance Pay and Benefits, and to recover any Severance Pay or Benefits or its support for other benefits already provided to you. Regardless of any such breach, your release set forth in Section 7 above shall remain in full force and effect.</w:t>
      </w:r>
    </w:p>
    <w:p>
      <w:pPr>
        <w:spacing w:after="0" w:line="19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Agreement/Choice of Law/Enforceability/Jury Waiver/Successors and Assigns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760" w:firstLine="1141"/>
        <w:spacing w:after="0" w:line="254" w:lineRule="auto"/>
        <w:tabs>
          <w:tab w:leader="none" w:pos="2363"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in this Agreement, this Agreement supersedes any and all other prior oral and/or written agreements and sets forth the entire agreement between you and Synlogic. No variations or modifications hereof shall be deemed valid unless reduced to writing and signed by the parties hereto.</w:t>
      </w:r>
    </w:p>
    <w:p>
      <w:pPr>
        <w:spacing w:after="0" w:line="187" w:lineRule="exact"/>
        <w:rPr>
          <w:rFonts w:ascii="Times New Roman" w:cs="Times New Roman" w:eastAsia="Times New Roman" w:hAnsi="Times New Roman"/>
          <w:sz w:val="20"/>
          <w:szCs w:val="20"/>
          <w:color w:val="auto"/>
        </w:rPr>
      </w:pPr>
    </w:p>
    <w:p>
      <w:pPr>
        <w:ind w:left="760" w:right="20" w:firstLine="1141"/>
        <w:spacing w:after="0" w:line="269" w:lineRule="auto"/>
        <w:tabs>
          <w:tab w:leader="none" w:pos="23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the law of the state where you reside on the date you sign this Agreement, without giving effect to conflict of law principles.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472C4"/>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1" w:name="page92"/>
    <w:bookmarkEnd w:id="91"/>
    <w:p>
      <w:pPr>
        <w:ind w:left="760" w:right="60" w:firstLine="1141"/>
        <w:spacing w:after="0" w:line="269" w:lineRule="auto"/>
        <w:tabs>
          <w:tab w:leader="none" w:pos="269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parties further agree that any action, demand, claim or counterclaim relating to this Agreement shall be resolved by a judge alone, and both parties hereby waive and forever renounce the right to a trial before a civil jury.</w:t>
      </w:r>
    </w:p>
    <w:p>
      <w:pPr>
        <w:spacing w:after="0" w:line="172" w:lineRule="exact"/>
        <w:rPr>
          <w:rFonts w:ascii="Times New Roman" w:cs="Times New Roman" w:eastAsia="Times New Roman" w:hAnsi="Times New Roman"/>
          <w:sz w:val="20"/>
          <w:szCs w:val="20"/>
          <w:color w:val="auto"/>
        </w:rPr>
      </w:pPr>
    </w:p>
    <w:p>
      <w:pPr>
        <w:ind w:left="760" w:firstLine="1141"/>
        <w:spacing w:after="0" w:line="246" w:lineRule="auto"/>
        <w:tabs>
          <w:tab w:leader="none" w:pos="269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release of Claims pursuant to Section 7 is determined to be unenforceable in whole or part, the Company will have the option, in its sole discretion, to either (a) declare the entire Agreement null and void and require you to refund the Severance Pay and Benefits provided for in this Agreement; or (b) enforce the portions of the Agreement found not to be unenforceable. In the event that any other provision of this Agreement is determined to be unenforceable in whole or part, the remainder of the Agreement shall be enforced in full.</w:t>
      </w:r>
    </w:p>
    <w:p>
      <w:pPr>
        <w:spacing w:after="0" w:line="198" w:lineRule="exact"/>
        <w:rPr>
          <w:rFonts w:ascii="Times New Roman" w:cs="Times New Roman" w:eastAsia="Times New Roman" w:hAnsi="Times New Roman"/>
          <w:sz w:val="20"/>
          <w:szCs w:val="20"/>
          <w:color w:val="auto"/>
        </w:rPr>
      </w:pPr>
    </w:p>
    <w:p>
      <w:pPr>
        <w:ind w:left="2300" w:hanging="399"/>
        <w:spacing w:after="0"/>
        <w:tabs>
          <w:tab w:leader="none" w:pos="23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inure to the benefit of Synlogic and any of its successors and assigns.</w:t>
      </w:r>
    </w:p>
    <w:p>
      <w:pPr>
        <w:spacing w:after="0" w:line="225" w:lineRule="exact"/>
        <w:rPr>
          <w:sz w:val="20"/>
          <w:szCs w:val="20"/>
          <w:color w:val="auto"/>
        </w:rPr>
      </w:pPr>
    </w:p>
    <w:p>
      <w:pPr>
        <w:jc w:val="both"/>
        <w:ind w:firstLine="409"/>
        <w:spacing w:after="0" w:line="247" w:lineRule="auto"/>
        <w:rPr>
          <w:sz w:val="20"/>
          <w:szCs w:val="20"/>
          <w:color w:val="auto"/>
        </w:rPr>
      </w:pPr>
      <w:r>
        <w:rPr>
          <w:rFonts w:ascii="Times New Roman" w:cs="Times New Roman" w:eastAsia="Times New Roman" w:hAnsi="Times New Roman"/>
          <w:sz w:val="20"/>
          <w:szCs w:val="20"/>
          <w:b w:val="1"/>
          <w:bCs w:val="1"/>
          <w:color w:val="auto"/>
        </w:rPr>
        <w:t>It is Synlogic’s desire and intent to make certain that you fully understand the provisions and effects of this Agreement. By executing this Agreement, you are acknowledging (a) that you have been afforded sufficient time to understand the terms and effects of this Agreement and to consult with legal counsel, (b) that your agreements and obligations hereunder are made voluntarily, knowingly and without duress, and (c) that neither Synlogic nor its agents or representatives have made any representations inconsistent with the provisions of this Agreement.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you agree to the terms of this Agreement, please sign and return the enclosed copy of this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Very truly yours,</w:t>
            </w:r>
          </w:p>
        </w:tc>
        <w:tc>
          <w:tcPr>
            <w:tcW w:w="1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900" w:type="dxa"/>
            <w:vAlign w:val="bottom"/>
          </w:tcPr>
          <w:p>
            <w:pPr>
              <w:spacing w:after="0"/>
              <w:rPr>
                <w:sz w:val="22"/>
                <w:szCs w:val="22"/>
                <w:color w:val="auto"/>
              </w:rPr>
            </w:pPr>
          </w:p>
        </w:tc>
      </w:tr>
      <w:tr>
        <w:trPr>
          <w:trHeight w:val="459"/>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Synlogic, Inc.</w:t>
            </w:r>
          </w:p>
        </w:tc>
        <w:tc>
          <w:tcPr>
            <w:tcW w:w="8860" w:type="dxa"/>
            <w:vAlign w:val="bottom"/>
            <w:gridSpan w:val="4"/>
          </w:tcPr>
          <w:p>
            <w:pPr>
              <w:ind w:left="800"/>
              <w:spacing w:after="0"/>
              <w:rPr>
                <w:sz w:val="20"/>
                <w:szCs w:val="20"/>
                <w:color w:val="auto"/>
              </w:rPr>
            </w:pPr>
            <w:r>
              <w:rPr>
                <w:rFonts w:ascii="Times New Roman" w:cs="Times New Roman" w:eastAsia="Times New Roman" w:hAnsi="Times New Roman"/>
                <w:sz w:val="20"/>
                <w:szCs w:val="20"/>
                <w:color w:val="auto"/>
              </w:rPr>
              <w:t>Accepted and Agreed To:</w:t>
            </w:r>
          </w:p>
        </w:tc>
      </w:tr>
      <w:tr>
        <w:trPr>
          <w:trHeight w:val="872"/>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Tony Awad</w:t>
            </w:r>
          </w:p>
        </w:tc>
        <w:tc>
          <w:tcPr>
            <w:tcW w:w="1580" w:type="dxa"/>
            <w:vAlign w:val="bottom"/>
          </w:tcPr>
          <w:p>
            <w:pPr>
              <w:spacing w:after="0"/>
              <w:rPr>
                <w:sz w:val="24"/>
                <w:szCs w:val="24"/>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Mary Beth Dooley</w:t>
            </w: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27"/>
        </w:trPr>
        <w:tc>
          <w:tcPr>
            <w:tcW w:w="3960" w:type="dxa"/>
            <w:vAlign w:val="bottom"/>
            <w:gridSpan w:val="4"/>
          </w:tcPr>
          <w:p>
            <w:pPr>
              <w:spacing w:after="0" w:line="228" w:lineRule="exact"/>
              <w:rPr>
                <w:sz w:val="20"/>
                <w:szCs w:val="20"/>
                <w:color w:val="auto"/>
              </w:rPr>
            </w:pPr>
            <w:r>
              <w:rPr>
                <w:rFonts w:ascii="Times New Roman" w:cs="Times New Roman" w:eastAsia="Times New Roman" w:hAnsi="Times New Roman"/>
                <w:sz w:val="20"/>
                <w:szCs w:val="20"/>
                <w:color w:val="auto"/>
              </w:rPr>
              <w:t>Tony Awad, Principal Executive Officer</w:t>
            </w:r>
          </w:p>
        </w:tc>
        <w:tc>
          <w:tcPr>
            <w:tcW w:w="728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Mary Beth Dooley</w:t>
            </w:r>
          </w:p>
        </w:tc>
      </w:tr>
      <w:tr>
        <w:trPr>
          <w:trHeight w:val="212"/>
        </w:trPr>
        <w:tc>
          <w:tcPr>
            <w:tcW w:w="238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Dated:   8/5/2024</w:t>
            </w:r>
          </w:p>
        </w:tc>
        <w:tc>
          <w:tcPr>
            <w:tcW w:w="1580" w:type="dxa"/>
            <w:vAlign w:val="bottom"/>
          </w:tcPr>
          <w:p>
            <w:pPr>
              <w:spacing w:after="0"/>
              <w:rPr>
                <w:sz w:val="18"/>
                <w:szCs w:val="18"/>
                <w:color w:val="auto"/>
              </w:rPr>
            </w:pPr>
          </w:p>
        </w:tc>
        <w:tc>
          <w:tcPr>
            <w:tcW w:w="728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Dated: 8/5/2024</w:t>
            </w:r>
          </w:p>
        </w:tc>
      </w:tr>
      <w:tr>
        <w:trPr>
          <w:trHeight w:val="682"/>
        </w:trPr>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4472C4"/>
              </w:rPr>
              <w:t>7</w:t>
            </w:r>
          </w:p>
        </w:tc>
        <w:tc>
          <w:tcPr>
            <w:tcW w:w="4900" w:type="dxa"/>
            <w:vAlign w:val="bottom"/>
          </w:tcPr>
          <w:p>
            <w:pPr>
              <w:spacing w:after="0"/>
              <w:rPr>
                <w:sz w:val="24"/>
                <w:szCs w:val="24"/>
                <w:color w:val="auto"/>
              </w:rPr>
            </w:pPr>
          </w:p>
        </w:tc>
      </w:tr>
      <w:tr>
        <w:trPr>
          <w:trHeight w:val="979"/>
        </w:trPr>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131445</wp:posOffset>
            </wp:positionV>
            <wp:extent cx="1371600" cy="514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13716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March 1,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Mary Beth Dooley</w:t>
      </w:r>
    </w:p>
    <w:p>
      <w:pPr>
        <w:spacing w:after="0" w:line="204" w:lineRule="exact"/>
        <w:rPr>
          <w:sz w:val="20"/>
          <w:szCs w:val="20"/>
          <w:color w:val="auto"/>
        </w:rPr>
      </w:pPr>
    </w:p>
    <w:p>
      <w:pPr>
        <w:ind w:left="760"/>
        <w:spacing w:after="0"/>
        <w:tabs>
          <w:tab w:leader="none" w:pos="15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1</w:t>
      </w:r>
      <w:r>
        <w:rPr>
          <w:rFonts w:ascii="Arial" w:cs="Arial" w:eastAsia="Arial" w:hAnsi="Arial"/>
          <w:sz w:val="24"/>
          <w:szCs w:val="24"/>
          <w:u w:val="single" w:color="auto"/>
          <w:color w:val="auto"/>
          <w:vertAlign w:val="superscript"/>
        </w:rPr>
        <w:t>st</w:t>
      </w:r>
      <w:r>
        <w:rPr>
          <w:rFonts w:ascii="Arial" w:cs="Arial" w:eastAsia="Arial" w:hAnsi="Arial"/>
          <w:sz w:val="18"/>
          <w:szCs w:val="18"/>
          <w:u w:val="single" w:color="auto"/>
          <w:color w:val="auto"/>
        </w:rPr>
        <w:t xml:space="preserve"> Amendment to the Retention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Dear Mary Beth:</w:t>
      </w:r>
    </w:p>
    <w:p>
      <w:pPr>
        <w:spacing w:after="0" w:line="198"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In recognition of your value and expected contributions to Synlogic, Inc. (“the Company”) we are pleased to offer you the following Retention Bonus Agreement (the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Retention Bonus Amount and Eligibility Conditions</w:t>
      </w:r>
    </w:p>
    <w:p>
      <w:pPr>
        <w:spacing w:after="0" w:line="19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you (a) remain employed by the Company and continue to provide services at a satisfactory level through November 30, 2024 (the “Termination Date”) and (b) meet the remaining conditions of this paragraph, then you will receive a Retention Bonus in the amount of 75% of your base salary for each month worked on a pro rata basis, paid as a lump sum within thirty (30) days of your Termination Date. If you terminate your employment for any reason prior to November 30, 2024 or the Company terminates your employment for cause, then you shall not be eligible for the Retention Bonus. This bonus will be subject to all federal, state, city or other tax withholdings.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w:t>
      </w:r>
    </w:p>
    <w:p>
      <w:pPr>
        <w:spacing w:after="0" w:line="19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Nothing in this letter supersedes or in any way modifies any existing agreement(s) between you and the Company including, without limitation, any separation agreement, agreements concerning inventions assignment, protection of confidential information or trade secrets, non-solicitation of customers, clients, business or employee. This Retention Bonus is not intended and shall not be deemed a “wage” under any federal or state wage-hour law.</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You acknowledge that payment of the Retention Bonus is not part of normal or expected compensation for purposes of calculating any severance, resignation, redundancy, end of service payments, bonuses, long-service awards, pension or retirement benefits, matching contributions or similar payments.</w:t>
      </w:r>
    </w:p>
    <w:p>
      <w:pPr>
        <w:spacing w:after="0" w:line="15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validity, interpretation and performance of this Agreement shall, in all respects, be governed by the laws of the Commonwealth of Massachusetts. No provision of this Agreement may be modified, altered or amended, except in a writing signed by both you and an authorized Officer of the Company. The Company may assign or delegate this Agreement or any of its rights or obligations hereunder to a person or entity that is an affiliate of or successor to the Company.</w:t>
      </w:r>
    </w:p>
    <w:p>
      <w:pPr>
        <w:spacing w:after="0" w:line="160"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On behalf of Synlogic, I want to thank you in advance for your efforts in helping the Company. Please confirm your understanding and agreement to the terms and conditions of this Agreement by signing and returning the enclosed copy of this letter.</w:t>
      </w:r>
    </w:p>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Sincerely,</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SYNLOGIC,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 Tony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-7620</wp:posOffset>
            </wp:positionV>
            <wp:extent cx="126936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Tony Awad</w:t>
      </w:r>
    </w:p>
    <w:p>
      <w:pPr>
        <w:spacing w:after="0" w:line="104" w:lineRule="exact"/>
        <w:rPr>
          <w:sz w:val="20"/>
          <w:szCs w:val="20"/>
          <w:color w:val="auto"/>
        </w:rPr>
      </w:pPr>
    </w:p>
    <w:p>
      <w:pPr>
        <w:ind w:left="4500"/>
        <w:spacing w:after="0"/>
        <w:tabs>
          <w:tab w:leader="none" w:pos="5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Accepted and Approved: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Mary Beth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233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Name: Mary Beth Dooley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Date: 8/5/2024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-7620</wp:posOffset>
            </wp:positionV>
            <wp:extent cx="121856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TO RULES 13a-14(a) AND 15d-14(a) UNDER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Antoine Awad, certify that:</w:t>
      </w:r>
    </w:p>
    <w:p>
      <w:pPr>
        <w:spacing w:after="0" w:line="225"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ANTOINE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Antoine Awad</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768985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AND 15d-14(a)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Beth Dooley, certify that:</w:t>
      </w:r>
    </w:p>
    <w:p>
      <w:pPr>
        <w:spacing w:after="0" w:line="225" w:lineRule="exact"/>
        <w:rPr>
          <w:sz w:val="20"/>
          <w:szCs w:val="20"/>
          <w:color w:val="auto"/>
        </w:rPr>
      </w:pPr>
    </w:p>
    <w:p>
      <w:pPr>
        <w:ind w:left="520" w:hanging="512"/>
        <w:spacing w:after="0"/>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BETH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Beth Dooley</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Head of Finance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768985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quarterly period ended June 30, 2024, as filed with the Securities and Exchange Commission on the date hereof (the “Report”), I, Antoine Awad, Principal Executive Officer of the Company, certify, pursuant to 18 U.S.C. Section 1350, as adopted pursuant to Section 906 of the Sarbanes-Oxley Act of 2002, to the best of my knowledge that:</w:t>
      </w:r>
    </w:p>
    <w:p>
      <w:pPr>
        <w:spacing w:after="0" w:line="68"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ANTOINE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8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Antoine Awad</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11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quarterly period ended June 30, 2024, as filed with the Securities and Exchange Commission on the date hereof (the “Report”), I, Mary Beth Dooley, Head of Finance of the Company, certify, pursuant to 18 U.S.C. Section 1350, as adopted pursuant to Section 906 of the Sarbanes-Oxley Act of 2002, to the best of my knowledge that:</w:t>
      </w:r>
    </w:p>
    <w:p>
      <w:pPr>
        <w:spacing w:after="0" w:line="68" w:lineRule="exact"/>
        <w:rPr>
          <w:sz w:val="20"/>
          <w:szCs w:val="20"/>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BETH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86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Beth Dooley</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Head of Finance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11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decimal"/>
      <w:start w:val="2"/>
    </w:lvl>
  </w:abstractNum>
  <w:abstractNum w:abstractNumId="5">
    <w:nsid w:val="57E4CCAF"/>
    <w:multiLevelType w:val="hybridMultilevel"/>
    <w:lvl w:ilvl="0">
      <w:lvlJc w:val="left"/>
      <w:lvlText w:val="(%1)"/>
      <w:numFmt w:val="decimal"/>
      <w:start w:val="3"/>
    </w:lvl>
  </w:abstractNum>
  <w:abstractNum w:abstractNumId="6">
    <w:nsid w:val="7A6D8D3C"/>
    <w:multiLevelType w:val="hybridMultilevel"/>
    <w:lvl w:ilvl="0">
      <w:lvlJc w:val="left"/>
      <w:lvlText w:val="(%1)"/>
      <w:numFmt w:val="decimal"/>
      <w:start w:val="4"/>
    </w:lvl>
  </w:abstractNum>
  <w:abstractNum w:abstractNumId="7">
    <w:nsid w:val="4B588F54"/>
    <w:multiLevelType w:val="hybridMultilevel"/>
    <w:lvl w:ilvl="0">
      <w:lvlJc w:val="left"/>
      <w:lvlText w:val="(%1)"/>
      <w:numFmt w:val="decimal"/>
      <w:start w:val="5"/>
    </w:lvl>
  </w:abstractNum>
  <w:abstractNum w:abstractNumId="8">
    <w:nsid w:val="542289EC"/>
    <w:multiLevelType w:val="hybridMultilevel"/>
    <w:lvl w:ilvl="0">
      <w:lvlJc w:val="left"/>
      <w:lvlText w:val="(%1)"/>
      <w:numFmt w:val="decimal"/>
      <w:start w:val="6"/>
    </w:lvl>
  </w:abstractNum>
  <w:abstractNum w:abstractNumId="9">
    <w:nsid w:val="6DE91B18"/>
    <w:multiLevelType w:val="hybridMultilevel"/>
    <w:lvl w:ilvl="0">
      <w:lvlJc w:val="left"/>
      <w:lvlText w:val="(%1)"/>
      <w:numFmt w:val="decimal"/>
      <w:start w:val="7"/>
    </w:lvl>
  </w:abstractNum>
  <w:abstractNum w:abstractNumId="10">
    <w:nsid w:val="38437FDB"/>
    <w:multiLevelType w:val="hybridMultilevel"/>
    <w:lvl w:ilvl="0">
      <w:lvlJc w:val="left"/>
      <w:lvlText w:val="(%1)"/>
      <w:numFmt w:val="decimal"/>
      <w:start w:val="8"/>
    </w:lvl>
  </w:abstractNum>
  <w:abstractNum w:abstractNumId="11">
    <w:nsid w:val="7644A45C"/>
    <w:multiLevelType w:val="hybridMultilevel"/>
    <w:lvl w:ilvl="0">
      <w:lvlJc w:val="left"/>
      <w:lvlText w:val="(%1)"/>
      <w:numFmt w:val="decimal"/>
      <w:start w:val="9"/>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1)"/>
      <w:numFmt w:val="decimal"/>
      <w:start w:val="10"/>
    </w:lvl>
  </w:abstractNum>
  <w:abstractNum w:abstractNumId="14">
    <w:nsid w:val="579478FE"/>
    <w:multiLevelType w:val="hybridMultilevel"/>
    <w:lvl w:ilvl="0">
      <w:lvlJc w:val="left"/>
      <w:lvlText w:val="(%1)"/>
      <w:numFmt w:val="decimal"/>
      <w:start w:val="11"/>
    </w:lvl>
  </w:abstractNum>
  <w:abstractNum w:abstractNumId="15">
    <w:nsid w:val="749ABB43"/>
    <w:multiLevelType w:val="hybridMultilevel"/>
    <w:lvl w:ilvl="0">
      <w:lvlJc w:val="left"/>
      <w:lvlText w:val="(%1)"/>
      <w:numFmt w:val="decimal"/>
      <w:start w:val="12"/>
    </w:lvl>
  </w:abstractNum>
  <w:abstractNum w:abstractNumId="16">
    <w:nsid w:val="3DC240FB"/>
    <w:multiLevelType w:val="hybridMultilevel"/>
    <w:lvl w:ilvl="0">
      <w:lvlJc w:val="left"/>
      <w:lvlText w:val="(%1)"/>
      <w:numFmt w:val="decimal"/>
      <w:start w:val="13"/>
    </w:lvl>
  </w:abstractNum>
  <w:abstractNum w:abstractNumId="17">
    <w:nsid w:val="1BA026FA"/>
    <w:multiLevelType w:val="hybridMultilevel"/>
    <w:lvl w:ilvl="0">
      <w:lvlJc w:val="left"/>
      <w:lvlText w:val="(%1)"/>
      <w:numFmt w:val="decimal"/>
      <w:start w:val="14"/>
    </w:lvl>
  </w:abstractNum>
  <w:abstractNum w:abstractNumId="18">
    <w:nsid w:val="79A1DEAA"/>
    <w:multiLevelType w:val="hybridMultilevel"/>
    <w:lvl w:ilvl="0">
      <w:lvlJc w:val="left"/>
      <w:lvlText w:val="(%1)"/>
      <w:numFmt w:val="decimal"/>
      <w:start w:val="15"/>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lowerLetter"/>
      <w:start w:val="2"/>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decimal"/>
      <w:start w:val="3"/>
    </w:lvl>
  </w:abstractNum>
  <w:abstractNum w:abstractNumId="52">
    <w:nsid w:val="100F8FCA"/>
    <w:multiLevelType w:val="hybridMultilevel"/>
    <w:lvl w:ilvl="0">
      <w:lvlJc w:val="left"/>
      <w:lvlText w:val="%1."/>
      <w:numFmt w:val="decimal"/>
      <w:start w:val="7"/>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1)"/>
      <w:numFmt w:val="lowerRoman"/>
      <w:start w:val="1"/>
    </w:lvl>
    <w:lvl w:ilvl="1">
      <w:lvlJc w:val="left"/>
      <w:lvlText w:val="%2)"/>
      <w:numFmt w:val="lowerLetter"/>
      <w:start w:val="1"/>
    </w:lvl>
  </w:abstractNum>
  <w:abstractNum w:abstractNumId="55">
    <w:nsid w:val="5F5E7FD0"/>
    <w:multiLevelType w:val="hybridMultilevel"/>
    <w:lvl w:ilvl="0">
      <w:lvlJc w:val="left"/>
      <w:lvlText w:val="%1"/>
      <w:numFmt w:val="lowerRoman"/>
      <w:start w:val="1"/>
    </w:lvl>
    <w:lvl w:ilvl="1">
      <w:lvlJc w:val="left"/>
      <w:lvlText w:val="%2)"/>
      <w:numFmt w:val="lowerLetter"/>
      <w:start w:val="2"/>
    </w:lvl>
  </w:abstractNum>
  <w:abstractNum w:abstractNumId="56">
    <w:nsid w:val="98A3148"/>
    <w:multiLevelType w:val="hybridMultilevel"/>
    <w:lvl w:ilvl="0">
      <w:lvlJc w:val="left"/>
      <w:lvlText w:val="(%1)"/>
      <w:numFmt w:val="lowerRoman"/>
      <w:start w:val="3"/>
    </w:lvl>
    <w:lvl w:ilvl="1">
      <w:lvlJc w:val="left"/>
      <w:lvlText w:val="%2"/>
      <w:numFmt w:val="lowerLetter"/>
      <w:start w:val="1"/>
    </w:lvl>
  </w:abstractNum>
  <w:abstractNum w:abstractNumId="57">
    <w:nsid w:val="799D0247"/>
    <w:multiLevelType w:val="hybridMultilevel"/>
    <w:lvl w:ilvl="0">
      <w:lvlJc w:val="left"/>
      <w:lvlText w:val="%1."/>
      <w:numFmt w:val="decimal"/>
      <w:start w:val="3"/>
    </w:lvl>
  </w:abstractNum>
  <w:abstractNum w:abstractNumId="58">
    <w:nsid w:val="6B94764"/>
    <w:multiLevelType w:val="hybridMultilevel"/>
    <w:lvl w:ilvl="0">
      <w:lvlJc w:val="left"/>
      <w:lvlText w:val="(%1)"/>
      <w:numFmt w:val="lowerRoman"/>
      <w:start w:val="1"/>
    </w:lvl>
    <w:lvl w:ilvl="1">
      <w:lvlJc w:val="left"/>
      <w:lvlText w:val="(%2)"/>
      <w:numFmt w:val="upperLetter"/>
      <w:start w:val="1"/>
    </w:lvl>
  </w:abstractNum>
  <w:abstractNum w:abstractNumId="59">
    <w:nsid w:val="42C296BD"/>
    <w:multiLevelType w:val="hybridMultilevel"/>
    <w:lvl w:ilvl="0">
      <w:lvlJc w:val="left"/>
      <w:lvlText w:val="%1."/>
      <w:numFmt w:val="decimal"/>
      <w:start w:val="4"/>
    </w:lvl>
    <w:lvl w:ilvl="1">
      <w:lvlJc w:val="left"/>
      <w:lvlText w:val="(%2)"/>
      <w:numFmt w:val="lowerRoman"/>
      <w:start w:val="1"/>
    </w:lvl>
  </w:abstractNum>
  <w:abstractNum w:abstractNumId="60">
    <w:nsid w:val="168E121F"/>
    <w:multiLevelType w:val="hybridMultilevel"/>
    <w:lvl w:ilvl="0">
      <w:lvlJc w:val="left"/>
      <w:lvlText w:val="%1."/>
      <w:numFmt w:val="decimal"/>
      <w:start w:val="6"/>
    </w:lvl>
  </w:abstractNum>
  <w:abstractNum w:abstractNumId="61">
    <w:nsid w:val="1EBA5D23"/>
    <w:multiLevelType w:val="hybridMultilevel"/>
    <w:lvl w:ilvl="0">
      <w:lvlJc w:val="left"/>
      <w:lvlText w:val="%1"/>
      <w:numFmt w:val="lowerRoman"/>
      <w:start w:val="1"/>
    </w:lvl>
    <w:lvl w:ilvl="1">
      <w:lvlJc w:val="left"/>
      <w:lvlText w:val="(%2)"/>
      <w:numFmt w:val="lowerRoman"/>
      <w:start w:val="1"/>
    </w:lvl>
  </w:abstractNum>
  <w:abstractNum w:abstractNumId="62">
    <w:nsid w:val="661E3F1E"/>
    <w:multiLevelType w:val="hybridMultilevel"/>
    <w:lvl w:ilvl="0">
      <w:lvlJc w:val="left"/>
      <w:lvlText w:val="(%1)"/>
      <w:numFmt w:val="lowerRoman"/>
      <w:start w:val="4"/>
    </w:lvl>
    <w:lvl w:ilvl="1">
      <w:lvlJc w:val="left"/>
      <w:lvlText w:val="%2"/>
      <w:numFmt w:val="lowerRoman"/>
      <w:start w:val="1"/>
    </w:lvl>
  </w:abstractNum>
  <w:abstractNum w:abstractNumId="63">
    <w:nsid w:val="5DC79EA8"/>
    <w:multiLevelType w:val="hybridMultilevel"/>
    <w:lvl w:ilvl="0">
      <w:lvlJc w:val="left"/>
      <w:lvlText w:val="%1."/>
      <w:numFmt w:val="decimal"/>
      <w:start w:val="8"/>
    </w:lvl>
  </w:abstractNum>
  <w:abstractNum w:abstractNumId="64">
    <w:nsid w:val="540A471C"/>
    <w:multiLevelType w:val="hybridMultilevel"/>
    <w:lvl w:ilvl="0">
      <w:lvlJc w:val="left"/>
      <w:lvlText w:val="%1"/>
      <w:numFmt w:val="lowerRoman"/>
      <w:start w:val="1"/>
    </w:lvl>
    <w:lvl w:ilvl="1">
      <w:lvlJc w:val="left"/>
      <w:lvlText w:val="%2."/>
      <w:numFmt w:val="decimal"/>
      <w:start w:val="9"/>
    </w:lvl>
  </w:abstractNum>
  <w:abstractNum w:abstractNumId="65">
    <w:nsid w:val="7BD3EE7B"/>
    <w:multiLevelType w:val="hybridMultilevel"/>
    <w:lvl w:ilvl="0">
      <w:lvlJc w:val="left"/>
      <w:lvlText w:val="(%1)"/>
      <w:numFmt w:val="lowerRoman"/>
      <w:start w:val="1"/>
    </w:lvl>
    <w:lvl w:ilvl="1">
      <w:lvlJc w:val="left"/>
      <w:lvlText w:val="%2"/>
      <w:numFmt w:val="decimal"/>
      <w:start w:val="1"/>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1)"/>
      <w:numFmt w:val="lowerRoman"/>
      <w:start w:val="1"/>
    </w:lvl>
    <w:lvl w:ilvl="1">
      <w:lvlJc w:val="left"/>
      <w:lvlText w:val="%2)"/>
      <w:numFmt w:val="lowerLetter"/>
      <w:start w:val="1"/>
    </w:lvl>
  </w:abstractNum>
  <w:abstractNum w:abstractNumId="68">
    <w:nsid w:val="BF72B14"/>
    <w:multiLevelType w:val="hybridMultilevel"/>
    <w:lvl w:ilvl="0">
      <w:lvlJc w:val="left"/>
      <w:lvlText w:val="%1"/>
      <w:numFmt w:val="decimal"/>
      <w:start w:val="1"/>
    </w:lvl>
    <w:lvl w:ilvl="1">
      <w:lvlJc w:val="left"/>
      <w:lvlText w:val="%2)"/>
      <w:numFmt w:val="lowerLetter"/>
      <w:start w:val="2"/>
    </w:lvl>
  </w:abstractNum>
  <w:abstractNum w:abstractNumId="69">
    <w:nsid w:val="11447B73"/>
    <w:multiLevelType w:val="hybridMultilevel"/>
    <w:lvl w:ilvl="0">
      <w:lvlJc w:val="left"/>
      <w:lvlText w:val="%1."/>
      <w:numFmt w:val="decimal"/>
      <w:start w:val="3"/>
    </w:lvl>
    <w:lvl w:ilvl="1">
      <w:lvlJc w:val="left"/>
      <w:lvlText w:val="%2"/>
      <w:numFmt w:val="lowerLetter"/>
      <w:start w:val="1"/>
    </w:lvl>
  </w:abstractNum>
  <w:abstractNum w:abstractNumId="70">
    <w:nsid w:val="42963E5A"/>
    <w:multiLevelType w:val="hybridMultilevel"/>
    <w:lvl w:ilvl="0">
      <w:lvlJc w:val="left"/>
      <w:lvlText w:val="(%1)"/>
      <w:numFmt w:val="lowerRoman"/>
      <w:start w:val="1"/>
    </w:lvl>
    <w:lvl w:ilvl="1">
      <w:lvlJc w:val="left"/>
      <w:lvlText w:val="(%2)"/>
      <w:numFmt w:val="upperLetter"/>
      <w:start w:val="1"/>
    </w:lvl>
  </w:abstractNum>
  <w:abstractNum w:abstractNumId="71">
    <w:nsid w:val="A0382C5"/>
    <w:multiLevelType w:val="hybridMultilevel"/>
    <w:lvl w:ilvl="0">
      <w:lvlJc w:val="left"/>
      <w:lvlText w:val="(%1)"/>
      <w:numFmt w:val="lowerRoman"/>
      <w:start w:val="5"/>
    </w:lvl>
  </w:abstractNum>
  <w:abstractNum w:abstractNumId="72">
    <w:nsid w:val="8F2B15E"/>
    <w:multiLevelType w:val="hybridMultilevel"/>
    <w:lvl w:ilvl="0">
      <w:lvlJc w:val="left"/>
      <w:lvlText w:val="%1."/>
      <w:numFmt w:val="decimal"/>
      <w:start w:val="4"/>
    </w:lvl>
    <w:lvl w:ilvl="1">
      <w:lvlJc w:val="left"/>
      <w:lvlText w:val="(%2)"/>
      <w:numFmt w:val="lowerRoman"/>
      <w:start w:val="1"/>
    </w:lvl>
  </w:abstractNum>
  <w:abstractNum w:abstractNumId="73">
    <w:nsid w:val="1A32234B"/>
    <w:multiLevelType w:val="hybridMultilevel"/>
    <w:lvl w:ilvl="0">
      <w:lvlJc w:val="left"/>
      <w:lvlText w:val="%1"/>
      <w:numFmt w:val="decimal"/>
      <w:start w:val="1"/>
    </w:lvl>
    <w:lvl w:ilvl="1">
      <w:lvlJc w:val="left"/>
      <w:lvlText w:val="(%2)"/>
      <w:numFmt w:val="lowerRoman"/>
      <w:start w:val="5"/>
    </w:lvl>
  </w:abstractNum>
  <w:abstractNum w:abstractNumId="74">
    <w:nsid w:val="3B0FD379"/>
    <w:multiLevelType w:val="hybridMultilevel"/>
    <w:lvl w:ilvl="0">
      <w:lvlJc w:val="left"/>
      <w:lvlText w:val="%1."/>
      <w:numFmt w:val="decimal"/>
      <w:start w:val="6"/>
    </w:lvl>
    <w:lvl w:ilvl="1">
      <w:lvlJc w:val="left"/>
      <w:lvlText w:val="%2"/>
      <w:numFmt w:val="lowerRoman"/>
      <w:start w:val="1"/>
    </w:lvl>
  </w:abstractNum>
  <w:abstractNum w:abstractNumId="75">
    <w:nsid w:val="68EB2F63"/>
    <w:multiLevelType w:val="hybridMultilevel"/>
    <w:lvl w:ilvl="0">
      <w:lvlJc w:val="left"/>
      <w:lvlText w:val="%1"/>
      <w:numFmt w:val="lowerRoman"/>
      <w:start w:val="1"/>
    </w:lvl>
    <w:lvl w:ilvl="1">
      <w:lvlJc w:val="left"/>
      <w:lvlText w:val="(%2)"/>
      <w:numFmt w:val="lowerRoman"/>
      <w:start w:val="1"/>
    </w:lvl>
  </w:abstractNum>
  <w:abstractNum w:abstractNumId="76">
    <w:nsid w:val="4962813B"/>
    <w:multiLevelType w:val="hybridMultilevel"/>
    <w:lvl w:ilvl="0">
      <w:lvlJc w:val="left"/>
      <w:lvlText w:val="(%1)"/>
      <w:numFmt w:val="lowerRoman"/>
      <w:start w:val="4"/>
    </w:lvl>
    <w:lvl w:ilvl="1">
      <w:lvlJc w:val="left"/>
      <w:lvlText w:val="%2"/>
      <w:numFmt w:val="lowerRoman"/>
      <w:start w:val="1"/>
    </w:lvl>
  </w:abstractNum>
  <w:abstractNum w:abstractNumId="77">
    <w:nsid w:val="60B6DF70"/>
    <w:multiLevelType w:val="hybridMultilevel"/>
    <w:lvl w:ilvl="0">
      <w:lvlJc w:val="left"/>
      <w:lvlText w:val="%1."/>
      <w:numFmt w:val="decimal"/>
      <w:start w:val="8"/>
    </w:lvl>
  </w:abstractNum>
  <w:abstractNum w:abstractNumId="78">
    <w:nsid w:val="6A5EE64"/>
    <w:multiLevelType w:val="hybridMultilevel"/>
    <w:lvl w:ilvl="0">
      <w:lvlJc w:val="left"/>
      <w:lvlText w:val="%1."/>
      <w:numFmt w:val="decimal"/>
      <w:start w:val="9"/>
    </w:lvl>
    <w:lvl w:ilvl="1">
      <w:lvlJc w:val="left"/>
      <w:lvlText w:val="(%2)"/>
      <w:numFmt w:val="lowerRoman"/>
      <w:start w:val="1"/>
    </w:lvl>
  </w:abstractNum>
  <w:abstractNum w:abstractNumId="79">
    <w:nsid w:val="14330624"/>
    <w:multiLevelType w:val="hybridMultilevel"/>
    <w:lvl w:ilvl="0">
      <w:lvlJc w:val="left"/>
      <w:lvlText w:val="(%1)"/>
      <w:numFmt w:val="lowerRoman"/>
      <w:start w:val="3"/>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jpe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jpe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291" Type="http://schemas.openxmlformats.org/officeDocument/2006/relationships/hyperlink" Target="https://www.sec.gov/Archives/edgar/data/1527599/000119312524039969/d768289dex31.htm" TargetMode="External"/><Relationship Id="rId292" Type="http://schemas.openxmlformats.org/officeDocument/2006/relationships/hyperlink" Target="https://www.sec.gov/Archives/edgar/data/1527599/000119312524039969/d768289dex41.htm" TargetMode="External"/><Relationship Id="rId293" Type="http://schemas.openxmlformats.org/officeDocument/2006/relationships/hyperlink" Target="https://www.sec.gov/Archives/edgar/data/1527599/000095017024059064/syb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2024-08-08T06:16:46Z</dcterms:created>
  <dcterms:modified xsi:type="dcterms:W3CDTF">2024-08-08T06:16:46Z</dcterms:modified>
</cp:coreProperties>
</file>