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268605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113665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1" w:lineRule="exact"/>
        <w:rPr>
          <w:sz w:val="24"/>
          <w:szCs w:val="24"/>
          <w:color w:val="auto"/>
        </w:rPr>
      </w:pPr>
    </w:p>
    <w:p>
      <w:pPr>
        <w:ind w:left="500" w:right="240" w:hanging="492"/>
        <w:spacing w:after="0" w:line="245" w:lineRule="auto"/>
        <w:tabs>
          <w:tab w:leader="none" w:pos="50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2022</w:t>
      </w:r>
    </w:p>
    <w:p>
      <w:pPr>
        <w:ind w:left="500" w:hanging="492"/>
        <w:spacing w:after="0" w:line="183" w:lineRule="auto"/>
        <w:tabs>
          <w:tab w:leader="none" w:pos="500"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w:t>
      </w:r>
    </w:p>
    <w:p>
      <w:pPr>
        <w:spacing w:after="0" w:line="215" w:lineRule="exact"/>
        <w:rPr>
          <w:sz w:val="24"/>
          <w:szCs w:val="24"/>
          <w:color w:val="auto"/>
        </w:rPr>
      </w:pPr>
    </w:p>
    <w:p>
      <w:pPr>
        <w:ind w:left="500"/>
        <w:spacing w:after="0"/>
        <w:tabs>
          <w:tab w:leader="none" w:pos="5680" w:val="left"/>
        </w:tabs>
        <w:rPr>
          <w:sz w:val="20"/>
          <w:szCs w:val="20"/>
          <w:color w:val="auto"/>
        </w:rPr>
      </w:pPr>
      <w:r>
        <w:rPr>
          <w:rFonts w:ascii="Times New Roman" w:cs="Times New Roman" w:eastAsia="Times New Roman" w:hAnsi="Times New Roman"/>
          <w:sz w:val="22"/>
          <w:szCs w:val="22"/>
          <w:b w:val="1"/>
          <w:bCs w:val="1"/>
          <w:color w:val="auto"/>
        </w:rPr>
        <w:t>1934 FOR THE TRANSITION PERIOD FROM</w:t>
      </w:r>
      <w:r>
        <w:rPr>
          <w:sz w:val="20"/>
          <w:szCs w:val="20"/>
          <w:color w:val="auto"/>
        </w:rPr>
        <w:tab/>
      </w:r>
      <w:r>
        <w:rPr>
          <w:rFonts w:ascii="Times New Roman" w:cs="Times New Roman" w:eastAsia="Times New Roman" w:hAnsi="Times New Roman"/>
          <w:sz w:val="19"/>
          <w:szCs w:val="19"/>
          <w:b w:val="1"/>
          <w:bCs w:val="1"/>
          <w:color w:val="auto"/>
        </w:rPr>
        <w:t>TO</w:t>
      </w:r>
    </w:p>
    <w:p>
      <w:pPr>
        <w:spacing w:after="0" w:line="1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001-37566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105410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6" w:lineRule="exact"/>
        <w:rPr>
          <w:sz w:val="24"/>
          <w:szCs w:val="24"/>
          <w:color w:val="auto"/>
        </w:rPr>
      </w:pPr>
    </w:p>
    <w:tbl>
      <w:tblPr>
        <w:tblLayout w:type="fixed"/>
        <w:tblInd w:w="10" w:type="dxa"/>
        <w:tblCellMar>
          <w:top w:w="0" w:type="dxa"/>
          <w:left w:w="0" w:type="dxa"/>
          <w:bottom w:w="0" w:type="dxa"/>
          <w:right w:w="0" w:type="dxa"/>
        </w:tblCellMar>
      </w:tblPr>
      <w:tr>
        <w:trPr>
          <w:trHeight w:val="529"/>
        </w:trPr>
        <w:tc>
          <w:tcPr>
            <w:tcW w:w="3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120" w:type="dxa"/>
            <w:vAlign w:val="bottom"/>
            <w:gridSpan w:val="4"/>
          </w:tcPr>
          <w:p>
            <w:pPr>
              <w:jc w:val="center"/>
              <w:ind w:right="380"/>
              <w:spacing w:after="0"/>
              <w:rPr>
                <w:sz w:val="20"/>
                <w:szCs w:val="20"/>
                <w:color w:val="auto"/>
              </w:rPr>
            </w:pPr>
            <w:r>
              <w:rPr>
                <w:rFonts w:ascii="Times New Roman" w:cs="Times New Roman" w:eastAsia="Times New Roman" w:hAnsi="Times New Roman"/>
                <w:sz w:val="43"/>
                <w:szCs w:val="43"/>
                <w:b w:val="1"/>
                <w:bCs w:val="1"/>
                <w:color w:val="auto"/>
              </w:rPr>
              <w:t>SYNLOGIC, INC.</w:t>
            </w: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560" w:type="dxa"/>
            <w:vAlign w:val="bottom"/>
          </w:tcPr>
          <w:p>
            <w:pPr>
              <w:spacing w:after="0"/>
              <w:rPr>
                <w:sz w:val="20"/>
                <w:szCs w:val="20"/>
                <w:color w:val="auto"/>
              </w:rPr>
            </w:pPr>
          </w:p>
        </w:tc>
        <w:tc>
          <w:tcPr>
            <w:tcW w:w="432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3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3560" w:type="dxa"/>
            <w:vAlign w:val="bottom"/>
            <w:vMerge w:val="restart"/>
          </w:tcPr>
          <w:p>
            <w:pPr>
              <w:jc w:val="center"/>
              <w:ind w:left="15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40" w:type="dxa"/>
            <w:vAlign w:val="bottom"/>
            <w:tcBorders>
              <w:bottom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360" w:type="dxa"/>
            <w:vAlign w:val="bottom"/>
            <w:vMerge w:val="restart"/>
          </w:tcPr>
          <w:p>
            <w:pPr>
              <w:jc w:val="right"/>
              <w:ind w:right="2060"/>
              <w:spacing w:after="0"/>
              <w:rPr>
                <w:sz w:val="20"/>
                <w:szCs w:val="20"/>
                <w:color w:val="auto"/>
              </w:rPr>
            </w:pPr>
            <w:r>
              <w:rPr>
                <w:rFonts w:ascii="Times New Roman" w:cs="Times New Roman" w:eastAsia="Times New Roman" w:hAnsi="Times New Roman"/>
                <w:sz w:val="18"/>
                <w:szCs w:val="18"/>
                <w:b w:val="1"/>
                <w:bCs w:val="1"/>
                <w:color w:val="auto"/>
              </w:rPr>
              <w:t>26-1824804</w:t>
            </w:r>
          </w:p>
        </w:tc>
        <w:tc>
          <w:tcPr>
            <w:tcW w:w="0" w:type="dxa"/>
            <w:vAlign w:val="bottom"/>
          </w:tcPr>
          <w:p>
            <w:pPr>
              <w:spacing w:after="0"/>
              <w:rPr>
                <w:sz w:val="1"/>
                <w:szCs w:val="1"/>
                <w:color w:val="auto"/>
              </w:rPr>
            </w:pPr>
          </w:p>
        </w:tc>
      </w:tr>
      <w:tr>
        <w:trPr>
          <w:trHeight w:val="185"/>
        </w:trPr>
        <w:tc>
          <w:tcPr>
            <w:tcW w:w="35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560" w:type="dxa"/>
            <w:vAlign w:val="bottom"/>
          </w:tcPr>
          <w:p>
            <w:pPr>
              <w:jc w:val="center"/>
              <w:ind w:left="15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360" w:type="dxa"/>
            <w:vAlign w:val="bottom"/>
          </w:tcPr>
          <w:p>
            <w:pPr>
              <w:jc w:val="center"/>
              <w:ind w:right="1720"/>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3560" w:type="dxa"/>
            <w:vAlign w:val="bottom"/>
          </w:tcPr>
          <w:p>
            <w:pPr>
              <w:jc w:val="center"/>
              <w:ind w:left="151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360" w:type="dxa"/>
            <w:vAlign w:val="bottom"/>
          </w:tcPr>
          <w:p>
            <w:pPr>
              <w:jc w:val="center"/>
              <w:ind w:right="1700"/>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298"/>
        </w:trPr>
        <w:tc>
          <w:tcPr>
            <w:tcW w:w="3560" w:type="dxa"/>
            <w:vAlign w:val="bottom"/>
          </w:tcPr>
          <w:p>
            <w:pPr>
              <w:jc w:val="center"/>
              <w:ind w:left="1539"/>
              <w:spacing w:after="0"/>
              <w:rPr>
                <w:sz w:val="20"/>
                <w:szCs w:val="20"/>
                <w:color w:val="auto"/>
              </w:rPr>
            </w:pPr>
            <w:r>
              <w:rPr>
                <w:rFonts w:ascii="Times New Roman" w:cs="Times New Roman" w:eastAsia="Times New Roman" w:hAnsi="Times New Roman"/>
                <w:sz w:val="18"/>
                <w:szCs w:val="18"/>
                <w:b w:val="1"/>
                <w:bCs w:val="1"/>
                <w:color w:val="auto"/>
                <w:w w:val="99"/>
              </w:rPr>
              <w:t>301 Binney St., Suite 402</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3560" w:type="dxa"/>
            <w:vAlign w:val="bottom"/>
          </w:tcPr>
          <w:p>
            <w:pPr>
              <w:jc w:val="center"/>
              <w:ind w:left="1539"/>
              <w:spacing w:after="0"/>
              <w:rPr>
                <w:sz w:val="20"/>
                <w:szCs w:val="20"/>
                <w:color w:val="auto"/>
              </w:rPr>
            </w:pPr>
            <w:r>
              <w:rPr>
                <w:rFonts w:ascii="Times New Roman" w:cs="Times New Roman" w:eastAsia="Times New Roman" w:hAnsi="Times New Roman"/>
                <w:sz w:val="18"/>
                <w:szCs w:val="18"/>
                <w:b w:val="1"/>
                <w:bCs w:val="1"/>
                <w:color w:val="auto"/>
                <w:w w:val="99"/>
              </w:rPr>
              <w:t>Cambridge, MA</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360" w:type="dxa"/>
            <w:vAlign w:val="bottom"/>
          </w:tcPr>
          <w:p>
            <w:pPr>
              <w:jc w:val="right"/>
              <w:ind w:right="2260"/>
              <w:spacing w:after="0"/>
              <w:rPr>
                <w:sz w:val="20"/>
                <w:szCs w:val="20"/>
                <w:color w:val="auto"/>
              </w:rPr>
            </w:pPr>
            <w:r>
              <w:rPr>
                <w:rFonts w:ascii="Times New Roman" w:cs="Times New Roman" w:eastAsia="Times New Roman" w:hAnsi="Times New Roman"/>
                <w:sz w:val="18"/>
                <w:szCs w:val="18"/>
                <w:b w:val="1"/>
                <w:bCs w:val="1"/>
                <w:color w:val="auto"/>
              </w:rPr>
              <w:t>02142</w:t>
            </w:r>
          </w:p>
        </w:tc>
        <w:tc>
          <w:tcPr>
            <w:tcW w:w="0" w:type="dxa"/>
            <w:vAlign w:val="bottom"/>
          </w:tcPr>
          <w:p>
            <w:pPr>
              <w:spacing w:after="0"/>
              <w:rPr>
                <w:sz w:val="1"/>
                <w:szCs w:val="1"/>
                <w:color w:val="auto"/>
              </w:rPr>
            </w:pPr>
          </w:p>
        </w:tc>
      </w:tr>
      <w:tr>
        <w:trPr>
          <w:trHeight w:val="151"/>
        </w:trPr>
        <w:tc>
          <w:tcPr>
            <w:tcW w:w="7880" w:type="dxa"/>
            <w:vAlign w:val="bottom"/>
            <w:gridSpan w:val="6"/>
          </w:tcPr>
          <w:p>
            <w:pPr>
              <w:jc w:val="center"/>
              <w:ind w:right="2700"/>
              <w:spacing w:after="0" w:line="151" w:lineRule="exact"/>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360" w:type="dxa"/>
            <w:vAlign w:val="bottom"/>
          </w:tcPr>
          <w:p>
            <w:pPr>
              <w:jc w:val="center"/>
              <w:ind w:right="1700"/>
              <w:spacing w:after="0" w:line="151" w:lineRule="exact"/>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214"/>
        </w:trPr>
        <w:tc>
          <w:tcPr>
            <w:tcW w:w="3560" w:type="dxa"/>
            <w:vAlign w:val="bottom"/>
          </w:tcPr>
          <w:p>
            <w:pPr>
              <w:spacing w:after="0"/>
              <w:rPr>
                <w:sz w:val="18"/>
                <w:szCs w:val="18"/>
                <w:color w:val="auto"/>
              </w:rPr>
            </w:pPr>
          </w:p>
        </w:tc>
        <w:tc>
          <w:tcPr>
            <w:tcW w:w="3180" w:type="dxa"/>
            <w:vAlign w:val="bottom"/>
            <w:gridSpan w:val="3"/>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w w:val="99"/>
              </w:rPr>
              <w:t>(617) 401-9975</w:t>
            </w: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120" w:type="dxa"/>
            <w:vAlign w:val="bottom"/>
            <w:gridSpan w:val="4"/>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1"/>
        </w:trPr>
        <w:tc>
          <w:tcPr>
            <w:tcW w:w="3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120" w:type="dxa"/>
            <w:vAlign w:val="bottom"/>
            <w:gridSpan w:val="4"/>
          </w:tcPr>
          <w:p>
            <w:pPr>
              <w:jc w:val="center"/>
              <w:ind w:right="38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35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3000" w:type="dxa"/>
            <w:vAlign w:val="bottom"/>
            <w:tcBorders>
              <w:bottom w:val="single" w:sz="8" w:color="auto"/>
            </w:tcBorders>
            <w:gridSpan w:val="2"/>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33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3560" w:type="dxa"/>
            <w:vAlign w:val="bottom"/>
            <w:tcBorders>
              <w:left w:val="single" w:sz="8" w:color="auto"/>
              <w:bottom w:val="single" w:sz="8" w:color="auto"/>
            </w:tcBorders>
          </w:tcPr>
          <w:p>
            <w:pPr>
              <w:jc w:val="center"/>
              <w:ind w:left="119"/>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200" w:type="dxa"/>
            <w:vAlign w:val="bottom"/>
            <w:tcBorders>
              <w:bottom w:val="single" w:sz="8" w:color="auto"/>
              <w:right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3000" w:type="dxa"/>
            <w:vAlign w:val="bottom"/>
            <w:tcBorders>
              <w:bottom w:val="single" w:sz="8" w:color="auto"/>
              <w:right w:val="single" w:sz="8" w:color="auto"/>
            </w:tcBorders>
            <w:gridSpan w:val="2"/>
          </w:tcPr>
          <w:p>
            <w:pPr>
              <w:jc w:val="center"/>
              <w:ind w:right="740"/>
              <w:spacing w:after="0"/>
              <w:rPr>
                <w:sz w:val="20"/>
                <w:szCs w:val="20"/>
                <w:color w:val="auto"/>
              </w:rPr>
            </w:pPr>
            <w:r>
              <w:rPr>
                <w:rFonts w:ascii="Times New Roman" w:cs="Times New Roman" w:eastAsia="Times New Roman" w:hAnsi="Times New Roman"/>
                <w:sz w:val="16"/>
                <w:szCs w:val="16"/>
                <w:color w:val="auto"/>
              </w:rPr>
              <w:t>Trading Symbol</w:t>
            </w:r>
          </w:p>
        </w:tc>
        <w:tc>
          <w:tcPr>
            <w:tcW w:w="380" w:type="dxa"/>
            <w:vAlign w:val="bottom"/>
            <w:tcBorders>
              <w:bottom w:val="single" w:sz="8" w:color="auto"/>
            </w:tcBorders>
          </w:tcPr>
          <w:p>
            <w:pPr>
              <w:spacing w:after="0"/>
              <w:rPr>
                <w:sz w:val="17"/>
                <w:szCs w:val="17"/>
                <w:color w:val="auto"/>
              </w:rPr>
            </w:pPr>
          </w:p>
        </w:tc>
        <w:tc>
          <w:tcPr>
            <w:tcW w:w="3360" w:type="dxa"/>
            <w:vAlign w:val="bottom"/>
            <w:tcBorders>
              <w:bottom w:val="single" w:sz="8" w:color="auto"/>
              <w:right w:val="single" w:sz="8" w:color="auto"/>
            </w:tcBorders>
          </w:tcPr>
          <w:p>
            <w:pPr>
              <w:jc w:val="center"/>
              <w:ind w:right="300"/>
              <w:spacing w:after="0"/>
              <w:rPr>
                <w:sz w:val="20"/>
                <w:szCs w:val="20"/>
                <w:color w:val="auto"/>
              </w:rPr>
            </w:pPr>
            <w:r>
              <w:rPr>
                <w:rFonts w:ascii="Times New Roman" w:cs="Times New Roman" w:eastAsia="Times New Roman" w:hAnsi="Times New Roman"/>
                <w:sz w:val="16"/>
                <w:szCs w:val="16"/>
                <w:color w:val="auto"/>
              </w:rPr>
              <w:t>Name of exchange on which registered</w:t>
            </w:r>
          </w:p>
        </w:tc>
        <w:tc>
          <w:tcPr>
            <w:tcW w:w="0" w:type="dxa"/>
            <w:vAlign w:val="bottom"/>
          </w:tcPr>
          <w:p>
            <w:pPr>
              <w:spacing w:after="0"/>
              <w:rPr>
                <w:sz w:val="1"/>
                <w:szCs w:val="1"/>
                <w:color w:val="auto"/>
              </w:rPr>
            </w:pPr>
          </w:p>
        </w:tc>
      </w:tr>
      <w:tr>
        <w:trPr>
          <w:trHeight w:val="196"/>
        </w:trPr>
        <w:tc>
          <w:tcPr>
            <w:tcW w:w="3560" w:type="dxa"/>
            <w:vAlign w:val="bottom"/>
            <w:tcBorders>
              <w:left w:val="single" w:sz="8" w:color="auto"/>
              <w:bottom w:val="single" w:sz="8" w:color="auto"/>
            </w:tcBorders>
          </w:tcPr>
          <w:p>
            <w:pPr>
              <w:jc w:val="center"/>
              <w:ind w:left="119"/>
              <w:spacing w:after="0"/>
              <w:rPr>
                <w:sz w:val="20"/>
                <w:szCs w:val="20"/>
                <w:color w:val="auto"/>
              </w:rPr>
            </w:pPr>
            <w:r>
              <w:rPr>
                <w:rFonts w:ascii="Times New Roman" w:cs="Times New Roman" w:eastAsia="Times New Roman" w:hAnsi="Times New Roman"/>
                <w:sz w:val="16"/>
                <w:szCs w:val="16"/>
                <w:color w:val="auto"/>
              </w:rPr>
              <w:t>Common Stock, par value $0.001 per share</w:t>
            </w:r>
          </w:p>
        </w:tc>
        <w:tc>
          <w:tcPr>
            <w:tcW w:w="200" w:type="dxa"/>
            <w:vAlign w:val="bottom"/>
            <w:tcBorders>
              <w:bottom w:val="single" w:sz="8" w:color="auto"/>
              <w:right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3000" w:type="dxa"/>
            <w:vAlign w:val="bottom"/>
            <w:tcBorders>
              <w:bottom w:val="single" w:sz="8" w:color="auto"/>
              <w:right w:val="single" w:sz="8" w:color="auto"/>
            </w:tcBorders>
            <w:gridSpan w:val="2"/>
          </w:tcPr>
          <w:p>
            <w:pPr>
              <w:jc w:val="center"/>
              <w:ind w:right="760"/>
              <w:spacing w:after="0"/>
              <w:rPr>
                <w:sz w:val="20"/>
                <w:szCs w:val="20"/>
                <w:color w:val="auto"/>
              </w:rPr>
            </w:pPr>
            <w:r>
              <w:rPr>
                <w:rFonts w:ascii="Times New Roman" w:cs="Times New Roman" w:eastAsia="Times New Roman" w:hAnsi="Times New Roman"/>
                <w:sz w:val="16"/>
                <w:szCs w:val="16"/>
                <w:color w:val="auto"/>
              </w:rPr>
              <w:t>SYBX</w:t>
            </w:r>
          </w:p>
        </w:tc>
        <w:tc>
          <w:tcPr>
            <w:tcW w:w="380" w:type="dxa"/>
            <w:vAlign w:val="bottom"/>
            <w:tcBorders>
              <w:bottom w:val="single" w:sz="8" w:color="auto"/>
            </w:tcBorders>
          </w:tcPr>
          <w:p>
            <w:pPr>
              <w:spacing w:after="0"/>
              <w:rPr>
                <w:sz w:val="17"/>
                <w:szCs w:val="17"/>
                <w:color w:val="auto"/>
              </w:rPr>
            </w:pPr>
          </w:p>
        </w:tc>
        <w:tc>
          <w:tcPr>
            <w:tcW w:w="3360" w:type="dxa"/>
            <w:vAlign w:val="bottom"/>
            <w:tcBorders>
              <w:bottom w:val="single" w:sz="8" w:color="auto"/>
              <w:right w:val="single" w:sz="8" w:color="auto"/>
            </w:tcBorders>
          </w:tcPr>
          <w:p>
            <w:pPr>
              <w:jc w:val="center"/>
              <w:ind w:right="320"/>
              <w:spacing w:after="0"/>
              <w:rPr>
                <w:sz w:val="20"/>
                <w:szCs w:val="20"/>
                <w:color w:val="auto"/>
              </w:rPr>
            </w:pPr>
            <w:r>
              <w:rPr>
                <w:rFonts w:ascii="Times New Roman" w:cs="Times New Roman" w:eastAsia="Times New Roman" w:hAnsi="Times New Roman"/>
                <w:sz w:val="16"/>
                <w:szCs w:val="16"/>
                <w:color w:val="auto"/>
              </w:rPr>
              <w:t>The Nasdaq Capital Market</w:t>
            </w:r>
          </w:p>
        </w:tc>
        <w:tc>
          <w:tcPr>
            <w:tcW w:w="0" w:type="dxa"/>
            <w:vAlign w:val="bottom"/>
          </w:tcPr>
          <w:p>
            <w:pPr>
              <w:spacing w:after="0"/>
              <w:rPr>
                <w:sz w:val="1"/>
                <w:szCs w:val="1"/>
                <w:color w:val="auto"/>
              </w:rPr>
            </w:pPr>
          </w:p>
        </w:tc>
      </w:tr>
    </w:tbl>
    <w:p>
      <w:pPr>
        <w:spacing w:after="0" w:line="189" w:lineRule="exact"/>
        <w:rPr>
          <w:sz w:val="24"/>
          <w:szCs w:val="24"/>
          <w:color w:val="auto"/>
        </w:rPr>
      </w:pPr>
    </w:p>
    <w:p>
      <w:pPr>
        <w:ind w:right="380"/>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97" w:lineRule="exact"/>
        <w:rPr>
          <w:sz w:val="24"/>
          <w:szCs w:val="24"/>
          <w:color w:val="auto"/>
        </w:rPr>
      </w:pPr>
    </w:p>
    <w:p>
      <w:pPr>
        <w:ind w:right="400"/>
        <w:spacing w:after="0" w:line="21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96" w:lineRule="exact"/>
        <w:rPr>
          <w:sz w:val="24"/>
          <w:szCs w:val="24"/>
          <w:color w:val="auto"/>
        </w:rPr>
      </w:pPr>
    </w:p>
    <w:p>
      <w:pPr>
        <w:ind w:right="26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0"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100" w:type="dxa"/>
            <w:vAlign w:val="bottom"/>
          </w:tcPr>
          <w:p>
            <w:pPr>
              <w:ind w:left="540"/>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Pr>
          <w:p>
            <w:pPr>
              <w:ind w:left="2440"/>
              <w:spacing w:after="0"/>
              <w:rPr>
                <w:sz w:val="20"/>
                <w:szCs w:val="20"/>
                <w:color w:val="auto"/>
              </w:rPr>
            </w:pPr>
            <w:r>
              <w:rPr>
                <w:rFonts w:ascii="Times New Roman" w:cs="Times New Roman" w:eastAsia="Times New Roman" w:hAnsi="Times New Roman"/>
                <w:sz w:val="16"/>
                <w:szCs w:val="16"/>
                <w:color w:val="auto"/>
              </w:rPr>
              <w:t>Accelerated filer</w:t>
            </w:r>
          </w:p>
        </w:tc>
        <w:tc>
          <w:tcPr>
            <w:tcW w:w="980" w:type="dxa"/>
            <w:vAlign w:val="bottom"/>
          </w:tcPr>
          <w:p>
            <w:pPr>
              <w:ind w:left="82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100" w:type="dxa"/>
            <w:vAlign w:val="bottom"/>
          </w:tcPr>
          <w:p>
            <w:pPr>
              <w:ind w:left="540"/>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Pr>
          <w:p>
            <w:pPr>
              <w:ind w:left="24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980" w:type="dxa"/>
            <w:vAlign w:val="bottom"/>
          </w:tcPr>
          <w:p>
            <w:pPr>
              <w:ind w:left="82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4"/>
        </w:trPr>
        <w:tc>
          <w:tcPr>
            <w:tcW w:w="1980" w:type="dxa"/>
            <w:vAlign w:val="bottom"/>
          </w:tcPr>
          <w:p>
            <w:pPr>
              <w:spacing w:after="0"/>
              <w:rPr>
                <w:sz w:val="22"/>
                <w:szCs w:val="22"/>
                <w:color w:val="auto"/>
              </w:rPr>
            </w:pPr>
          </w:p>
        </w:tc>
        <w:tc>
          <w:tcPr>
            <w:tcW w:w="3100" w:type="dxa"/>
            <w:vAlign w:val="bottom"/>
          </w:tcPr>
          <w:p>
            <w:pPr>
              <w:spacing w:after="0"/>
              <w:rPr>
                <w:sz w:val="22"/>
                <w:szCs w:val="22"/>
                <w:color w:val="auto"/>
              </w:rPr>
            </w:pPr>
          </w:p>
        </w:tc>
        <w:tc>
          <w:tcPr>
            <w:tcW w:w="5020" w:type="dxa"/>
            <w:vAlign w:val="bottom"/>
          </w:tcPr>
          <w:p>
            <w:pPr>
              <w:ind w:left="2440"/>
              <w:spacing w:after="0"/>
              <w:rPr>
                <w:sz w:val="20"/>
                <w:szCs w:val="20"/>
                <w:color w:val="auto"/>
              </w:rPr>
            </w:pPr>
            <w:r>
              <w:rPr>
                <w:rFonts w:ascii="Times New Roman" w:cs="Times New Roman" w:eastAsia="Times New Roman" w:hAnsi="Times New Roman"/>
                <w:sz w:val="16"/>
                <w:szCs w:val="16"/>
                <w:color w:val="auto"/>
              </w:rPr>
              <w:t>Emerging growth company</w:t>
            </w:r>
          </w:p>
        </w:tc>
        <w:tc>
          <w:tcPr>
            <w:tcW w:w="980" w:type="dxa"/>
            <w:vAlign w:val="bottom"/>
          </w:tcPr>
          <w:p>
            <w:pPr>
              <w:ind w:left="82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82" w:lineRule="exact"/>
        <w:rPr>
          <w:sz w:val="24"/>
          <w:szCs w:val="24"/>
          <w:color w:val="auto"/>
        </w:rPr>
      </w:pPr>
    </w:p>
    <w:p>
      <w:pPr>
        <w:ind w:right="580"/>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0" w:lineRule="exact"/>
        <w:rPr>
          <w:sz w:val="24"/>
          <w:szCs w:val="24"/>
          <w:color w:val="auto"/>
        </w:rPr>
      </w:pPr>
    </w:p>
    <w:p>
      <w:pPr>
        <w:ind w:right="2660"/>
        <w:spacing w:after="0" w:line="28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May 5, 2022, there were 70,250,681 shares of the registrant’s common stock, par value $0.001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420370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4" w:right="339" w:bottom="1440" w:gutter="0" w:footer="0" w:header="0"/>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that involve risks and uncertainties. We make such forward-looking statements pursuant to the safe harbor provisions of the Private Securities Litigation Reform Act of 1995 and other federal securities laws. All statements other than statements of historical facts contained herein are forward-looking statements. In some cases, you can identify forward-looking statements by terminology such as “may,” “will,” “should,” “expects,” “intends,” “plans,” “anticipates,” “believes,” “estimates,” “predicts,” “potential,” “continue” or the negative of these terms or other comparable terminology. These forward-looking statements include, but are not limited to, statements about:</w:t>
      </w:r>
    </w:p>
    <w:p>
      <w:pPr>
        <w:spacing w:after="0" w:line="89" w:lineRule="exact"/>
        <w:rPr>
          <w:sz w:val="20"/>
          <w:szCs w:val="20"/>
          <w:color w:val="auto"/>
        </w:rPr>
      </w:pPr>
    </w:p>
    <w:p>
      <w:pPr>
        <w:ind w:left="1000" w:hanging="493"/>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research and development efforts;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costs and results of clinical trials for our product candidates;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costs involved in obtaining regulatory approvals for our product candidates;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collaborations with third parties;</w:t>
      </w:r>
    </w:p>
    <w:p>
      <w:pPr>
        <w:spacing w:after="0" w:line="117" w:lineRule="exact"/>
        <w:rPr>
          <w:rFonts w:ascii="Times New Roman" w:cs="Times New Roman" w:eastAsia="Times New Roman" w:hAnsi="Times New Roman"/>
          <w:sz w:val="18"/>
          <w:szCs w:val="18"/>
          <w:color w:val="auto"/>
        </w:rPr>
      </w:pPr>
    </w:p>
    <w:p>
      <w:pPr>
        <w:ind w:left="1000" w:right="260" w:hanging="493"/>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timing and costs involved in developing manufacturing processes and in manufacturing products, as well as agreements with third-party manufacturers;</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progress and cost of our commercialization activities;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we incur in marketing and selling our product candidates, if approved;</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generated by sales of our product candidates, if approved;</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of competing or complementary technological developments;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any additional collaborative, licensing or other arrangements that we may establish;</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businesses, products and technologies;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implement additional infrastructure and internal systems;</w:t>
      </w:r>
    </w:p>
    <w:p>
      <w:pPr>
        <w:spacing w:after="0" w:line="117" w:lineRule="exact"/>
        <w:rPr>
          <w:rFonts w:ascii="Times New Roman" w:cs="Times New Roman" w:eastAsia="Times New Roman" w:hAnsi="Times New Roman"/>
          <w:sz w:val="18"/>
          <w:szCs w:val="18"/>
          <w:color w:val="auto"/>
        </w:rPr>
      </w:pPr>
    </w:p>
    <w:p>
      <w:pPr>
        <w:ind w:left="1000" w:right="520" w:hanging="493"/>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add personnel and financial and management information systems to support our product development and potential future commercialization efforts, and to enable us to operate as a public company;</w:t>
      </w:r>
    </w:p>
    <w:p>
      <w:pPr>
        <w:spacing w:after="0" w:line="53" w:lineRule="exact"/>
        <w:rPr>
          <w:rFonts w:ascii="Times New Roman" w:cs="Times New Roman" w:eastAsia="Times New Roman" w:hAnsi="Times New Roman"/>
          <w:sz w:val="18"/>
          <w:szCs w:val="18"/>
          <w:color w:val="auto"/>
        </w:rPr>
      </w:pPr>
    </w:p>
    <w:p>
      <w:pPr>
        <w:ind w:left="1000" w:right="460" w:hanging="493"/>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of major public health concerns, including the novel coronavirus outbreak or other pandemics arising globally, and the current and future impact of it and COVID-19 on our clinical trials, business operations and funding requirements; and</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under Part II, Item 1A. “Risk Factors”.</w:t>
      </w:r>
    </w:p>
    <w:p>
      <w:pPr>
        <w:spacing w:after="0" w:line="225" w:lineRule="exact"/>
        <w:rPr>
          <w:sz w:val="20"/>
          <w:szCs w:val="20"/>
          <w:color w:val="auto"/>
        </w:rPr>
      </w:pPr>
    </w:p>
    <w:p>
      <w:pPr>
        <w:ind w:right="180" w:firstLine="510"/>
        <w:spacing w:after="0" w:line="255" w:lineRule="auto"/>
        <w:rPr>
          <w:sz w:val="20"/>
          <w:szCs w:val="20"/>
          <w:color w:val="auto"/>
        </w:rPr>
      </w:pPr>
      <w:r>
        <w:rPr>
          <w:rFonts w:ascii="Times New Roman" w:cs="Times New Roman" w:eastAsia="Times New Roman" w:hAnsi="Times New Roman"/>
          <w:sz w:val="18"/>
          <w:szCs w:val="18"/>
          <w:color w:val="auto"/>
        </w:rPr>
        <w:t>Any forward-looking statements in this Quarterly Report on Form 10-Q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listed under Part II, Item 1A. “Risk Factors” and elsewhere in this Quarterly Report on Form 10-Q.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189" w:lineRule="exact"/>
        <w:rPr>
          <w:sz w:val="20"/>
          <w:szCs w:val="20"/>
          <w:color w:val="auto"/>
        </w:rPr>
      </w:pPr>
    </w:p>
    <w:p>
      <w:pPr>
        <w:ind w:right="140" w:firstLine="510"/>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also contains estimates, projections and other information concerning our industry, our business, and the markets for certain diseases, including data regarding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417830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SYNLOGIC,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5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58"/>
        </w:trPr>
        <w:tc>
          <w:tcPr>
            <w:tcW w:w="1074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500" w:type="dxa"/>
            <w:vAlign w:val="bottom"/>
          </w:tcPr>
          <w:p>
            <w:pPr>
              <w:spacing w:after="0"/>
              <w:rPr>
                <w:sz w:val="24"/>
                <w:szCs w:val="24"/>
                <w:color w:val="auto"/>
              </w:rPr>
            </w:pPr>
          </w:p>
        </w:tc>
      </w:tr>
      <w:tr>
        <w:trPr>
          <w:trHeight w:val="338"/>
        </w:trPr>
        <w:tc>
          <w:tcPr>
            <w:tcW w:w="260" w:type="dxa"/>
            <w:vAlign w:val="bottom"/>
          </w:tcPr>
          <w:p>
            <w:pPr>
              <w:spacing w:after="0"/>
              <w:rPr>
                <w:sz w:val="24"/>
                <w:szCs w:val="24"/>
                <w:color w:val="auto"/>
              </w:rPr>
            </w:pPr>
          </w:p>
        </w:tc>
        <w:tc>
          <w:tcPr>
            <w:tcW w:w="104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Item 1. Financial Statements</w:t>
            </w:r>
          </w:p>
        </w:tc>
        <w:tc>
          <w:tcPr>
            <w:tcW w:w="500" w:type="dxa"/>
            <w:vAlign w:val="bottom"/>
          </w:tcPr>
          <w:p>
            <w:pPr>
              <w:spacing w:after="0"/>
              <w:rPr>
                <w:sz w:val="24"/>
                <w:szCs w:val="24"/>
                <w:color w:val="auto"/>
              </w:rPr>
            </w:pPr>
          </w:p>
        </w:tc>
      </w:tr>
      <w:tr>
        <w:trPr>
          <w:trHeight w:val="297"/>
        </w:trPr>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8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Unaudited Consolidated Balance Sheets</w:t>
            </w:r>
          </w:p>
        </w:tc>
        <w:tc>
          <w:tcPr>
            <w:tcW w:w="7260" w:type="dxa"/>
            <w:vAlign w:val="bottom"/>
            <w:gridSpan w:val="8"/>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17"/>
        </w:trPr>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14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Unaudited Consolidated Statements of Operations and Comprehensive Loss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18"/>
        </w:trPr>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340" w:type="dxa"/>
            <w:vAlign w:val="bottom"/>
            <w:tcBorders>
              <w:top w:val="single" w:sz="8" w:color="0000EE"/>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Unaudited Consolidated Statements of Stockholders’ Equity</w:t>
            </w:r>
          </w:p>
        </w:tc>
        <w:tc>
          <w:tcPr>
            <w:tcW w:w="1120" w:type="dxa"/>
            <w:vAlign w:val="bottom"/>
            <w:tcBorders>
              <w:top w:val="single" w:sz="8" w:color="0000EE"/>
            </w:tcBorders>
            <w:gridSpan w:val="3"/>
          </w:tcPr>
          <w:p>
            <w:pPr>
              <w:spacing w:after="0"/>
              <w:rPr>
                <w:sz w:val="24"/>
                <w:szCs w:val="24"/>
                <w:color w:val="auto"/>
              </w:rPr>
            </w:pPr>
          </w:p>
        </w:tc>
        <w:tc>
          <w:tcPr>
            <w:tcW w:w="4680" w:type="dxa"/>
            <w:vAlign w:val="bottom"/>
            <w:gridSpan w:val="2"/>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18"/>
        </w:trPr>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6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Unaudited Consolidated Statements of Cash Flows</w:t>
            </w:r>
          </w:p>
        </w:tc>
        <w:tc>
          <w:tcPr>
            <w:tcW w:w="6480" w:type="dxa"/>
            <w:vAlign w:val="bottom"/>
            <w:gridSpan w:val="7"/>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17"/>
        </w:trPr>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94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Notes to Unaudited Consolidated Financial Statements</w:t>
            </w:r>
          </w:p>
        </w:tc>
        <w:tc>
          <w:tcPr>
            <w:tcW w:w="6200" w:type="dxa"/>
            <w:vAlign w:val="bottom"/>
            <w:gridSpan w:val="6"/>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18"/>
        </w:trPr>
        <w:tc>
          <w:tcPr>
            <w:tcW w:w="260" w:type="dxa"/>
            <w:vAlign w:val="bottom"/>
          </w:tcPr>
          <w:p>
            <w:pPr>
              <w:spacing w:after="0"/>
              <w:rPr>
                <w:sz w:val="24"/>
                <w:szCs w:val="24"/>
                <w:color w:val="auto"/>
              </w:rPr>
            </w:pPr>
          </w:p>
        </w:tc>
        <w:tc>
          <w:tcPr>
            <w:tcW w:w="702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Item 2. Management’s Discussion and Analysis of Financial Condition and Results of Operations</w:t>
            </w:r>
          </w:p>
        </w:tc>
        <w:tc>
          <w:tcPr>
            <w:tcW w:w="34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18"/>
        </w:trPr>
        <w:tc>
          <w:tcPr>
            <w:tcW w:w="260" w:type="dxa"/>
            <w:vAlign w:val="bottom"/>
          </w:tcPr>
          <w:p>
            <w:pPr>
              <w:spacing w:after="0"/>
              <w:rPr>
                <w:sz w:val="24"/>
                <w:szCs w:val="24"/>
                <w:color w:val="auto"/>
              </w:rPr>
            </w:pPr>
          </w:p>
        </w:tc>
        <w:tc>
          <w:tcPr>
            <w:tcW w:w="1048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Item 3. Quantitative and Qualitative Disclosures about Market Risk</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318"/>
        </w:trPr>
        <w:tc>
          <w:tcPr>
            <w:tcW w:w="260" w:type="dxa"/>
            <w:vAlign w:val="bottom"/>
          </w:tcPr>
          <w:p>
            <w:pPr>
              <w:spacing w:after="0"/>
              <w:rPr>
                <w:sz w:val="24"/>
                <w:szCs w:val="24"/>
                <w:color w:val="auto"/>
              </w:rPr>
            </w:pPr>
          </w:p>
        </w:tc>
        <w:tc>
          <w:tcPr>
            <w:tcW w:w="2360" w:type="dxa"/>
            <w:vAlign w:val="bottom"/>
            <w:tcBorders>
              <w:top w:val="single" w:sz="8" w:color="0000EE"/>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rPr>
              <w:t>Item 4. Controls and Procedures</w:t>
            </w:r>
          </w:p>
        </w:tc>
        <w:tc>
          <w:tcPr>
            <w:tcW w:w="2500" w:type="dxa"/>
            <w:vAlign w:val="bottom"/>
            <w:tcBorders>
              <w:top w:val="single" w:sz="8" w:color="0000EE"/>
            </w:tcBorders>
            <w:gridSpan w:val="6"/>
          </w:tcPr>
          <w:p>
            <w:pPr>
              <w:spacing w:after="0"/>
              <w:rPr>
                <w:sz w:val="24"/>
                <w:szCs w:val="24"/>
                <w:color w:val="auto"/>
              </w:rPr>
            </w:pPr>
          </w:p>
        </w:tc>
        <w:tc>
          <w:tcPr>
            <w:tcW w:w="5620" w:type="dxa"/>
            <w:vAlign w:val="bottom"/>
            <w:gridSpan w:val="4"/>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358"/>
        </w:trPr>
        <w:tc>
          <w:tcPr>
            <w:tcW w:w="1074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tc>
        <w:tc>
          <w:tcPr>
            <w:tcW w:w="500" w:type="dxa"/>
            <w:vAlign w:val="bottom"/>
          </w:tcPr>
          <w:p>
            <w:pPr>
              <w:spacing w:after="0"/>
              <w:rPr>
                <w:sz w:val="24"/>
                <w:szCs w:val="24"/>
                <w:color w:val="auto"/>
              </w:rPr>
            </w:pPr>
          </w:p>
        </w:tc>
      </w:tr>
      <w:tr>
        <w:trPr>
          <w:trHeight w:val="297"/>
        </w:trPr>
        <w:tc>
          <w:tcPr>
            <w:tcW w:w="260" w:type="dxa"/>
            <w:vAlign w:val="bottom"/>
          </w:tcPr>
          <w:p>
            <w:pPr>
              <w:spacing w:after="0"/>
              <w:rPr>
                <w:sz w:val="24"/>
                <w:szCs w:val="24"/>
                <w:color w:val="auto"/>
              </w:rPr>
            </w:pPr>
          </w:p>
        </w:tc>
        <w:tc>
          <w:tcPr>
            <w:tcW w:w="190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Item 1. Legal Proceedings</w:t>
            </w:r>
          </w:p>
        </w:tc>
        <w:tc>
          <w:tcPr>
            <w:tcW w:w="8580" w:type="dxa"/>
            <w:vAlign w:val="bottom"/>
            <w:gridSpan w:val="12"/>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18"/>
        </w:trPr>
        <w:tc>
          <w:tcPr>
            <w:tcW w:w="260" w:type="dxa"/>
            <w:vAlign w:val="bottom"/>
          </w:tcPr>
          <w:p>
            <w:pPr>
              <w:spacing w:after="0"/>
              <w:rPr>
                <w:sz w:val="24"/>
                <w:szCs w:val="24"/>
                <w:color w:val="auto"/>
              </w:rPr>
            </w:pPr>
          </w:p>
        </w:tc>
        <w:tc>
          <w:tcPr>
            <w:tcW w:w="16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Item 1A. Risk Factors</w:t>
            </w:r>
          </w:p>
        </w:tc>
        <w:tc>
          <w:tcPr>
            <w:tcW w:w="8880" w:type="dxa"/>
            <w:vAlign w:val="bottom"/>
            <w:gridSpan w:val="14"/>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18"/>
        </w:trPr>
        <w:tc>
          <w:tcPr>
            <w:tcW w:w="260" w:type="dxa"/>
            <w:vAlign w:val="bottom"/>
          </w:tcPr>
          <w:p>
            <w:pPr>
              <w:spacing w:after="0"/>
              <w:rPr>
                <w:sz w:val="24"/>
                <w:szCs w:val="24"/>
                <w:color w:val="auto"/>
              </w:rPr>
            </w:pPr>
          </w:p>
        </w:tc>
        <w:tc>
          <w:tcPr>
            <w:tcW w:w="1048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Item 2. Unregistered Sales of Equity Securities and Use of Proceeds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318"/>
        </w:trPr>
        <w:tc>
          <w:tcPr>
            <w:tcW w:w="260" w:type="dxa"/>
            <w:vAlign w:val="bottom"/>
          </w:tcPr>
          <w:p>
            <w:pPr>
              <w:spacing w:after="0"/>
              <w:rPr>
                <w:sz w:val="24"/>
                <w:szCs w:val="24"/>
                <w:color w:val="auto"/>
              </w:rPr>
            </w:pPr>
          </w:p>
        </w:tc>
        <w:tc>
          <w:tcPr>
            <w:tcW w:w="4900" w:type="dxa"/>
            <w:vAlign w:val="bottom"/>
            <w:tcBorders>
              <w:top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rPr>
              <w:t>Item 3. Defaults Upon Senior Securities</w:t>
            </w:r>
          </w:p>
        </w:tc>
        <w:tc>
          <w:tcPr>
            <w:tcW w:w="5580" w:type="dxa"/>
            <w:vAlign w:val="bottom"/>
            <w:gridSpan w:val="3"/>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318"/>
        </w:trPr>
        <w:tc>
          <w:tcPr>
            <w:tcW w:w="260" w:type="dxa"/>
            <w:vAlign w:val="bottom"/>
          </w:tcPr>
          <w:p>
            <w:pPr>
              <w:spacing w:after="0"/>
              <w:rPr>
                <w:sz w:val="24"/>
                <w:szCs w:val="24"/>
                <w:color w:val="auto"/>
              </w:rPr>
            </w:pPr>
          </w:p>
        </w:tc>
        <w:tc>
          <w:tcPr>
            <w:tcW w:w="2340" w:type="dxa"/>
            <w:vAlign w:val="bottom"/>
            <w:tcBorders>
              <w:top w:val="single" w:sz="8" w:color="0000EE"/>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Item 4. Mine Safety Disclosures</w:t>
            </w:r>
          </w:p>
        </w:tc>
        <w:tc>
          <w:tcPr>
            <w:tcW w:w="540" w:type="dxa"/>
            <w:vAlign w:val="bottom"/>
            <w:tcBorders>
              <w:top w:val="single" w:sz="8" w:color="0000EE"/>
            </w:tcBorders>
            <w:gridSpan w:val="2"/>
          </w:tcPr>
          <w:p>
            <w:pPr>
              <w:spacing w:after="0"/>
              <w:rPr>
                <w:sz w:val="24"/>
                <w:szCs w:val="24"/>
                <w:color w:val="auto"/>
              </w:rPr>
            </w:pPr>
          </w:p>
        </w:tc>
        <w:tc>
          <w:tcPr>
            <w:tcW w:w="7600" w:type="dxa"/>
            <w:vAlign w:val="bottom"/>
            <w:gridSpan w:val="9"/>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318"/>
        </w:trPr>
        <w:tc>
          <w:tcPr>
            <w:tcW w:w="260" w:type="dxa"/>
            <w:vAlign w:val="bottom"/>
          </w:tcPr>
          <w:p>
            <w:pPr>
              <w:spacing w:after="0"/>
              <w:rPr>
                <w:sz w:val="24"/>
                <w:szCs w:val="24"/>
                <w:color w:val="auto"/>
              </w:rPr>
            </w:pPr>
          </w:p>
        </w:tc>
        <w:tc>
          <w:tcPr>
            <w:tcW w:w="188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Item 5. Other Information</w:t>
            </w:r>
          </w:p>
        </w:tc>
        <w:tc>
          <w:tcPr>
            <w:tcW w:w="8600" w:type="dxa"/>
            <w:vAlign w:val="bottom"/>
            <w:gridSpan w:val="13"/>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318"/>
        </w:trPr>
        <w:tc>
          <w:tcPr>
            <w:tcW w:w="260" w:type="dxa"/>
            <w:vAlign w:val="bottom"/>
          </w:tcPr>
          <w:p>
            <w:pPr>
              <w:spacing w:after="0"/>
              <w:rPr>
                <w:sz w:val="24"/>
                <w:szCs w:val="24"/>
                <w:color w:val="auto"/>
              </w:rPr>
            </w:pPr>
          </w:p>
        </w:tc>
        <w:tc>
          <w:tcPr>
            <w:tcW w:w="1048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Item 6. Exhibits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318"/>
        </w:trPr>
        <w:tc>
          <w:tcPr>
            <w:tcW w:w="260" w:type="dxa"/>
            <w:vAlign w:val="bottom"/>
          </w:tcPr>
          <w:p>
            <w:pPr>
              <w:spacing w:after="0"/>
              <w:rPr>
                <w:sz w:val="24"/>
                <w:szCs w:val="24"/>
                <w:color w:val="auto"/>
              </w:rPr>
            </w:pPr>
          </w:p>
        </w:tc>
        <w:tc>
          <w:tcPr>
            <w:tcW w:w="116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9320" w:type="dxa"/>
            <w:vAlign w:val="bottom"/>
            <w:gridSpan w:val="15"/>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1215"/>
        </w:trPr>
        <w:tc>
          <w:tcPr>
            <w:tcW w:w="260" w:type="dxa"/>
            <w:vAlign w:val="bottom"/>
            <w:tcBorders>
              <w:bottom w:val="single" w:sz="8" w:color="9A9A9A"/>
            </w:tcBorders>
          </w:tcPr>
          <w:p>
            <w:pPr>
              <w:spacing w:after="0"/>
              <w:rPr>
                <w:sz w:val="24"/>
                <w:szCs w:val="24"/>
                <w:color w:val="auto"/>
              </w:rPr>
            </w:pPr>
          </w:p>
        </w:tc>
        <w:tc>
          <w:tcPr>
            <w:tcW w:w="340" w:type="dxa"/>
            <w:vAlign w:val="bottom"/>
            <w:tcBorders>
              <w:top w:val="single" w:sz="8" w:color="0000EE"/>
              <w:bottom w:val="single" w:sz="8" w:color="9A9A9A"/>
            </w:tcBorders>
          </w:tcPr>
          <w:p>
            <w:pPr>
              <w:spacing w:after="0"/>
              <w:rPr>
                <w:sz w:val="24"/>
                <w:szCs w:val="24"/>
                <w:color w:val="auto"/>
              </w:rPr>
            </w:pPr>
          </w:p>
        </w:tc>
        <w:tc>
          <w:tcPr>
            <w:tcW w:w="420" w:type="dxa"/>
            <w:vAlign w:val="bottom"/>
            <w:tcBorders>
              <w:top w:val="single" w:sz="8" w:color="0000EE"/>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34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SYNLOGIC, INC. AND SUBSIDIARIES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Consolidated Balance Sheets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amounts)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8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5"/>
                <w:szCs w:val="15"/>
                <w:color w:val="auto"/>
              </w:rPr>
            </w:pPr>
          </w:p>
        </w:tc>
        <w:tc>
          <w:tcPr>
            <w:tcW w:w="146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55"/>
        </w:trPr>
        <w:tc>
          <w:tcPr>
            <w:tcW w:w="6900" w:type="dxa"/>
            <w:vAlign w:val="bottom"/>
            <w:tcBorders>
              <w:bottom w:val="single" w:sz="8" w:color="CFF0FC"/>
            </w:tcBorders>
          </w:tcPr>
          <w:p>
            <w:pPr>
              <w:spacing w:after="0"/>
              <w:rPr>
                <w:sz w:val="13"/>
                <w:szCs w:val="13"/>
                <w:color w:val="auto"/>
              </w:rPr>
            </w:pPr>
          </w:p>
        </w:tc>
        <w:tc>
          <w:tcPr>
            <w:tcW w:w="82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280" w:type="dxa"/>
            <w:vAlign w:val="bottom"/>
            <w:tcBorders>
              <w:top w:val="single" w:sz="8" w:color="auto"/>
              <w:bottom w:val="single" w:sz="8" w:color="auto"/>
            </w:tcBorders>
          </w:tcPr>
          <w:p>
            <w:pPr>
              <w:jc w:val="right"/>
              <w:ind w:right="551"/>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551"/>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80" w:type="dxa"/>
            <w:vAlign w:val="bottom"/>
            <w:gridSpan w:val="2"/>
            <w:shd w:val="clear" w:color="auto" w:fill="CFF0FC"/>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20,851</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16,438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99,667</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8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3,900</w:t>
            </w:r>
          </w:p>
        </w:tc>
        <w:tc>
          <w:tcPr>
            <w:tcW w:w="3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current assets</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124,418</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Long-term marketable securities</w:t>
            </w: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8,041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9,082</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Right of use asset - operating lease</w:t>
            </w: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14,893</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13,889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research and development, net of current portion</w:t>
            </w: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9,797</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9,309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8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00" w:type="dxa"/>
            <w:vAlign w:val="bottom"/>
            <w:tcBorders>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assets</w:t>
            </w:r>
          </w:p>
        </w:tc>
        <w:tc>
          <w:tcPr>
            <w:tcW w:w="8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159,309</w:t>
            </w:r>
          </w:p>
        </w:tc>
        <w:tc>
          <w:tcPr>
            <w:tcW w:w="3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174,736</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00" w:type="dxa"/>
            <w:vAlign w:val="bottom"/>
            <w:vMerge w:val="continue"/>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108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2,409</w:t>
            </w:r>
          </w:p>
        </w:tc>
        <w:tc>
          <w:tcPr>
            <w:tcW w:w="3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Accrued expenses</w:t>
            </w: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2,668</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Deferred revenue</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Lease liability - operating lease</w:t>
            </w: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4,261</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0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8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8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9,664</w:t>
            </w:r>
          </w:p>
        </w:tc>
        <w:tc>
          <w:tcPr>
            <w:tcW w:w="3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10,080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Lease liability - operating lease, net of current portion</w:t>
            </w: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17,336</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17,372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Finance lease obligations, net of current portion</w:t>
            </w:r>
          </w:p>
        </w:tc>
        <w:tc>
          <w:tcPr>
            <w:tcW w:w="8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8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17,351</w:t>
            </w:r>
          </w:p>
        </w:tc>
        <w:tc>
          <w:tcPr>
            <w:tcW w:w="3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17,390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11)</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Common stock, $0.001 par value</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9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250,000,000 shares authorized as of March 31, 2022 and December 31, 2021.</w:t>
            </w:r>
          </w:p>
        </w:tc>
        <w:tc>
          <w:tcPr>
            <w:tcW w:w="8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70,267,586 shares issued and outstanding as of March 31, 2022 and</w:t>
            </w:r>
          </w:p>
        </w:tc>
        <w:tc>
          <w:tcPr>
            <w:tcW w:w="8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90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69,698,844 shares issued and outstanding as of December 31, 2021.</w:t>
            </w:r>
          </w:p>
        </w:tc>
        <w:tc>
          <w:tcPr>
            <w:tcW w:w="8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439,138</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438,113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(345)</w:t>
            </w: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30"/>
        </w:trPr>
        <w:tc>
          <w:tcPr>
            <w:tcW w:w="6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Accumulated deficit</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(306,569)</w:t>
            </w:r>
          </w:p>
        </w:tc>
        <w:tc>
          <w:tcPr>
            <w:tcW w:w="220" w:type="dxa"/>
            <w:vAlign w:val="bottom"/>
          </w:tcPr>
          <w:p>
            <w:pPr>
              <w:spacing w:after="0"/>
              <w:rPr>
                <w:sz w:val="19"/>
                <w:szCs w:val="19"/>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(290,872)</w:t>
            </w:r>
          </w:p>
        </w:tc>
        <w:tc>
          <w:tcPr>
            <w:tcW w:w="0" w:type="dxa"/>
            <w:vAlign w:val="bottom"/>
          </w:tcPr>
          <w:p>
            <w:pPr>
              <w:spacing w:after="0"/>
              <w:rPr>
                <w:sz w:val="1"/>
                <w:szCs w:val="1"/>
                <w:color w:val="auto"/>
              </w:rPr>
            </w:pPr>
          </w:p>
        </w:tc>
      </w:tr>
      <w:tr>
        <w:trPr>
          <w:trHeight w:val="223"/>
        </w:trPr>
        <w:tc>
          <w:tcPr>
            <w:tcW w:w="6900" w:type="dxa"/>
            <w:vAlign w:val="bottom"/>
            <w:tcBorders>
              <w:top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8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132,294</w:t>
            </w:r>
          </w:p>
        </w:tc>
        <w:tc>
          <w:tcPr>
            <w:tcW w:w="3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147,266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820" w:type="dxa"/>
            <w:vAlign w:val="bottom"/>
          </w:tcPr>
          <w:p>
            <w:pPr>
              <w:spacing w:after="0"/>
              <w:rPr>
                <w:sz w:val="19"/>
                <w:szCs w:val="19"/>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159,309</w:t>
            </w:r>
          </w:p>
        </w:tc>
        <w:tc>
          <w:tcPr>
            <w:tcW w:w="3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174,736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SYNLOGIC, INC. AND SUBSIDIARIES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Consolidated Statements of Operations and Comprehensive Loss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0" w:type="dxa"/>
            <w:vAlign w:val="bottom"/>
            <w:gridSpan w:val="6"/>
          </w:tcPr>
          <w:p>
            <w:pPr>
              <w:jc w:val="right"/>
              <w:ind w:right="120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0" w:type="dxa"/>
            <w:vAlign w:val="bottom"/>
          </w:tcPr>
          <w:p>
            <w:pPr>
              <w:spacing w:after="0"/>
              <w:rPr>
                <w:sz w:val="1"/>
                <w:szCs w:val="1"/>
                <w:color w:val="auto"/>
              </w:rPr>
            </w:pPr>
          </w:p>
        </w:tc>
      </w:tr>
      <w:tr>
        <w:trPr>
          <w:trHeight w:val="155"/>
        </w:trPr>
        <w:tc>
          <w:tcPr>
            <w:tcW w:w="6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740" w:type="dxa"/>
            <w:vAlign w:val="bottom"/>
            <w:tcBorders>
              <w:top w:val="single" w:sz="8" w:color="auto"/>
            </w:tcBorders>
            <w:gridSpan w:val="2"/>
          </w:tcPr>
          <w:p>
            <w:pPr>
              <w:jc w:val="right"/>
              <w:ind w:right="620"/>
              <w:spacing w:after="0" w:line="155" w:lineRule="exact"/>
              <w:rPr>
                <w:sz w:val="20"/>
                <w:szCs w:val="20"/>
                <w:color w:val="auto"/>
              </w:rPr>
            </w:pPr>
            <w:r>
              <w:rPr>
                <w:rFonts w:ascii="Times New Roman" w:cs="Times New Roman" w:eastAsia="Times New Roman" w:hAnsi="Times New Roman"/>
                <w:sz w:val="14"/>
                <w:szCs w:val="14"/>
                <w:b w:val="1"/>
                <w:bCs w:val="1"/>
                <w:color w:val="auto"/>
              </w:rPr>
              <w:t>March 31, 2022</w:t>
            </w:r>
          </w:p>
        </w:tc>
        <w:tc>
          <w:tcPr>
            <w:tcW w:w="10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580" w:type="dxa"/>
            <w:vAlign w:val="bottom"/>
            <w:tcBorders>
              <w:top w:val="single" w:sz="8" w:color="auto"/>
            </w:tcBorders>
          </w:tcPr>
          <w:p>
            <w:pPr>
              <w:jc w:val="right"/>
              <w:ind w:right="351"/>
              <w:spacing w:after="0" w:line="155" w:lineRule="exact"/>
              <w:rPr>
                <w:sz w:val="20"/>
                <w:szCs w:val="20"/>
                <w:color w:val="auto"/>
              </w:rPr>
            </w:pPr>
            <w:r>
              <w:rPr>
                <w:rFonts w:ascii="Times New Roman" w:cs="Times New Roman" w:eastAsia="Times New Roman" w:hAnsi="Times New Roman"/>
                <w:sz w:val="14"/>
                <w:szCs w:val="14"/>
                <w:b w:val="1"/>
                <w:bCs w:val="1"/>
                <w:color w:val="auto"/>
              </w:rPr>
              <w:t>March 31, 2021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0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1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11,738</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11,180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4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4,271</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16,009</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Interest and investment income</w:t>
            </w: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Interest expense</w:t>
            </w:r>
          </w:p>
        </w:tc>
        <w:tc>
          <w:tcPr>
            <w:tcW w:w="1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 income</w:t>
            </w: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0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1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0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(15,697)</w:t>
            </w:r>
          </w:p>
        </w:tc>
        <w:tc>
          <w:tcPr>
            <w:tcW w:w="18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(14,971)</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0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140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(0.22)</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(0.36)</w:t>
            </w:r>
          </w:p>
        </w:tc>
        <w:tc>
          <w:tcPr>
            <w:tcW w:w="0" w:type="dxa"/>
            <w:vAlign w:val="bottom"/>
          </w:tcPr>
          <w:p>
            <w:pPr>
              <w:spacing w:after="0"/>
              <w:rPr>
                <w:sz w:val="1"/>
                <w:szCs w:val="1"/>
                <w:color w:val="auto"/>
              </w:rPr>
            </w:pPr>
          </w:p>
        </w:tc>
      </w:tr>
      <w:tr>
        <w:trPr>
          <w:trHeight w:val="210"/>
        </w:trPr>
        <w:tc>
          <w:tcPr>
            <w:tcW w:w="604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Weighted-average common stock outstanding - basic and diluted</w:t>
            </w:r>
          </w:p>
        </w:tc>
        <w:tc>
          <w:tcPr>
            <w:tcW w:w="114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71,969,007</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41,545,050</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40" w:type="dxa"/>
            <w:vAlign w:val="bottom"/>
            <w:vMerge w:val="continue"/>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400" w:type="dxa"/>
            <w:vAlign w:val="bottom"/>
            <w:gridSpan w:val="2"/>
            <w:shd w:val="clear" w:color="auto" w:fill="CFF0FC"/>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(15,697)</w:t>
            </w:r>
          </w:p>
        </w:tc>
        <w:tc>
          <w:tcPr>
            <w:tcW w:w="3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(14,971)</w:t>
            </w:r>
          </w:p>
        </w:tc>
        <w:tc>
          <w:tcPr>
            <w:tcW w:w="0" w:type="dxa"/>
            <w:vAlign w:val="bottom"/>
          </w:tcPr>
          <w:p>
            <w:pPr>
              <w:spacing w:after="0"/>
              <w:rPr>
                <w:sz w:val="1"/>
                <w:szCs w:val="1"/>
                <w:color w:val="auto"/>
              </w:rPr>
            </w:pPr>
          </w:p>
        </w:tc>
      </w:tr>
      <w:tr>
        <w:trPr>
          <w:trHeight w:val="229"/>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Net unrealized (loss) gain on marketable securities</w:t>
            </w: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3"/>
        </w:trPr>
        <w:tc>
          <w:tcPr>
            <w:tcW w:w="604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Comprehensive loss</w:t>
            </w:r>
          </w:p>
        </w:tc>
        <w:tc>
          <w:tcPr>
            <w:tcW w:w="11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(15,997)</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(14,980)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SYNLOGIC,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Unaudited Consolidated Statements of Stockholders’ Equity</w:t>
      </w:r>
    </w:p>
    <w:p>
      <w:pPr>
        <w:spacing w:after="0" w:line="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 except share amounts)</w:t>
      </w:r>
    </w:p>
    <w:p>
      <w:pPr>
        <w:sectPr>
          <w:pgSz w:w="11900" w:h="16838" w:orient="portrait"/>
          <w:cols w:equalWidth="0" w:num="1">
            <w:col w:w="11240"/>
          </w:cols>
          <w:pgMar w:left="320" w:top="3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Balance at December 31, 2021</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Exercise of options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Issuance of restricted stock</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Issuance of common stock under employee stock purchase plan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Cancellation of restricted stock</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Equity-based compensation expense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Unrealized gain (loss) on securities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loss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Balance at March 31, 2022</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Balance at December 31, 2020</w:t>
      </w:r>
    </w:p>
    <w:p>
      <w:pPr>
        <w:spacing w:after="0" w:line="17" w:lineRule="exact"/>
        <w:rPr>
          <w:sz w:val="20"/>
          <w:szCs w:val="20"/>
          <w:color w:val="auto"/>
        </w:rPr>
      </w:pPr>
    </w:p>
    <w:p>
      <w:pPr>
        <w:ind w:right="380"/>
        <w:spacing w:after="0" w:line="231" w:lineRule="auto"/>
        <w:rPr>
          <w:sz w:val="20"/>
          <w:szCs w:val="20"/>
          <w:color w:val="auto"/>
        </w:rPr>
      </w:pPr>
      <w:r>
        <w:rPr>
          <w:rFonts w:ascii="Times New Roman" w:cs="Times New Roman" w:eastAsia="Times New Roman" w:hAnsi="Times New Roman"/>
          <w:sz w:val="14"/>
          <w:szCs w:val="14"/>
          <w:color w:val="auto"/>
        </w:rPr>
        <w:t>Proceeds from issuance of common stock in connection with ATM offering, net of issuance costs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Exercise of options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Issuance of restricted stock</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Issuance of common stock under employee stock purchase plan</w:t>
      </w:r>
    </w:p>
    <w:p>
      <w:pPr>
        <w:spacing w:after="0" w:line="1"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14"/>
          <w:szCs w:val="14"/>
          <w:color w:val="auto"/>
        </w:rPr>
        <w:t>Restricted stock awards withheld for payment of employees' withholding tax liability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Cancellation of restricted stock</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Equity-based compensation expense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Unrealized gain (loss) on securities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loss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Balance at March 31, 2021</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960" w:type="dxa"/>
            <w:vAlign w:val="bottom"/>
            <w:gridSpan w:val="2"/>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vMerge w:val="restart"/>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102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9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102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2"/>
                <w:szCs w:val="12"/>
                <w:color w:val="auto"/>
              </w:rPr>
            </w:pPr>
          </w:p>
        </w:tc>
        <w:tc>
          <w:tcPr>
            <w:tcW w:w="960" w:type="dxa"/>
            <w:vAlign w:val="bottom"/>
            <w:vMerge w:val="restart"/>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1960" w:type="dxa"/>
            <w:vAlign w:val="bottom"/>
            <w:tcBorders>
              <w:bottom w:val="single" w:sz="8" w:color="auto"/>
            </w:tcBorders>
            <w:gridSpan w:val="2"/>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$0.001 par value</w:t>
            </w:r>
          </w:p>
        </w:tc>
        <w:tc>
          <w:tcPr>
            <w:tcW w:w="2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120" w:type="dxa"/>
            <w:vAlign w:val="bottom"/>
            <w:tcBorders>
              <w:bottom w:val="single" w:sz="8" w:color="auto"/>
            </w:tcBorders>
          </w:tcPr>
          <w:p>
            <w:pPr>
              <w:jc w:val="right"/>
              <w:ind w:right="328"/>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8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128"/>
              <w:spacing w:after="0" w:line="155"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108"/>
              <w:spacing w:after="0" w:line="155"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48"/>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88"/>
              <w:spacing w:after="0" w:line="155"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6"/>
        </w:trPr>
        <w:tc>
          <w:tcPr>
            <w:tcW w:w="1120" w:type="dxa"/>
            <w:vAlign w:val="bottom"/>
          </w:tcPr>
          <w:p>
            <w:pPr>
              <w:jc w:val="right"/>
              <w:ind w:right="28"/>
              <w:spacing w:after="0" w:line="147" w:lineRule="exact"/>
              <w:rPr>
                <w:sz w:val="20"/>
                <w:szCs w:val="20"/>
                <w:color w:val="auto"/>
              </w:rPr>
            </w:pPr>
            <w:r>
              <w:rPr>
                <w:rFonts w:ascii="Times New Roman" w:cs="Times New Roman" w:eastAsia="Times New Roman" w:hAnsi="Times New Roman"/>
                <w:sz w:val="14"/>
                <w:szCs w:val="14"/>
                <w:color w:val="auto"/>
              </w:rPr>
              <w:t>69,698,844</w:t>
            </w:r>
          </w:p>
        </w:tc>
        <w:tc>
          <w:tcPr>
            <w:tcW w:w="840" w:type="dxa"/>
            <w:vAlign w:val="bottom"/>
          </w:tcPr>
          <w:p>
            <w:pPr>
              <w:jc w:val="right"/>
              <w:ind w:right="668"/>
              <w:spacing w:after="0" w:line="147"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70</w:t>
            </w:r>
          </w:p>
        </w:tc>
        <w:tc>
          <w:tcPr>
            <w:tcW w:w="180" w:type="dxa"/>
            <w:vAlign w:val="bottom"/>
            <w:gridSpan w:val="2"/>
          </w:tcPr>
          <w:p>
            <w:pPr>
              <w:jc w:val="right"/>
              <w:ind w:right="60"/>
              <w:spacing w:after="0" w:line="147"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28"/>
              <w:spacing w:after="0" w:line="147" w:lineRule="exact"/>
              <w:rPr>
                <w:sz w:val="20"/>
                <w:szCs w:val="20"/>
                <w:color w:val="auto"/>
              </w:rPr>
            </w:pPr>
            <w:r>
              <w:rPr>
                <w:rFonts w:ascii="Times New Roman" w:cs="Times New Roman" w:eastAsia="Times New Roman" w:hAnsi="Times New Roman"/>
                <w:sz w:val="14"/>
                <w:szCs w:val="14"/>
                <w:color w:val="auto"/>
              </w:rPr>
              <w:t>438,113</w:t>
            </w:r>
          </w:p>
        </w:tc>
        <w:tc>
          <w:tcPr>
            <w:tcW w:w="1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(45)</w:t>
            </w:r>
          </w:p>
        </w:tc>
        <w:tc>
          <w:tcPr>
            <w:tcW w:w="1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(290,872)</w:t>
            </w:r>
          </w:p>
        </w:tc>
        <w:tc>
          <w:tcPr>
            <w:tcW w:w="240" w:type="dxa"/>
            <w:vAlign w:val="bottom"/>
          </w:tcPr>
          <w:p>
            <w:pPr>
              <w:jc w:val="right"/>
              <w:ind w:right="48"/>
              <w:spacing w:after="0" w:line="147"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68"/>
              <w:spacing w:after="0" w:line="147" w:lineRule="exact"/>
              <w:rPr>
                <w:sz w:val="20"/>
                <w:szCs w:val="20"/>
                <w:color w:val="auto"/>
              </w:rPr>
            </w:pPr>
            <w:r>
              <w:rPr>
                <w:rFonts w:ascii="Times New Roman" w:cs="Times New Roman" w:eastAsia="Times New Roman" w:hAnsi="Times New Roman"/>
                <w:sz w:val="14"/>
                <w:szCs w:val="14"/>
                <w:color w:val="auto"/>
              </w:rPr>
              <w:t>147,266</w:t>
            </w:r>
          </w:p>
        </w:tc>
        <w:tc>
          <w:tcPr>
            <w:tcW w:w="0" w:type="dxa"/>
            <w:vAlign w:val="bottom"/>
          </w:tcPr>
          <w:p>
            <w:pPr>
              <w:spacing w:after="0"/>
              <w:rPr>
                <w:sz w:val="1"/>
                <w:szCs w:val="1"/>
                <w:color w:val="auto"/>
              </w:rPr>
            </w:pPr>
          </w:p>
        </w:tc>
      </w:tr>
      <w:tr>
        <w:trPr>
          <w:trHeight w:val="162"/>
        </w:trPr>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30,622</w:t>
            </w:r>
          </w:p>
        </w:tc>
        <w:tc>
          <w:tcPr>
            <w:tcW w:w="84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52</w:t>
            </w:r>
          </w:p>
        </w:tc>
        <w:tc>
          <w:tcPr>
            <w:tcW w:w="12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rPr>
                <w:sz w:val="1"/>
                <w:szCs w:val="1"/>
                <w:color w:val="auto"/>
              </w:rPr>
            </w:pPr>
          </w:p>
        </w:tc>
      </w:tr>
      <w:tr>
        <w:trPr>
          <w:trHeight w:val="162"/>
        </w:trPr>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507,260</w:t>
            </w:r>
          </w:p>
        </w:tc>
        <w:tc>
          <w:tcPr>
            <w:tcW w:w="84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40,528</w:t>
            </w:r>
          </w:p>
        </w:tc>
        <w:tc>
          <w:tcPr>
            <w:tcW w:w="84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83</w:t>
            </w:r>
          </w:p>
        </w:tc>
        <w:tc>
          <w:tcPr>
            <w:tcW w:w="12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83</w:t>
            </w:r>
          </w:p>
        </w:tc>
        <w:tc>
          <w:tcPr>
            <w:tcW w:w="0" w:type="dxa"/>
            <w:vAlign w:val="bottom"/>
          </w:tcPr>
          <w:p>
            <w:pPr>
              <w:spacing w:after="0"/>
              <w:rPr>
                <w:sz w:val="1"/>
                <w:szCs w:val="1"/>
                <w:color w:val="auto"/>
              </w:rPr>
            </w:pPr>
          </w:p>
        </w:tc>
      </w:tr>
      <w:tr>
        <w:trPr>
          <w:trHeight w:val="162"/>
        </w:trPr>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(9,668)</w:t>
            </w:r>
          </w:p>
        </w:tc>
        <w:tc>
          <w:tcPr>
            <w:tcW w:w="84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890</w:t>
            </w:r>
          </w:p>
        </w:tc>
        <w:tc>
          <w:tcPr>
            <w:tcW w:w="12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890</w:t>
            </w:r>
          </w:p>
        </w:tc>
        <w:tc>
          <w:tcPr>
            <w:tcW w:w="0" w:type="dxa"/>
            <w:vAlign w:val="bottom"/>
          </w:tcPr>
          <w:p>
            <w:pPr>
              <w:spacing w:after="0"/>
              <w:rPr>
                <w:sz w:val="1"/>
                <w:szCs w:val="1"/>
                <w:color w:val="auto"/>
              </w:rPr>
            </w:pPr>
          </w:p>
        </w:tc>
      </w:tr>
      <w:tr>
        <w:trPr>
          <w:trHeight w:val="162"/>
        </w:trPr>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14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(300)</w:t>
            </w:r>
          </w:p>
        </w:tc>
        <w:tc>
          <w:tcPr>
            <w:tcW w:w="0" w:type="dxa"/>
            <w:vAlign w:val="bottom"/>
          </w:tcPr>
          <w:p>
            <w:pPr>
              <w:spacing w:after="0"/>
              <w:rPr>
                <w:sz w:val="1"/>
                <w:szCs w:val="1"/>
                <w:color w:val="auto"/>
              </w:rPr>
            </w:pPr>
          </w:p>
        </w:tc>
      </w:tr>
      <w:tr>
        <w:trPr>
          <w:trHeight w:val="171"/>
        </w:trPr>
        <w:tc>
          <w:tcPr>
            <w:tcW w:w="11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(15,697)</w:t>
            </w: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(15,697)</w:t>
            </w:r>
          </w:p>
        </w:tc>
        <w:tc>
          <w:tcPr>
            <w:tcW w:w="0" w:type="dxa"/>
            <w:vAlign w:val="bottom"/>
          </w:tcPr>
          <w:p>
            <w:pPr>
              <w:spacing w:after="0"/>
              <w:rPr>
                <w:sz w:val="1"/>
                <w:szCs w:val="1"/>
                <w:color w:val="auto"/>
              </w:rPr>
            </w:pPr>
          </w:p>
        </w:tc>
      </w:tr>
      <w:tr>
        <w:trPr>
          <w:trHeight w:val="155"/>
        </w:trPr>
        <w:tc>
          <w:tcPr>
            <w:tcW w:w="1120" w:type="dxa"/>
            <w:vAlign w:val="bottom"/>
            <w:tcBorders>
              <w:bottom w:val="single" w:sz="8" w:color="auto"/>
            </w:tcBorders>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rPr>
              <w:t>70,267,586</w:t>
            </w:r>
          </w:p>
        </w:tc>
        <w:tc>
          <w:tcPr>
            <w:tcW w:w="840" w:type="dxa"/>
            <w:vAlign w:val="bottom"/>
            <w:tcBorders>
              <w:bottom w:val="single" w:sz="8" w:color="auto"/>
            </w:tcBorders>
          </w:tcPr>
          <w:p>
            <w:pPr>
              <w:jc w:val="right"/>
              <w:ind w:right="668"/>
              <w:spacing w:after="0" w:line="155"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70</w:t>
            </w:r>
          </w:p>
        </w:tc>
        <w:tc>
          <w:tcPr>
            <w:tcW w:w="180" w:type="dxa"/>
            <w:vAlign w:val="bottom"/>
            <w:tcBorders>
              <w:bottom w:val="single" w:sz="8" w:color="auto"/>
            </w:tcBorders>
            <w:gridSpan w:val="2"/>
          </w:tcPr>
          <w:p>
            <w:pPr>
              <w:jc w:val="right"/>
              <w:ind w:right="60"/>
              <w:spacing w:after="0" w:line="155"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rPr>
              <w:t>439,138</w:t>
            </w:r>
          </w:p>
        </w:tc>
        <w:tc>
          <w:tcPr>
            <w:tcW w:w="1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(345)</w:t>
            </w:r>
          </w:p>
        </w:tc>
        <w:tc>
          <w:tcPr>
            <w:tcW w:w="1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(306,569)</w:t>
            </w:r>
          </w:p>
        </w:tc>
        <w:tc>
          <w:tcPr>
            <w:tcW w:w="240" w:type="dxa"/>
            <w:vAlign w:val="bottom"/>
            <w:tcBorders>
              <w:bottom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132,294</w:t>
            </w:r>
          </w:p>
        </w:tc>
        <w:tc>
          <w:tcPr>
            <w:tcW w:w="0" w:type="dxa"/>
            <w:vAlign w:val="bottom"/>
          </w:tcPr>
          <w:p>
            <w:pPr>
              <w:spacing w:after="0"/>
              <w:rPr>
                <w:sz w:val="1"/>
                <w:szCs w:val="1"/>
                <w:color w:val="auto"/>
              </w:rPr>
            </w:pPr>
          </w:p>
        </w:tc>
      </w:tr>
      <w:tr>
        <w:trPr>
          <w:trHeight w:val="20"/>
        </w:trPr>
        <w:tc>
          <w:tcPr>
            <w:tcW w:w="1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38,183,273</w:t>
            </w:r>
          </w:p>
        </w:tc>
        <w:tc>
          <w:tcPr>
            <w:tcW w:w="840" w:type="dxa"/>
            <w:vAlign w:val="bottom"/>
          </w:tcPr>
          <w:p>
            <w:pPr>
              <w:jc w:val="right"/>
              <w:ind w:right="66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345,394</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(230,311)</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115,135</w:t>
            </w:r>
          </w:p>
        </w:tc>
        <w:tc>
          <w:tcPr>
            <w:tcW w:w="0" w:type="dxa"/>
            <w:vAlign w:val="bottom"/>
          </w:tcPr>
          <w:p>
            <w:pPr>
              <w:spacing w:after="0"/>
              <w:rPr>
                <w:sz w:val="1"/>
                <w:szCs w:val="1"/>
                <w:color w:val="auto"/>
              </w:rPr>
            </w:pPr>
          </w:p>
        </w:tc>
      </w:tr>
      <w:tr>
        <w:trPr>
          <w:trHeight w:val="284"/>
        </w:trPr>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2,447,211</w:t>
            </w:r>
          </w:p>
        </w:tc>
        <w:tc>
          <w:tcPr>
            <w:tcW w:w="84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8,047</w:t>
            </w:r>
          </w:p>
        </w:tc>
        <w:tc>
          <w:tcPr>
            <w:tcW w:w="120" w:type="dxa"/>
            <w:vAlign w:val="bottom"/>
          </w:tcPr>
          <w:p>
            <w:pPr>
              <w:spacing w:after="0"/>
              <w:rPr>
                <w:sz w:val="24"/>
                <w:szCs w:val="24"/>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4"/>
                <w:szCs w:val="24"/>
                <w:color w:val="auto"/>
              </w:rPr>
            </w:pPr>
          </w:p>
        </w:tc>
        <w:tc>
          <w:tcPr>
            <w:tcW w:w="9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8,050</w:t>
            </w:r>
          </w:p>
        </w:tc>
        <w:tc>
          <w:tcPr>
            <w:tcW w:w="0" w:type="dxa"/>
            <w:vAlign w:val="bottom"/>
          </w:tcPr>
          <w:p>
            <w:pPr>
              <w:spacing w:after="0"/>
              <w:rPr>
                <w:sz w:val="1"/>
                <w:szCs w:val="1"/>
                <w:color w:val="auto"/>
              </w:rPr>
            </w:pPr>
          </w:p>
        </w:tc>
      </w:tr>
      <w:tr>
        <w:trPr>
          <w:trHeight w:val="162"/>
        </w:trPr>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216</w:t>
            </w:r>
          </w:p>
        </w:tc>
        <w:tc>
          <w:tcPr>
            <w:tcW w:w="84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242,454</w:t>
            </w:r>
          </w:p>
        </w:tc>
        <w:tc>
          <w:tcPr>
            <w:tcW w:w="84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19,061</w:t>
            </w:r>
          </w:p>
        </w:tc>
        <w:tc>
          <w:tcPr>
            <w:tcW w:w="84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33</w:t>
            </w:r>
          </w:p>
        </w:tc>
        <w:tc>
          <w:tcPr>
            <w:tcW w:w="12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284"/>
        </w:trPr>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(15,970)</w:t>
            </w:r>
          </w:p>
        </w:tc>
        <w:tc>
          <w:tcPr>
            <w:tcW w:w="84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20" w:type="dxa"/>
            <w:vAlign w:val="bottom"/>
          </w:tcPr>
          <w:p>
            <w:pPr>
              <w:spacing w:after="0"/>
              <w:rPr>
                <w:sz w:val="24"/>
                <w:szCs w:val="24"/>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4"/>
                <w:szCs w:val="24"/>
                <w:color w:val="auto"/>
              </w:rPr>
            </w:pP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(65)</w:t>
            </w:r>
          </w:p>
        </w:tc>
        <w:tc>
          <w:tcPr>
            <w:tcW w:w="0" w:type="dxa"/>
            <w:vAlign w:val="bottom"/>
          </w:tcPr>
          <w:p>
            <w:pPr>
              <w:spacing w:after="0"/>
              <w:rPr>
                <w:sz w:val="1"/>
                <w:szCs w:val="1"/>
                <w:color w:val="auto"/>
              </w:rPr>
            </w:pPr>
          </w:p>
        </w:tc>
      </w:tr>
      <w:tr>
        <w:trPr>
          <w:trHeight w:val="162"/>
        </w:trPr>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(2,719)</w:t>
            </w:r>
          </w:p>
        </w:tc>
        <w:tc>
          <w:tcPr>
            <w:tcW w:w="84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877</w:t>
            </w:r>
          </w:p>
        </w:tc>
        <w:tc>
          <w:tcPr>
            <w:tcW w:w="12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877</w:t>
            </w:r>
          </w:p>
        </w:tc>
        <w:tc>
          <w:tcPr>
            <w:tcW w:w="0" w:type="dxa"/>
            <w:vAlign w:val="bottom"/>
          </w:tcPr>
          <w:p>
            <w:pPr>
              <w:spacing w:after="0"/>
              <w:rPr>
                <w:sz w:val="1"/>
                <w:szCs w:val="1"/>
                <w:color w:val="auto"/>
              </w:rPr>
            </w:pPr>
          </w:p>
        </w:tc>
      </w:tr>
      <w:tr>
        <w:trPr>
          <w:trHeight w:val="162"/>
        </w:trPr>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4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71"/>
        </w:trPr>
        <w:tc>
          <w:tcPr>
            <w:tcW w:w="11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(14,971)</w:t>
            </w: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(14,971)</w:t>
            </w:r>
          </w:p>
        </w:tc>
        <w:tc>
          <w:tcPr>
            <w:tcW w:w="0" w:type="dxa"/>
            <w:vAlign w:val="bottom"/>
          </w:tcPr>
          <w:p>
            <w:pPr>
              <w:spacing w:after="0"/>
              <w:rPr>
                <w:sz w:val="1"/>
                <w:szCs w:val="1"/>
                <w:color w:val="auto"/>
              </w:rPr>
            </w:pPr>
          </w:p>
        </w:tc>
      </w:tr>
      <w:tr>
        <w:trPr>
          <w:trHeight w:val="155"/>
        </w:trPr>
        <w:tc>
          <w:tcPr>
            <w:tcW w:w="1120" w:type="dxa"/>
            <w:vAlign w:val="bottom"/>
            <w:tcBorders>
              <w:bottom w:val="single" w:sz="8" w:color="auto"/>
            </w:tcBorders>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rPr>
              <w:t>40,873,526</w:t>
            </w:r>
          </w:p>
        </w:tc>
        <w:tc>
          <w:tcPr>
            <w:tcW w:w="840" w:type="dxa"/>
            <w:vAlign w:val="bottom"/>
            <w:tcBorders>
              <w:bottom w:val="single" w:sz="8" w:color="auto"/>
            </w:tcBorders>
          </w:tcPr>
          <w:p>
            <w:pPr>
              <w:jc w:val="right"/>
              <w:ind w:right="668"/>
              <w:spacing w:after="0" w:line="155"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41</w:t>
            </w:r>
          </w:p>
        </w:tc>
        <w:tc>
          <w:tcPr>
            <w:tcW w:w="180" w:type="dxa"/>
            <w:vAlign w:val="bottom"/>
            <w:tcBorders>
              <w:bottom w:val="single" w:sz="8" w:color="auto"/>
            </w:tcBorders>
            <w:gridSpan w:val="2"/>
          </w:tcPr>
          <w:p>
            <w:pPr>
              <w:jc w:val="right"/>
              <w:ind w:right="60"/>
              <w:spacing w:after="0" w:line="155"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rPr>
              <w:t>354,286</w:t>
            </w:r>
          </w:p>
        </w:tc>
        <w:tc>
          <w:tcPr>
            <w:tcW w:w="1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5</w:t>
            </w:r>
          </w:p>
        </w:tc>
        <w:tc>
          <w:tcPr>
            <w:tcW w:w="1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(245,282)</w:t>
            </w:r>
          </w:p>
        </w:tc>
        <w:tc>
          <w:tcPr>
            <w:tcW w:w="240" w:type="dxa"/>
            <w:vAlign w:val="bottom"/>
            <w:tcBorders>
              <w:bottom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109,050</w:t>
            </w:r>
          </w:p>
        </w:tc>
        <w:tc>
          <w:tcPr>
            <w:tcW w:w="0" w:type="dxa"/>
            <w:vAlign w:val="bottom"/>
          </w:tcPr>
          <w:p>
            <w:pPr>
              <w:spacing w:after="0"/>
              <w:rPr>
                <w:sz w:val="1"/>
                <w:szCs w:val="1"/>
                <w:color w:val="auto"/>
              </w:rPr>
            </w:pPr>
          </w:p>
        </w:tc>
      </w:tr>
      <w:tr>
        <w:trPr>
          <w:trHeight w:val="20"/>
        </w:trPr>
        <w:tc>
          <w:tcPr>
            <w:tcW w:w="1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-2762885</wp:posOffset>
            </wp:positionH>
            <wp:positionV relativeFrom="paragraph">
              <wp:posOffset>-2425700</wp:posOffset>
            </wp:positionV>
            <wp:extent cx="7132320" cy="1117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-2211070</wp:posOffset>
            </wp:positionV>
            <wp:extent cx="7132320" cy="1028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-2005330</wp:posOffset>
            </wp:positionV>
            <wp:extent cx="7132320" cy="1028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-1799590</wp:posOffset>
            </wp:positionV>
            <wp:extent cx="7132320" cy="1028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-1593850</wp:posOffset>
            </wp:positionV>
            <wp:extent cx="7132320" cy="1200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-1353820</wp:posOffset>
            </wp:positionV>
            <wp:extent cx="7132320" cy="1028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-1054100</wp:posOffset>
            </wp:positionV>
            <wp:extent cx="7132320" cy="1028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-848360</wp:posOffset>
            </wp:positionV>
            <wp:extent cx="7132320" cy="1028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-548005</wp:posOffset>
            </wp:positionV>
            <wp:extent cx="7132320" cy="1028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-342265</wp:posOffset>
            </wp:positionV>
            <wp:extent cx="7132320" cy="1028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-136525</wp:posOffset>
            </wp:positionV>
            <wp:extent cx="7132320" cy="1200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20" w:space="140"/>
            <w:col w:w="6880"/>
          </w:cols>
          <w:pgMar w:left="320" w:top="333"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 unaudited consolidated financial statements.</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SYNLOGIC, INC. AND SUBSIDIARIES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Unaudited Consolidated Statements of Cash Flows</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w:t>
      </w:r>
    </w:p>
    <w:p>
      <w:pPr>
        <w:sectPr>
          <w:pgSz w:w="11900" w:h="16838" w:orient="portrait"/>
          <w:cols w:equalWidth="0" w:num="1">
            <w:col w:w="11240"/>
          </w:cols>
          <w:pgMar w:left="320" w:top="333" w:right="339" w:bottom="1440" w:gutter="0" w:footer="0" w:header="0"/>
        </w:sectPr>
      </w:pPr>
    </w:p>
    <w:p>
      <w:pPr>
        <w:spacing w:after="0" w:line="300" w:lineRule="exact"/>
        <w:rPr>
          <w:sz w:val="20"/>
          <w:szCs w:val="20"/>
          <w:color w:val="auto"/>
        </w:rPr>
      </w:pPr>
    </w:p>
    <w:p>
      <w:pPr>
        <w:jc w:val="center"/>
        <w:ind w:left="76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7620</wp:posOffset>
            </wp:positionV>
            <wp:extent cx="11144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7" w:lineRule="exact"/>
        <w:rPr>
          <w:sz w:val="20"/>
          <w:szCs w:val="20"/>
          <w:color w:val="auto"/>
        </w:rPr>
      </w:pPr>
    </w:p>
    <w:p>
      <w:pPr>
        <w:jc w:val="center"/>
        <w:ind w:left="7620"/>
        <w:spacing w:after="0"/>
        <w:rPr>
          <w:sz w:val="20"/>
          <w:szCs w:val="20"/>
          <w:color w:val="auto"/>
        </w:rPr>
      </w:pPr>
      <w:r>
        <w:rPr>
          <w:rFonts w:ascii="Times New Roman" w:cs="Times New Roman" w:eastAsia="Times New Roman" w:hAnsi="Times New Roman"/>
          <w:sz w:val="14"/>
          <w:szCs w:val="14"/>
          <w:b w:val="1"/>
          <w:bCs w:val="1"/>
          <w:color w:val="auto"/>
        </w:rPr>
        <w:t>March 31, 2022</w:t>
      </w:r>
    </w:p>
    <w:p>
      <w:pPr>
        <w:spacing w:after="0" w:line="20" w:lineRule="exact"/>
        <w:rPr>
          <w:sz w:val="20"/>
          <w:szCs w:val="20"/>
          <w:color w:val="auto"/>
        </w:rPr>
      </w:pPr>
      <w:r>
        <w:rPr>
          <w:sz w:val="20"/>
          <w:szCs w:val="20"/>
          <w:color w:val="auto"/>
        </w:rPr>
        <w:br w:type="column"/>
      </w:r>
    </w:p>
    <w:p>
      <w:pPr>
        <w:spacing w:after="0" w:line="280"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wp:posOffset>
            </wp:positionH>
            <wp:positionV relativeFrom="paragraph">
              <wp:posOffset>7620</wp:posOffset>
            </wp:positionV>
            <wp:extent cx="106299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March 31, 2021</w:t>
      </w:r>
    </w:p>
    <w:p>
      <w:pPr>
        <w:spacing w:after="0" w:line="1" w:lineRule="exact"/>
        <w:rPr>
          <w:sz w:val="20"/>
          <w:szCs w:val="20"/>
          <w:color w:val="auto"/>
        </w:rPr>
      </w:pPr>
    </w:p>
    <w:p>
      <w:pPr>
        <w:sectPr>
          <w:pgSz w:w="11900" w:h="16838" w:orient="portrait"/>
          <w:cols w:equalWidth="0" w:num="2">
            <w:col w:w="8940" w:space="680"/>
            <w:col w:w="1620"/>
          </w:cols>
          <w:pgMar w:left="320" w:top="333"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74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64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7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loss</w:t>
            </w:r>
          </w:p>
        </w:tc>
        <w:tc>
          <w:tcPr>
            <w:tcW w:w="6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(15,697)</w:t>
            </w:r>
          </w:p>
        </w:tc>
        <w:tc>
          <w:tcPr>
            <w:tcW w:w="70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(14,971)</w:t>
            </w:r>
          </w:p>
        </w:tc>
      </w:tr>
      <w:tr>
        <w:trPr>
          <w:trHeight w:val="230"/>
        </w:trPr>
        <w:tc>
          <w:tcPr>
            <w:tcW w:w="74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6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4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Depreciation</w:t>
            </w:r>
          </w:p>
        </w:tc>
        <w:tc>
          <w:tcPr>
            <w:tcW w:w="6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20" w:type="dxa"/>
            <w:vAlign w:val="bottom"/>
          </w:tcPr>
          <w:p>
            <w:pPr>
              <w:spacing w:after="0"/>
              <w:rPr>
                <w:sz w:val="19"/>
                <w:szCs w:val="19"/>
                <w:color w:val="auto"/>
              </w:rPr>
            </w:pPr>
          </w:p>
        </w:tc>
      </w:tr>
      <w:tr>
        <w:trPr>
          <w:trHeight w:val="230"/>
        </w:trPr>
        <w:tc>
          <w:tcPr>
            <w:tcW w:w="74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6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120" w:type="dxa"/>
            <w:vAlign w:val="bottom"/>
            <w:shd w:val="clear" w:color="auto" w:fill="CFF0FC"/>
          </w:tcPr>
          <w:p>
            <w:pPr>
              <w:spacing w:after="0"/>
              <w:rPr>
                <w:sz w:val="19"/>
                <w:szCs w:val="19"/>
                <w:color w:val="auto"/>
              </w:rPr>
            </w:pPr>
          </w:p>
        </w:tc>
      </w:tr>
      <w:tr>
        <w:trPr>
          <w:trHeight w:val="229"/>
        </w:trPr>
        <w:tc>
          <w:tcPr>
            <w:tcW w:w="74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Accretion/amortization of investment securities</w:t>
            </w:r>
          </w:p>
        </w:tc>
        <w:tc>
          <w:tcPr>
            <w:tcW w:w="64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19"/>
                <w:szCs w:val="19"/>
                <w:color w:val="auto"/>
              </w:rPr>
            </w:pPr>
          </w:p>
        </w:tc>
      </w:tr>
      <w:tr>
        <w:trPr>
          <w:trHeight w:val="229"/>
        </w:trPr>
        <w:tc>
          <w:tcPr>
            <w:tcW w:w="74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Change in carrying amount of operating lease right of use asset</w:t>
            </w:r>
          </w:p>
        </w:tc>
        <w:tc>
          <w:tcPr>
            <w:tcW w:w="6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20" w:type="dxa"/>
            <w:vAlign w:val="bottom"/>
            <w:shd w:val="clear" w:color="auto" w:fill="CFF0FC"/>
          </w:tcPr>
          <w:p>
            <w:pPr>
              <w:spacing w:after="0"/>
              <w:rPr>
                <w:sz w:val="19"/>
                <w:szCs w:val="19"/>
                <w:color w:val="auto"/>
              </w:rPr>
            </w:pPr>
          </w:p>
        </w:tc>
      </w:tr>
      <w:tr>
        <w:trPr>
          <w:trHeight w:val="230"/>
        </w:trPr>
        <w:tc>
          <w:tcPr>
            <w:tcW w:w="74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6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40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6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(443)</w:t>
            </w:r>
          </w:p>
        </w:tc>
      </w:tr>
      <w:tr>
        <w:trPr>
          <w:trHeight w:val="230"/>
        </w:trPr>
        <w:tc>
          <w:tcPr>
            <w:tcW w:w="74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Prepaid research and development, net of current portion</w:t>
            </w:r>
          </w:p>
        </w:tc>
        <w:tc>
          <w:tcPr>
            <w:tcW w:w="64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(488)</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120" w:type="dxa"/>
            <w:vAlign w:val="bottom"/>
          </w:tcPr>
          <w:p>
            <w:pPr>
              <w:spacing w:after="0"/>
              <w:rPr>
                <w:sz w:val="19"/>
                <w:szCs w:val="19"/>
                <w:color w:val="auto"/>
              </w:rPr>
            </w:pPr>
          </w:p>
        </w:tc>
      </w:tr>
      <w:tr>
        <w:trPr>
          <w:trHeight w:val="229"/>
        </w:trPr>
        <w:tc>
          <w:tcPr>
            <w:tcW w:w="740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6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(1,387)</w:t>
            </w: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(1,408)</w:t>
            </w:r>
          </w:p>
        </w:tc>
      </w:tr>
      <w:tr>
        <w:trPr>
          <w:trHeight w:val="229"/>
        </w:trPr>
        <w:tc>
          <w:tcPr>
            <w:tcW w:w="74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Deferred revenue</w:t>
            </w:r>
          </w:p>
        </w:tc>
        <w:tc>
          <w:tcPr>
            <w:tcW w:w="64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40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6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(739)</w:t>
            </w: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(606)</w:t>
            </w:r>
          </w:p>
        </w:tc>
      </w:tr>
      <w:tr>
        <w:trPr>
          <w:trHeight w:val="229"/>
        </w:trPr>
        <w:tc>
          <w:tcPr>
            <w:tcW w:w="74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Other assets</w:t>
            </w:r>
          </w:p>
        </w:tc>
        <w:tc>
          <w:tcPr>
            <w:tcW w:w="64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4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64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(15,477)</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(13,976)</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6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4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6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(12,121)</w:t>
            </w: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(27,091)</w:t>
            </w:r>
          </w:p>
        </w:tc>
      </w:tr>
      <w:tr>
        <w:trPr>
          <w:trHeight w:val="229"/>
        </w:trPr>
        <w:tc>
          <w:tcPr>
            <w:tcW w:w="7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Proceeds from maturity of marketable securities</w:t>
            </w:r>
          </w:p>
        </w:tc>
        <w:tc>
          <w:tcPr>
            <w:tcW w:w="6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32,356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25,996</w:t>
            </w:r>
          </w:p>
        </w:tc>
        <w:tc>
          <w:tcPr>
            <w:tcW w:w="120" w:type="dxa"/>
            <w:vAlign w:val="bottom"/>
          </w:tcPr>
          <w:p>
            <w:pPr>
              <w:spacing w:after="0"/>
              <w:rPr>
                <w:sz w:val="19"/>
                <w:szCs w:val="19"/>
                <w:color w:val="auto"/>
              </w:rPr>
            </w:pPr>
          </w:p>
        </w:tc>
      </w:tr>
      <w:tr>
        <w:trPr>
          <w:trHeight w:val="229"/>
        </w:trPr>
        <w:tc>
          <w:tcPr>
            <w:tcW w:w="74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Proceeds from redemption of marketable securities</w:t>
            </w:r>
          </w:p>
        </w:tc>
        <w:tc>
          <w:tcPr>
            <w:tcW w:w="6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120" w:type="dxa"/>
            <w:vAlign w:val="bottom"/>
            <w:shd w:val="clear" w:color="auto" w:fill="CFF0FC"/>
          </w:tcPr>
          <w:p>
            <w:pPr>
              <w:spacing w:after="0"/>
              <w:rPr>
                <w:sz w:val="19"/>
                <w:szCs w:val="19"/>
                <w:color w:val="auto"/>
              </w:rPr>
            </w:pPr>
          </w:p>
        </w:tc>
      </w:tr>
      <w:tr>
        <w:trPr>
          <w:trHeight w:val="230"/>
        </w:trPr>
        <w:tc>
          <w:tcPr>
            <w:tcW w:w="7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64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w:t>
            </w:r>
          </w:p>
        </w:tc>
      </w:tr>
      <w:tr>
        <w:trPr>
          <w:trHeight w:val="223"/>
        </w:trPr>
        <w:tc>
          <w:tcPr>
            <w:tcW w:w="74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64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19,758</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6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4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Payments on finance lease obligations</w:t>
            </w:r>
          </w:p>
        </w:tc>
        <w:tc>
          <w:tcPr>
            <w:tcW w:w="6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r>
      <w:tr>
        <w:trPr>
          <w:trHeight w:val="211"/>
        </w:trPr>
        <w:tc>
          <w:tcPr>
            <w:tcW w:w="7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Proceeds from issuance of common stock in connection with at-the-market offering, net of</w:t>
            </w:r>
          </w:p>
        </w:tc>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7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issuance costs</w:t>
            </w:r>
          </w:p>
        </w:tc>
        <w:tc>
          <w:tcPr>
            <w:tcW w:w="64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8,052</w:t>
            </w:r>
          </w:p>
        </w:tc>
        <w:tc>
          <w:tcPr>
            <w:tcW w:w="120" w:type="dxa"/>
            <w:vAlign w:val="bottom"/>
          </w:tcPr>
          <w:p>
            <w:pPr>
              <w:spacing w:after="0"/>
              <w:rPr>
                <w:sz w:val="20"/>
                <w:szCs w:val="20"/>
                <w:color w:val="auto"/>
              </w:rPr>
            </w:pPr>
          </w:p>
        </w:tc>
      </w:tr>
      <w:tr>
        <w:trPr>
          <w:trHeight w:val="229"/>
        </w:trPr>
        <w:tc>
          <w:tcPr>
            <w:tcW w:w="74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Proceeds from employee stock purchases and exercise of stock options</w:t>
            </w:r>
          </w:p>
        </w:tc>
        <w:tc>
          <w:tcPr>
            <w:tcW w:w="6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FF0FC"/>
          </w:tcPr>
          <w:p>
            <w:pPr>
              <w:spacing w:after="0"/>
              <w:rPr>
                <w:sz w:val="19"/>
                <w:szCs w:val="19"/>
                <w:color w:val="auto"/>
              </w:rPr>
            </w:pPr>
          </w:p>
        </w:tc>
      </w:tr>
      <w:tr>
        <w:trPr>
          <w:trHeight w:val="230"/>
        </w:trPr>
        <w:tc>
          <w:tcPr>
            <w:tcW w:w="7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Payment of employee withholding taxes relating to restricted stock awards</w:t>
            </w:r>
          </w:p>
        </w:tc>
        <w:tc>
          <w:tcPr>
            <w:tcW w:w="64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(65)</w:t>
            </w:r>
          </w:p>
        </w:tc>
      </w:tr>
      <w:tr>
        <w:trPr>
          <w:trHeight w:val="223"/>
        </w:trPr>
        <w:tc>
          <w:tcPr>
            <w:tcW w:w="74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64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8,019</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6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(5,803)</w:t>
            </w:r>
          </w:p>
        </w:tc>
        <w:tc>
          <w:tcPr>
            <w:tcW w:w="120" w:type="dxa"/>
            <w:vAlign w:val="bottom"/>
          </w:tcPr>
          <w:p>
            <w:pPr>
              <w:spacing w:after="0"/>
              <w:rPr>
                <w:sz w:val="19"/>
                <w:szCs w:val="19"/>
                <w:color w:val="auto"/>
              </w:rPr>
            </w:pPr>
          </w:p>
        </w:tc>
      </w:tr>
      <w:tr>
        <w:trPr>
          <w:trHeight w:val="230"/>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6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17,535</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33,604</w:t>
            </w:r>
          </w:p>
        </w:tc>
        <w:tc>
          <w:tcPr>
            <w:tcW w:w="120" w:type="dxa"/>
            <w:vAlign w:val="bottom"/>
            <w:shd w:val="clear" w:color="auto" w:fill="CFF0FC"/>
          </w:tcPr>
          <w:p>
            <w:pPr>
              <w:spacing w:after="0"/>
              <w:rPr>
                <w:sz w:val="19"/>
                <w:szCs w:val="19"/>
                <w:color w:val="auto"/>
              </w:rPr>
            </w:pPr>
          </w:p>
        </w:tc>
      </w:tr>
      <w:tr>
        <w:trPr>
          <w:trHeight w:val="263"/>
        </w:trPr>
        <w:tc>
          <w:tcPr>
            <w:tcW w:w="74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6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21,948</w:t>
            </w:r>
          </w:p>
        </w:tc>
        <w:tc>
          <w:tcPr>
            <w:tcW w:w="18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27,801</w:t>
            </w:r>
          </w:p>
        </w:tc>
        <w:tc>
          <w:tcPr>
            <w:tcW w:w="120" w:type="dxa"/>
            <w:vAlign w:val="bottom"/>
            <w:tcBorders>
              <w:bottom w:val="single" w:sz="8" w:color="CFF0FC"/>
            </w:tcBorders>
          </w:tcPr>
          <w:p>
            <w:pPr>
              <w:spacing w:after="0"/>
              <w:rPr>
                <w:sz w:val="22"/>
                <w:szCs w:val="22"/>
                <w:color w:val="auto"/>
              </w:rPr>
            </w:pPr>
          </w:p>
        </w:tc>
      </w:tr>
      <w:tr>
        <w:trPr>
          <w:trHeight w:val="210"/>
        </w:trPr>
        <w:tc>
          <w:tcPr>
            <w:tcW w:w="74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disclosure of non-cash investing activities:</w:t>
            </w:r>
          </w:p>
        </w:tc>
        <w:tc>
          <w:tcPr>
            <w:tcW w:w="6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4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Assets acquired under operating lease obligation</w:t>
            </w:r>
          </w:p>
        </w:tc>
        <w:tc>
          <w:tcPr>
            <w:tcW w:w="640" w:type="dxa"/>
            <w:vAlign w:val="bottom"/>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1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Property and equipment purchases included in accounts payable and accrued expenses</w:t>
            </w:r>
          </w:p>
        </w:tc>
        <w:tc>
          <w:tcPr>
            <w:tcW w:w="6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80" w:type="dxa"/>
            <w:vAlign w:val="bottom"/>
          </w:tcPr>
          <w:p>
            <w:pPr>
              <w:spacing w:after="0"/>
              <w:rPr>
                <w:sz w:val="19"/>
                <w:szCs w:val="19"/>
                <w:color w:val="auto"/>
              </w:rPr>
            </w:pPr>
          </w:p>
        </w:tc>
        <w:tc>
          <w:tcPr>
            <w:tcW w:w="70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r>
      <w:tr>
        <w:trPr>
          <w:trHeight w:val="229"/>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Supplemental disclosure of non-cash financing activities:</w:t>
            </w:r>
          </w:p>
        </w:tc>
        <w:tc>
          <w:tcPr>
            <w:tcW w:w="6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Issuance costs included in accounts payable and accrued expenses</w:t>
            </w:r>
          </w:p>
        </w:tc>
        <w:tc>
          <w:tcPr>
            <w:tcW w:w="6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r>
      <w:tr>
        <w:trPr>
          <w:trHeight w:val="230"/>
        </w:trPr>
        <w:tc>
          <w:tcPr>
            <w:tcW w:w="74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Cash paid for interest</w:t>
            </w:r>
          </w:p>
        </w:tc>
        <w:tc>
          <w:tcPr>
            <w:tcW w:w="640" w:type="dxa"/>
            <w:vAlign w:val="bottom"/>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SYNLOGIC, INC. AND SUBSIDIARIES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185"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Nature of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121" w:lineRule="exact"/>
        <w:rPr>
          <w:sz w:val="20"/>
          <w:szCs w:val="20"/>
          <w:color w:val="auto"/>
        </w:rPr>
      </w:pPr>
    </w:p>
    <w:p>
      <w:pPr>
        <w:jc w:val="both"/>
        <w:ind w:right="200" w:firstLine="510"/>
        <w:spacing w:after="0" w:line="272" w:lineRule="auto"/>
        <w:rPr>
          <w:sz w:val="20"/>
          <w:szCs w:val="20"/>
          <w:color w:val="auto"/>
        </w:rPr>
      </w:pPr>
      <w:r>
        <w:rPr>
          <w:rFonts w:ascii="Times New Roman" w:cs="Times New Roman" w:eastAsia="Times New Roman" w:hAnsi="Times New Roman"/>
          <w:sz w:val="17"/>
          <w:szCs w:val="17"/>
          <w:color w:val="auto"/>
        </w:rPr>
        <w:t>Synlogic, Inc., together with its wholly owned and consolidated subsidiaries (“Synlogic” or “the Company”), is a clinical-stage biopharmaceutical company applying synthetic biology to the discovery and development of Synthetic Biotics. Synthetic Biotics are generated from Synlogic’s proprietary platform, leveraging a reproducible, modular approach to the generation of novel drug candidates that perform or deliver critical therapeutic functions.</w:t>
      </w:r>
    </w:p>
    <w:p>
      <w:pPr>
        <w:spacing w:after="0" w:line="2"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Synthetic Biotics are designed to metabolize a toxic substance, compensate for missing or damaged metabolic pathways or deliver combinations of therapeutic factors. Synlogic’s goal is to discover, develop and ultimately commercialize Synthetic Biotics. Since incorporation, the Company has devoted substantially all of its efforts to the research and development of its product candidates.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21"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At March 31, 2022, the Company had approximately $120.5 million in cash, cash equivalents, and short-term marketable securities, $1.1 million of restricted cash and an accumulated deficit of approximately $306.6 million. Since its inception through March 31, 2022, the Company has primarily financed its operations through the issuance of preferred stock, units and warrants, the sale of its common stock, the collaborations with Roche and AbbVie, and cash received in the Merger (defined below). In the absence of positive cash flows from operations, the Company is highly dependent on its ability to find additional sources of funding in the form of debt or equity financing. Management believes that the Company has sufficient cash to fund its operations through at least twelve months from the issuance of these financial statements.</w:t>
      </w:r>
    </w:p>
    <w:p>
      <w:pPr>
        <w:spacing w:after="0" w:line="187" w:lineRule="exact"/>
        <w:rPr>
          <w:sz w:val="20"/>
          <w:szCs w:val="20"/>
          <w:color w:val="auto"/>
        </w:rPr>
      </w:pPr>
    </w:p>
    <w:p>
      <w:pPr>
        <w:ind w:right="160" w:firstLine="510"/>
        <w:spacing w:after="0" w:line="253" w:lineRule="auto"/>
        <w:rPr>
          <w:sz w:val="20"/>
          <w:szCs w:val="20"/>
          <w:color w:val="auto"/>
        </w:rPr>
      </w:pPr>
      <w:r>
        <w:rPr>
          <w:rFonts w:ascii="Times New Roman" w:cs="Times New Roman" w:eastAsia="Times New Roman" w:hAnsi="Times New Roman"/>
          <w:sz w:val="18"/>
          <w:szCs w:val="18"/>
          <w:color w:val="auto"/>
        </w:rPr>
        <w:t>As an early-stage company, the Company is subject to a number of risks common to other life science companies, including, but not limited to, raising additional capital, development by its competitors of new technological innovations, risk of failure in preclinical and clinical studies, safety and efficacy of its product candidates in clinical trials, the risk of relying on external parties such as contract research organizations (CROs) and contract manufacturing organizations (CMOs), the regulatory approval process, market acceptance of the Company’s products once approved, lack of marketing and sales history, dependence on key personnel and protection of proprietary technology. The Company’s therapeutic programs are currently pre-commercial, spanning discovery through early development and will require significant additional research and development efforts, including extensive preclinical and clinical testing and regulatory approval, prior to commercialization of any product candidates. These efforts require significant amounts of additional capital, adequate personnel, infrastructure, and extensive compliance-reporting capabilities. There can be no assurance that the Company’s research and development will be successfully completed, that adequate protection for the Company’s intellectual property will be obtained, that any products developed will obtain necessary regulatory approval or that any approved products will be commercially viable. Even if the Company’s product development efforts are successful, it is uncertain when, if ever, the Company will generate revenue from product sales. The Company may never achieve profitability, and unless and until it does, it will continue to need to raise additional capital or obtain financing from other sources, such as strategic collaborations or alliances.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COVID-19</w:t>
      </w:r>
    </w:p>
    <w:p>
      <w:pPr>
        <w:spacing w:after="0" w:line="121" w:lineRule="exact"/>
        <w:rPr>
          <w:sz w:val="20"/>
          <w:szCs w:val="20"/>
          <w:color w:val="auto"/>
        </w:rPr>
      </w:pPr>
    </w:p>
    <w:p>
      <w:pPr>
        <w:ind w:right="140" w:firstLine="510"/>
        <w:spacing w:after="0" w:line="266" w:lineRule="auto"/>
        <w:rPr>
          <w:sz w:val="20"/>
          <w:szCs w:val="20"/>
          <w:color w:val="auto"/>
        </w:rPr>
      </w:pPr>
      <w:r>
        <w:rPr>
          <w:rFonts w:ascii="Times New Roman" w:cs="Times New Roman" w:eastAsia="Times New Roman" w:hAnsi="Times New Roman"/>
          <w:sz w:val="18"/>
          <w:szCs w:val="18"/>
          <w:color w:val="auto"/>
        </w:rPr>
        <w:t>While the Company is not aware of a material impact from the continuation of the COVID-19 pandemic through March 31, 2022, the full extent to which the COVID-19 pandemic will directly or indirectly impact the Company’s business, results of operations, and financial condition, including expenses and manufacturing, clinical trials, and research and development costs, depends on future developments that are highly uncertain at this time.</w:t>
      </w:r>
    </w:p>
    <w:p>
      <w:pPr>
        <w:spacing w:after="0" w:line="280" w:lineRule="exact"/>
        <w:rPr>
          <w:sz w:val="20"/>
          <w:szCs w:val="20"/>
          <w:color w:val="auto"/>
        </w:rPr>
      </w:pPr>
    </w:p>
    <w:p>
      <w:pPr>
        <w:ind w:left="500" w:hanging="492"/>
        <w:spacing w:after="0"/>
        <w:tabs>
          <w:tab w:leader="none" w:pos="50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21" w:lineRule="exact"/>
        <w:rPr>
          <w:sz w:val="20"/>
          <w:szCs w:val="20"/>
          <w:color w:val="auto"/>
        </w:rPr>
      </w:pPr>
    </w:p>
    <w:p>
      <w:pPr>
        <w:ind w:right="80" w:firstLine="510"/>
        <w:spacing w:after="0" w:line="289" w:lineRule="auto"/>
        <w:rPr>
          <w:sz w:val="20"/>
          <w:szCs w:val="20"/>
          <w:color w:val="auto"/>
        </w:rPr>
      </w:pPr>
      <w:r>
        <w:rPr>
          <w:rFonts w:ascii="Times New Roman" w:cs="Times New Roman" w:eastAsia="Times New Roman" w:hAnsi="Times New Roman"/>
          <w:sz w:val="17"/>
          <w:szCs w:val="17"/>
          <w:color w:val="auto"/>
        </w:rPr>
        <w:t>The significant accounting policies described in the Company’s audited financial statements as of and for the year ended December 31, 2021, and the notes thereto, which are included in the Company’s Annual Report on Form 10-K for the year ended December 31, 2021, filed with the Securities and Exchange Commission (SEC) on March 17, 2022 (the 2021 Annual Report), have had no material changes during the three months ended March 31, 2022.</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140" w:firstLine="510"/>
        <w:spacing w:after="0" w:line="256" w:lineRule="auto"/>
        <w:rPr>
          <w:sz w:val="20"/>
          <w:szCs w:val="20"/>
          <w:color w:val="auto"/>
        </w:rPr>
      </w:pPr>
      <w:r>
        <w:rPr>
          <w:rFonts w:ascii="Times New Roman" w:cs="Times New Roman" w:eastAsia="Times New Roman" w:hAnsi="Times New Roman"/>
          <w:sz w:val="18"/>
          <w:szCs w:val="18"/>
          <w:color w:val="auto"/>
        </w:rPr>
        <w:t>The accompanying consolidated financial statements and the related disclosures as of March 31, 2022 and for the three months ended March 31, 2022 and 2021 are unaudited and have been prepared in accordance with accounting principles generally accepted in the United States (GAAP) and the rules and regulations of the SEC for interim financial statements. Accordingly, they do not include all of the information and notes required by GAAP for complete financial statements. These interim consolidated financial statements should be read in conjunction with the Company’s 2021 and 2020 audited consolidated financial statements and notes included in the 2021 Annual Report. The consolidated balance sheet as of December 31, 2021 included herein was derived from the audited financial</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 w:name="page9"/>
    <w:bookmarkEnd w:id="8"/>
    <w:p>
      <w:pPr>
        <w:ind w:right="80"/>
        <w:spacing w:after="0" w:line="258" w:lineRule="auto"/>
        <w:rPr>
          <w:sz w:val="20"/>
          <w:szCs w:val="20"/>
          <w:color w:val="auto"/>
        </w:rPr>
      </w:pPr>
      <w:r>
        <w:rPr>
          <w:rFonts w:ascii="Times New Roman" w:cs="Times New Roman" w:eastAsia="Times New Roman" w:hAnsi="Times New Roman"/>
          <w:sz w:val="18"/>
          <w:szCs w:val="18"/>
          <w:color w:val="auto"/>
        </w:rPr>
        <w:t>statements as of that date but does not include all disclosures including notes required by GAAP for complete financial statements. In the opinion of management, the unaudited interim consolidated financial statements reflect all adjustments, consisting of normal and recurring adjustments, necessary for the fair presentation of the Company’s financial position and results of operations for the three months ended March 31, 2022 and 2021. The results of operations for the interim periods are not necessarily indicative of the results to be expected for the year ending December 31, 2022 or any other interim period or future year or period.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ind w:right="640" w:firstLine="562"/>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Synlogic and its wholly owned subsidiaries. All intercompany accounts and transactions have been eliminated in consolidation.</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Recently Issued Accounting Pronouncements</w:t>
      </w:r>
    </w:p>
    <w:p>
      <w:pPr>
        <w:spacing w:after="0" w:line="130" w:lineRule="exact"/>
        <w:rPr>
          <w:sz w:val="20"/>
          <w:szCs w:val="20"/>
          <w:color w:val="auto"/>
        </w:rPr>
      </w:pPr>
    </w:p>
    <w:p>
      <w:pPr>
        <w:ind w:right="140" w:firstLine="510"/>
        <w:spacing w:after="0" w:line="266" w:lineRule="auto"/>
        <w:rPr>
          <w:sz w:val="20"/>
          <w:szCs w:val="20"/>
          <w:color w:val="auto"/>
        </w:rPr>
      </w:pPr>
      <w:r>
        <w:rPr>
          <w:rFonts w:ascii="Times New Roman" w:cs="Times New Roman" w:eastAsia="Times New Roman" w:hAnsi="Times New Roman"/>
          <w:sz w:val="18"/>
          <w:szCs w:val="18"/>
          <w:color w:val="auto"/>
        </w:rPr>
        <w:t>New accounting pronouncements are issued by the FASB from time to time, and rules are issued by the SEC that the Company has or will adopt as of a specified date. Unless otherwise noted, management does not believe that any recently issued accounting pronouncements issued by the FASB or guidance issued by the SEC had, or is expected to have, a material impact on the Company’s present or future financial statements.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00" w:hanging="492"/>
        <w:spacing w:after="0"/>
        <w:tabs>
          <w:tab w:leader="none" w:pos="50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w:t>
      </w:r>
    </w:p>
    <w:p>
      <w:pPr>
        <w:spacing w:after="0" w:line="135" w:lineRule="exact"/>
        <w:rPr>
          <w:sz w:val="20"/>
          <w:szCs w:val="20"/>
          <w:color w:val="auto"/>
        </w:rPr>
      </w:pPr>
    </w:p>
    <w:p>
      <w:pPr>
        <w:jc w:val="both"/>
        <w:ind w:right="320" w:firstLine="510"/>
        <w:spacing w:after="0" w:line="266" w:lineRule="auto"/>
        <w:rPr>
          <w:sz w:val="20"/>
          <w:szCs w:val="20"/>
          <w:color w:val="auto"/>
        </w:rPr>
      </w:pPr>
      <w:r>
        <w:rPr>
          <w:rFonts w:ascii="Times New Roman" w:cs="Times New Roman" w:eastAsia="Times New Roman" w:hAnsi="Times New Roman"/>
          <w:sz w:val="18"/>
          <w:szCs w:val="18"/>
          <w:color w:val="auto"/>
        </w:rPr>
        <w:t>The tables below present information about the Company’s assets that are measured at fair value on a recurring basis and indicate the fair value hierarchy of the valuation techniques the Company utilized to determine such fair value, as described under Note 2</w:t>
      </w:r>
      <w:r>
        <w:rPr>
          <w:rFonts w:ascii="Times New Roman" w:cs="Times New Roman" w:eastAsia="Times New Roman" w:hAnsi="Times New Roman"/>
          <w:sz w:val="18"/>
          <w:szCs w:val="18"/>
          <w:i w:val="1"/>
          <w:iCs w:val="1"/>
          <w:color w:val="auto"/>
        </w:rPr>
        <w:t>, Summary of Significant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Policies, </w:t>
      </w:r>
      <w:r>
        <w:rPr>
          <w:rFonts w:ascii="Times New Roman" w:cs="Times New Roman" w:eastAsia="Times New Roman" w:hAnsi="Times New Roman"/>
          <w:sz w:val="18"/>
          <w:szCs w:val="18"/>
          <w:color w:val="auto"/>
        </w:rPr>
        <w:t>in the audited financial statements included in the 2021 Annual Report.</w:t>
      </w:r>
    </w:p>
    <w:p>
      <w:pPr>
        <w:spacing w:after="0" w:line="176" w:lineRule="exact"/>
        <w:rPr>
          <w:sz w:val="20"/>
          <w:szCs w:val="20"/>
          <w:color w:val="auto"/>
        </w:rPr>
      </w:pPr>
    </w:p>
    <w:p>
      <w:pPr>
        <w:ind w:right="280" w:firstLine="510"/>
        <w:spacing w:after="0" w:line="258" w:lineRule="auto"/>
        <w:rPr>
          <w:sz w:val="20"/>
          <w:szCs w:val="20"/>
          <w:color w:val="auto"/>
        </w:rPr>
      </w:pPr>
      <w:r>
        <w:rPr>
          <w:rFonts w:ascii="Times New Roman" w:cs="Times New Roman" w:eastAsia="Times New Roman" w:hAnsi="Times New Roman"/>
          <w:sz w:val="18"/>
          <w:szCs w:val="18"/>
          <w:color w:val="auto"/>
        </w:rPr>
        <w:t>The Company’s investment portfolio includes many fixed income securities that do not always trade on a daily basis. As a result, the pricing services used by the Company applied other available information as applicable through processes such as benchmark yields, benchmarking of like securities, sector groupings and matrix pricing to prepare evaluations. In addition, model processes were used to assess interest rate impact and develop prepayment scenarios. These models take into consideration relevant credit information, perceived market movements, sector news and economic events. The inputs into these models may include benchmark yields, reported trades, broker-dealer quotes, issuer spreads and other relevant data.</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March 31, 2022 and December 31, 2021, the Company has classified assets measured at fair value on a recurring basis as follows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3340" w:type="dxa"/>
            <w:vAlign w:val="bottom"/>
            <w:tcBorders>
              <w:bottom w:val="single" w:sz="8" w:color="auto"/>
            </w:tcBorders>
            <w:gridSpan w:val="7"/>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 Measurements at Reporting Date Using</w:t>
            </w: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58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40" w:type="dxa"/>
            <w:vAlign w:val="bottom"/>
            <w:gridSpan w:val="2"/>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vMerge w:val="restart"/>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2"/>
                <w:szCs w:val="12"/>
                <w:color w:val="auto"/>
              </w:rPr>
            </w:pPr>
          </w:p>
        </w:tc>
        <w:tc>
          <w:tcPr>
            <w:tcW w:w="14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Markets for Identical</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20" w:type="dxa"/>
            <w:vAlign w:val="bottom"/>
          </w:tcPr>
          <w:p>
            <w:pPr>
              <w:spacing w:after="0"/>
              <w:rPr>
                <w:sz w:val="14"/>
                <w:szCs w:val="14"/>
                <w:color w:val="auto"/>
              </w:rPr>
            </w:pPr>
          </w:p>
        </w:tc>
        <w:tc>
          <w:tcPr>
            <w:tcW w:w="14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Observable Inputs</w:t>
            </w:r>
          </w:p>
        </w:tc>
        <w:tc>
          <w:tcPr>
            <w:tcW w:w="8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3940" w:type="dxa"/>
            <w:vAlign w:val="bottom"/>
            <w:gridSpan w:val="2"/>
          </w:tcPr>
          <w:p>
            <w:pPr>
              <w:ind w:left="15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60" w:type="dxa"/>
            <w:vAlign w:val="bottom"/>
          </w:tcPr>
          <w:p>
            <w:pPr>
              <w:spacing w:after="0"/>
              <w:rPr>
                <w:sz w:val="15"/>
                <w:szCs w:val="15"/>
                <w:color w:val="auto"/>
              </w:rPr>
            </w:pPr>
          </w:p>
        </w:tc>
        <w:tc>
          <w:tcPr>
            <w:tcW w:w="116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8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20,851</w:t>
            </w:r>
          </w:p>
        </w:tc>
        <w:tc>
          <w:tcPr>
            <w:tcW w:w="2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20,851</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88,100</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3,617</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government agency securities and treasuries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7,950</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9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120,518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28,801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91,717</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8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7"/>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 Measurements at Reporting Date Using</w:t>
            </w: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58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4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vMerge w:val="restart"/>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2"/>
                <w:szCs w:val="12"/>
                <w:color w:val="auto"/>
              </w:rPr>
            </w:pPr>
          </w:p>
        </w:tc>
        <w:tc>
          <w:tcPr>
            <w:tcW w:w="14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Markets for Identical</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20" w:type="dxa"/>
            <w:vAlign w:val="bottom"/>
          </w:tcPr>
          <w:p>
            <w:pPr>
              <w:spacing w:after="0"/>
              <w:rPr>
                <w:sz w:val="14"/>
                <w:szCs w:val="14"/>
                <w:color w:val="auto"/>
              </w:rPr>
            </w:pPr>
          </w:p>
        </w:tc>
        <w:tc>
          <w:tcPr>
            <w:tcW w:w="14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Observable Inputs</w:t>
            </w:r>
          </w:p>
        </w:tc>
        <w:tc>
          <w:tcPr>
            <w:tcW w:w="8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3940" w:type="dxa"/>
            <w:vAlign w:val="bottom"/>
            <w:gridSpan w:val="2"/>
          </w:tcPr>
          <w:p>
            <w:pPr>
              <w:ind w:left="15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60" w:type="dxa"/>
            <w:vAlign w:val="bottom"/>
          </w:tcPr>
          <w:p>
            <w:pPr>
              <w:spacing w:after="0"/>
              <w:rPr>
                <w:sz w:val="15"/>
                <w:szCs w:val="15"/>
                <w:color w:val="auto"/>
              </w:rPr>
            </w:pPr>
          </w:p>
        </w:tc>
        <w:tc>
          <w:tcPr>
            <w:tcW w:w="116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8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16,437</w:t>
            </w:r>
          </w:p>
        </w:tc>
        <w:tc>
          <w:tcPr>
            <w:tcW w:w="2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16,437</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106,277</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106,277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5,873</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5,873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government agency securities and treasuries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8,041</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9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136,628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24,478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112,150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8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9" w:name="page10"/>
    <w:bookmarkEnd w:id="9"/>
    <w:p>
      <w:pPr>
        <w:ind w:right="120" w:firstLine="510"/>
        <w:spacing w:after="0" w:line="266" w:lineRule="auto"/>
        <w:rPr>
          <w:sz w:val="20"/>
          <w:szCs w:val="20"/>
          <w:color w:val="auto"/>
        </w:rPr>
      </w:pPr>
      <w:r>
        <w:rPr>
          <w:rFonts w:ascii="Times New Roman" w:cs="Times New Roman" w:eastAsia="Times New Roman" w:hAnsi="Times New Roman"/>
          <w:sz w:val="18"/>
          <w:szCs w:val="18"/>
          <w:color w:val="auto"/>
        </w:rPr>
        <w:t>Cash equivalents, prepaid expenses and other current assets, accounts payable and accrued expenses at March 31, 2022 and December 31, 2021 are carried at amounts that approximate fair value due to their short-term maturities. Finance lease obligations at March 31, 2022 and December 31, 2021 approximate fair value as they bear interest at a rate approximating a market interest rate.</w:t>
      </w:r>
    </w:p>
    <w:p>
      <w:pPr>
        <w:spacing w:after="0" w:line="280" w:lineRule="exact"/>
        <w:rPr>
          <w:sz w:val="20"/>
          <w:szCs w:val="20"/>
          <w:color w:val="auto"/>
        </w:rPr>
      </w:pPr>
    </w:p>
    <w:p>
      <w:pPr>
        <w:ind w:left="500" w:hanging="492"/>
        <w:spacing w:after="0"/>
        <w:tabs>
          <w:tab w:leader="none" w:pos="50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Available-for-Sale Investments</w:t>
      </w:r>
    </w:p>
    <w:p>
      <w:pPr>
        <w:spacing w:after="0" w:line="134"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tables summarize the available-for-sale securities held at March 31, 2022 and December 31, 2021 (in thousands):</w:t>
      </w:r>
    </w:p>
    <w:p>
      <w:pPr>
        <w:spacing w:after="0" w:line="22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40" w:type="dxa"/>
            <w:vAlign w:val="bottom"/>
          </w:tcPr>
          <w:p>
            <w:pPr>
              <w:spacing w:after="0"/>
              <w:rPr>
                <w:sz w:val="13"/>
                <w:szCs w:val="13"/>
                <w:color w:val="auto"/>
              </w:rPr>
            </w:pPr>
          </w:p>
        </w:tc>
        <w:tc>
          <w:tcPr>
            <w:tcW w:w="1180" w:type="dxa"/>
            <w:vAlign w:val="bottom"/>
            <w:vMerge w:val="restart"/>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100" w:type="dxa"/>
            <w:vAlign w:val="bottom"/>
          </w:tcPr>
          <w:p>
            <w:pPr>
              <w:spacing w:after="0"/>
              <w:rPr>
                <w:sz w:val="13"/>
                <w:szCs w:val="13"/>
                <w:color w:val="auto"/>
              </w:rPr>
            </w:pP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40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00" w:type="dxa"/>
            <w:vAlign w:val="bottom"/>
          </w:tcPr>
          <w:p>
            <w:pPr>
              <w:spacing w:after="0"/>
              <w:rPr>
                <w:sz w:val="15"/>
                <w:szCs w:val="15"/>
                <w:color w:val="auto"/>
              </w:rPr>
            </w:pP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8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88,342</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88,100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U.S. government agency securities and treasuries</w:t>
            </w: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8,050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100,012</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4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40" w:type="dxa"/>
            <w:vAlign w:val="bottom"/>
          </w:tcPr>
          <w:p>
            <w:pPr>
              <w:spacing w:after="0"/>
              <w:rPr>
                <w:sz w:val="24"/>
                <w:szCs w:val="24"/>
                <w:color w:val="auto"/>
              </w:rPr>
            </w:pPr>
          </w:p>
        </w:tc>
        <w:tc>
          <w:tcPr>
            <w:tcW w:w="1180" w:type="dxa"/>
            <w:vAlign w:val="bottom"/>
            <w:vMerge w:val="restart"/>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100" w:type="dxa"/>
            <w:vAlign w:val="bottom"/>
          </w:tcPr>
          <w:p>
            <w:pPr>
              <w:spacing w:after="0"/>
              <w:rPr>
                <w:sz w:val="24"/>
                <w:szCs w:val="24"/>
                <w:color w:val="auto"/>
              </w:rPr>
            </w:pP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40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00" w:type="dxa"/>
            <w:vAlign w:val="bottom"/>
          </w:tcPr>
          <w:p>
            <w:pPr>
              <w:spacing w:after="0"/>
              <w:rPr>
                <w:sz w:val="15"/>
                <w:szCs w:val="15"/>
                <w:color w:val="auto"/>
              </w:rPr>
            </w:pP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8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106,298</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106,277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U.S. government agency securities and treasuries</w:t>
            </w: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8,062</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8,041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120,236</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120,191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The contractual maturity of all securities held at March 31, 2022 was twelve months or less. There were 28 and 20 investments in an unrealized loss position at March 31, 2022 and December 31, 2021, respectively, none of which had been in an unrealized loss position for more than twelve months. The aggregate fair value of the securities in an unrealized loss position at March 31, 2022 and December 31, 2021 was $99.7 million and $72.2 million, respectively. The Company reviews its investments for other-than-temporary impairment whenever the fair value of an investment is less than amortized cost and evidence indicates that an investment’s carrying amount is not recoverable within a reasonable period of time. To determine whether an impairment is other-than-temporary, the Company considers whether it has the ability and intent to hold the investment until a market price recovery and considers whether evidence indicating the cost of the investment is recoverable outweighs evidence to the contrary. The Company did not hold any securities with an other-than-temporary impairment at March 31, 2022.</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Gross realized gains and losses on the sales of investments have not been material to the Company’s consolidated statement of operations.</w:t>
      </w:r>
    </w:p>
    <w:p>
      <w:pPr>
        <w:spacing w:after="0" w:line="397" w:lineRule="exact"/>
        <w:rPr>
          <w:sz w:val="20"/>
          <w:szCs w:val="20"/>
          <w:color w:val="auto"/>
        </w:rPr>
      </w:pPr>
    </w:p>
    <w:p>
      <w:pPr>
        <w:ind w:left="500" w:hanging="492"/>
        <w:spacing w:after="0"/>
        <w:tabs>
          <w:tab w:leader="none" w:pos="50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 net</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Property and equipment, net consists of the following (in thousands):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0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700" w:type="dxa"/>
            <w:vAlign w:val="bottom"/>
          </w:tcPr>
          <w:p>
            <w:pPr>
              <w:spacing w:after="0"/>
              <w:rPr>
                <w:sz w:val="15"/>
                <w:szCs w:val="15"/>
                <w:color w:val="auto"/>
              </w:rPr>
            </w:pPr>
          </w:p>
        </w:tc>
        <w:tc>
          <w:tcPr>
            <w:tcW w:w="3080" w:type="dxa"/>
            <w:vAlign w:val="bottom"/>
            <w:tcBorders>
              <w:bottom w:val="single" w:sz="8" w:color="CFF0FC"/>
            </w:tcBorders>
          </w:tcPr>
          <w:p>
            <w:pPr>
              <w:spacing w:after="0"/>
              <w:rPr>
                <w:sz w:val="15"/>
                <w:szCs w:val="15"/>
                <w:color w:val="auto"/>
              </w:rPr>
            </w:pPr>
          </w:p>
        </w:tc>
        <w:tc>
          <w:tcPr>
            <w:tcW w:w="220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FF0FC"/>
            </w:tcBorders>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22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8,600</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8,274</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Computer and office equipment</w:t>
            </w:r>
          </w:p>
        </w:tc>
        <w:tc>
          <w:tcPr>
            <w:tcW w:w="2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9,561</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22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20,309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19,714</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(11,227)</w:t>
            </w: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(10,626)</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9,082</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9,088</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200" w:type="dxa"/>
            <w:vAlign w:val="bottom"/>
            <w:vMerge w:val="restart"/>
          </w:tcPr>
          <w:p>
            <w:pPr>
              <w:jc w:val="right"/>
              <w:ind w:right="1230"/>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17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2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080" w:type="dxa"/>
            <w:vAlign w:val="bottom"/>
            <w:tcBorders>
              <w:bottom w:val="single" w:sz="8" w:color="9A9A9A"/>
            </w:tcBorders>
          </w:tcPr>
          <w:p>
            <w:pPr>
              <w:spacing w:after="0"/>
              <w:rPr>
                <w:sz w:val="10"/>
                <w:szCs w:val="10"/>
                <w:color w:val="auto"/>
              </w:rPr>
            </w:pPr>
          </w:p>
        </w:tc>
        <w:tc>
          <w:tcPr>
            <w:tcW w:w="22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37" w:right="339" w:bottom="1440" w:gutter="0" w:footer="0" w:header="0"/>
        </w:sectPr>
      </w:pPr>
    </w:p>
    <w:bookmarkStart w:id="10" w:name="page11"/>
    <w:bookmarkEnd w:id="10"/>
    <w:p>
      <w:pPr>
        <w:ind w:left="500" w:hanging="492"/>
        <w:spacing w:after="0"/>
        <w:tabs>
          <w:tab w:leader="none" w:pos="50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Accrued expenses consist of the following (in thousands):</w:t>
      </w:r>
    </w:p>
    <w:p>
      <w:pPr>
        <w:spacing w:after="0" w:line="327"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5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36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FF0FC"/>
            </w:tcBorders>
          </w:tcPr>
          <w:p>
            <w:pPr>
              <w:spacing w:after="0"/>
              <w:rPr>
                <w:sz w:val="15"/>
                <w:szCs w:val="15"/>
                <w:color w:val="auto"/>
              </w:rPr>
            </w:pPr>
          </w:p>
        </w:tc>
      </w:tr>
      <w:tr>
        <w:trPr>
          <w:trHeight w:val="223"/>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Payroll related</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3,495</w:t>
            </w:r>
          </w:p>
        </w:tc>
        <w:tc>
          <w:tcPr>
            <w:tcW w:w="80" w:type="dxa"/>
            <w:vAlign w:val="bottom"/>
            <w:shd w:val="clear" w:color="auto" w:fill="CFF0FC"/>
          </w:tcPr>
          <w:p>
            <w:pPr>
              <w:spacing w:after="0"/>
              <w:rPr>
                <w:sz w:val="19"/>
                <w:szCs w:val="19"/>
                <w:color w:val="auto"/>
              </w:rPr>
            </w:pPr>
          </w:p>
        </w:tc>
      </w:tr>
      <w:tr>
        <w:trPr>
          <w:trHeight w:val="230"/>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80" w:type="dxa"/>
            <w:vAlign w:val="bottom"/>
          </w:tcPr>
          <w:p>
            <w:pPr>
              <w:spacing w:after="0"/>
              <w:rPr>
                <w:sz w:val="19"/>
                <w:szCs w:val="19"/>
                <w:color w:val="auto"/>
              </w:rPr>
            </w:pPr>
          </w:p>
        </w:tc>
      </w:tr>
      <w:tr>
        <w:trPr>
          <w:trHeight w:val="229"/>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80" w:type="dxa"/>
            <w:vAlign w:val="bottom"/>
            <w:shd w:val="clear" w:color="auto" w:fill="CFF0FC"/>
          </w:tcPr>
          <w:p>
            <w:pPr>
              <w:spacing w:after="0"/>
              <w:rPr>
                <w:sz w:val="19"/>
                <w:szCs w:val="19"/>
                <w:color w:val="auto"/>
              </w:rPr>
            </w:pPr>
          </w:p>
        </w:tc>
      </w:tr>
      <w:tr>
        <w:trPr>
          <w:trHeight w:val="229"/>
        </w:trPr>
        <w:tc>
          <w:tcPr>
            <w:tcW w:w="53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80" w:type="dxa"/>
            <w:vAlign w:val="bottom"/>
            <w:tcBorders>
              <w:bottom w:val="single" w:sz="8" w:color="CFF0FC"/>
            </w:tcBorders>
          </w:tcPr>
          <w:p>
            <w:pPr>
              <w:spacing w:after="0"/>
              <w:rPr>
                <w:sz w:val="19"/>
                <w:szCs w:val="19"/>
                <w:color w:val="auto"/>
              </w:rPr>
            </w:pPr>
          </w:p>
        </w:tc>
      </w:tr>
      <w:tr>
        <w:trPr>
          <w:trHeight w:val="223"/>
        </w:trPr>
        <w:tc>
          <w:tcPr>
            <w:tcW w:w="5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accrued expenses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2,668</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4,402</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00" w:hanging="492"/>
        <w:spacing w:after="0"/>
        <w:tabs>
          <w:tab w:leader="none" w:pos="50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w:t>
      </w:r>
    </w:p>
    <w:p>
      <w:pPr>
        <w:spacing w:after="0" w:line="135" w:lineRule="exact"/>
        <w:rPr>
          <w:sz w:val="20"/>
          <w:szCs w:val="20"/>
          <w:color w:val="auto"/>
        </w:rPr>
      </w:pPr>
    </w:p>
    <w:p>
      <w:pPr>
        <w:jc w:val="both"/>
        <w:ind w:right="80" w:firstLine="510"/>
        <w:spacing w:after="0" w:line="261" w:lineRule="auto"/>
        <w:rPr>
          <w:sz w:val="20"/>
          <w:szCs w:val="20"/>
          <w:color w:val="auto"/>
        </w:rPr>
      </w:pPr>
      <w:r>
        <w:rPr>
          <w:rFonts w:ascii="Times New Roman" w:cs="Times New Roman" w:eastAsia="Times New Roman" w:hAnsi="Times New Roman"/>
          <w:sz w:val="18"/>
          <w:szCs w:val="18"/>
          <w:color w:val="auto"/>
        </w:rPr>
        <w:t xml:space="preserve">In June 2019, the Company issued to Ginkgo Bioworks, Inc. (Ginkgo) an aggregate of 6,340,771 shares of common stock at a purchase price per share of $9.00, and pre-funded warrants (the Pre-Funded Warrants) to purchase an aggregate of 2,548,117 shares of common stock at an exercise price of $9.00 per share, with $8.99 of such exercise price paid at the closing of the offering. The net proceeds to the Company were approximately $79.9 million. None of the Pre-Funded Warrants have been exercised as of March 31, 2022. (See Note 9, </w:t>
      </w:r>
      <w:r>
        <w:rPr>
          <w:rFonts w:ascii="Times New Roman" w:cs="Times New Roman" w:eastAsia="Times New Roman" w:hAnsi="Times New Roman"/>
          <w:sz w:val="18"/>
          <w:szCs w:val="18"/>
          <w:i w:val="1"/>
          <w:iCs w:val="1"/>
          <w:color w:val="auto"/>
        </w:rPr>
        <w:t>Collaboration Agreements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Ginkgo Collaboration</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80" w:firstLine="510"/>
        <w:spacing w:after="0" w:line="258" w:lineRule="auto"/>
        <w:rPr>
          <w:sz w:val="20"/>
          <w:szCs w:val="20"/>
          <w:color w:val="auto"/>
        </w:rPr>
      </w:pPr>
      <w:r>
        <w:rPr>
          <w:rFonts w:ascii="Times New Roman" w:cs="Times New Roman" w:eastAsia="Times New Roman" w:hAnsi="Times New Roman"/>
          <w:sz w:val="18"/>
          <w:szCs w:val="18"/>
          <w:color w:val="auto"/>
        </w:rPr>
        <w:t>The Company had a previous sales agreement with Cowen and Company, LLC (Cowen) with respect to an at-the-market (ATM) offering program, which was entered into on October 13, 2017. In an ATM offering, exchange-listed companies incrementally sell newly issued shares into the secondary trading market through a designated broker-dealer at prevailing market prices. During the three months ended March 31, 2021, 2,447,211 shares of common stock were sold pursuant to the ATM, resulting in net proceeds of approximately $8.1 million. There were no sales pursuant to the Cowen ATM subsequent to March 31, 2021.</w:t>
      </w:r>
    </w:p>
    <w:p>
      <w:pPr>
        <w:spacing w:after="0" w:line="183"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In July 2021, the Company entered into a new sales agreement with Jefferies, LLC (Jefferies) with respect to an ATM, under which the Company may offer and sell, from time to time at its sole discretion, shares of its common stock having aggregate sales proceeds of up to $50.0 million. Jefferies is not required to sell any specific amount but acts as the Company’s sales agent using commercially reasonable efforts consistent with its normal trading and sales practices. During the three months ended March 31, 2022, no shares of common stock were sold pursuant to the sales agreement with Jefferies.</w:t>
      </w:r>
    </w:p>
    <w:p>
      <w:pPr>
        <w:spacing w:after="0" w:line="180" w:lineRule="exact"/>
        <w:rPr>
          <w:sz w:val="20"/>
          <w:szCs w:val="20"/>
          <w:color w:val="auto"/>
        </w:rPr>
      </w:pPr>
    </w:p>
    <w:p>
      <w:pPr>
        <w:ind w:right="380" w:firstLine="510"/>
        <w:spacing w:after="0" w:line="282" w:lineRule="auto"/>
        <w:rPr>
          <w:sz w:val="20"/>
          <w:szCs w:val="20"/>
          <w:color w:val="auto"/>
        </w:rPr>
      </w:pPr>
      <w:r>
        <w:rPr>
          <w:rFonts w:ascii="Times New Roman" w:cs="Times New Roman" w:eastAsia="Times New Roman" w:hAnsi="Times New Roman"/>
          <w:sz w:val="18"/>
          <w:szCs w:val="18"/>
          <w:color w:val="auto"/>
        </w:rPr>
        <w:t>The Company has reserved for future issuance the following shares of common stock related to the potential exercise of Pre-Funded Warrants, exercise of stock options, and the employee stock purchase plan:</w:t>
      </w:r>
    </w:p>
    <w:p>
      <w:pPr>
        <w:spacing w:after="0" w:line="200" w:lineRule="exact"/>
        <w:rPr>
          <w:sz w:val="20"/>
          <w:szCs w:val="20"/>
          <w:color w:val="auto"/>
        </w:rPr>
      </w:pPr>
    </w:p>
    <w:p>
      <w:pPr>
        <w:spacing w:after="0" w:line="252"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6120" w:type="dxa"/>
            <w:vAlign w:val="bottom"/>
            <w:tcBorders>
              <w:bottom w:val="single" w:sz="8" w:color="CFF0FC"/>
            </w:tcBorders>
          </w:tcPr>
          <w:p>
            <w:pPr>
              <w:spacing w:after="0"/>
              <w:rPr>
                <w:sz w:val="15"/>
                <w:szCs w:val="15"/>
                <w:color w:val="auto"/>
              </w:rPr>
            </w:pPr>
          </w:p>
        </w:tc>
        <w:tc>
          <w:tcPr>
            <w:tcW w:w="2860" w:type="dxa"/>
            <w:vAlign w:val="bottom"/>
            <w:tcBorders>
              <w:bottom w:val="single" w:sz="8" w:color="auto"/>
            </w:tcBorders>
          </w:tcPr>
          <w:p>
            <w:pPr>
              <w:jc w:val="right"/>
              <w:ind w:right="934"/>
              <w:spacing w:after="0"/>
              <w:rPr>
                <w:sz w:val="20"/>
                <w:szCs w:val="20"/>
                <w:color w:val="auto"/>
              </w:rPr>
            </w:pPr>
            <w:r>
              <w:rPr>
                <w:rFonts w:ascii="Times New Roman" w:cs="Times New Roman" w:eastAsia="Times New Roman" w:hAnsi="Times New Roman"/>
                <w:sz w:val="14"/>
                <w:szCs w:val="14"/>
                <w:b w:val="1"/>
                <w:bCs w:val="1"/>
                <w:color w:val="auto"/>
              </w:rPr>
              <w:t>March 31, 2022</w:t>
            </w:r>
          </w:p>
        </w:tc>
      </w:tr>
      <w:tr>
        <w:trPr>
          <w:trHeight w:val="223"/>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issuable under pre-funded warrants</w:t>
            </w:r>
          </w:p>
        </w:tc>
        <w:tc>
          <w:tcPr>
            <w:tcW w:w="28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2,548,117</w:t>
            </w:r>
          </w:p>
        </w:tc>
      </w:tr>
      <w:tr>
        <w:trPr>
          <w:trHeight w:val="230"/>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Options exercisable to purchase common stock</w:t>
            </w:r>
          </w:p>
        </w:tc>
        <w:tc>
          <w:tcPr>
            <w:tcW w:w="28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2,279,425</w:t>
            </w:r>
          </w:p>
        </w:tc>
      </w:tr>
      <w:tr>
        <w:trPr>
          <w:trHeight w:val="230"/>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286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8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4,827,542</w:t>
            </w:r>
          </w:p>
        </w:tc>
      </w:tr>
      <w:tr>
        <w:trPr>
          <w:trHeight w:val="20"/>
        </w:trPr>
        <w:tc>
          <w:tcPr>
            <w:tcW w:w="6120" w:type="dxa"/>
            <w:vAlign w:val="bottom"/>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ind w:left="500" w:hanging="492"/>
        <w:spacing w:after="0" w:line="207" w:lineRule="exact"/>
        <w:tabs>
          <w:tab w:leader="none" w:pos="50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based Compensation</w:t>
      </w:r>
    </w:p>
    <w:p>
      <w:pPr>
        <w:spacing w:after="0" w:line="146" w:lineRule="exact"/>
        <w:rPr>
          <w:sz w:val="20"/>
          <w:szCs w:val="20"/>
          <w:color w:val="auto"/>
        </w:rPr>
      </w:pPr>
    </w:p>
    <w:p>
      <w:pPr>
        <w:ind w:right="80" w:firstLine="510"/>
        <w:spacing w:after="0" w:line="261" w:lineRule="auto"/>
        <w:rPr>
          <w:sz w:val="20"/>
          <w:szCs w:val="20"/>
          <w:color w:val="auto"/>
        </w:rPr>
      </w:pPr>
      <w:r>
        <w:rPr>
          <w:rFonts w:ascii="Times New Roman" w:cs="Times New Roman" w:eastAsia="Times New Roman" w:hAnsi="Times New Roman"/>
          <w:sz w:val="18"/>
          <w:szCs w:val="18"/>
          <w:color w:val="auto"/>
        </w:rPr>
        <w:t>On January 1, 2022, the number of shares of common stock available for issuance under the 2015 Equity Incentive Award Plan (the “2015 Plan”) and the 2015 Employee Stock Purchase Plan (“ESPP”) was increased by 3,484,942 shares and 696,988 shares, respectively, due to the annual evergreen provision to increase shares available under the 2015 Plan and the ESPP. As of March 31, 2022, there were an aggregate of 2,461,519 shares available for future grant under the 2017 Stock Incentive Plan (the 2017 Plan) and the 2015 Plan, and 1,341,301 shares available for future grant under the ESPP.</w:t>
      </w:r>
    </w:p>
    <w:p>
      <w:pPr>
        <w:spacing w:after="0" w:line="200" w:lineRule="exact"/>
        <w:rPr>
          <w:sz w:val="20"/>
          <w:szCs w:val="20"/>
          <w:color w:val="auto"/>
        </w:rPr>
      </w:pPr>
    </w:p>
    <w:p>
      <w:pPr>
        <w:spacing w:after="0" w:line="23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25" w:right="419" w:bottom="1440" w:gutter="0" w:footer="0" w:header="0"/>
        </w:sectPr>
      </w:pPr>
    </w:p>
    <w:bookmarkStart w:id="11" w:name="page12"/>
    <w:bookmarkEnd w:id="11"/>
    <w:p>
      <w:pPr>
        <w:ind w:right="1020" w:firstLine="510"/>
        <w:spacing w:after="0" w:line="239" w:lineRule="exact"/>
        <w:rPr>
          <w:sz w:val="20"/>
          <w:szCs w:val="20"/>
          <w:color w:val="auto"/>
        </w:rPr>
      </w:pPr>
      <w:r>
        <w:rPr>
          <w:rFonts w:ascii="Times New Roman" w:cs="Times New Roman" w:eastAsia="Times New Roman" w:hAnsi="Times New Roman"/>
          <w:sz w:val="18"/>
          <w:szCs w:val="18"/>
          <w:color w:val="auto"/>
        </w:rPr>
        <w:t>The following table summarizes equity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within the Company’s consolidated statements of operations and comprehensive loss for the three months ended March 31, 2022 and 2021 (in thousands):</w:t>
      </w:r>
    </w:p>
    <w:p>
      <w:pPr>
        <w:spacing w:after="0" w:line="300"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980" w:type="dxa"/>
            <w:vAlign w:val="bottom"/>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4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5"/>
        </w:trPr>
        <w:tc>
          <w:tcPr>
            <w:tcW w:w="4980" w:type="dxa"/>
            <w:vAlign w:val="bottom"/>
            <w:tcBorders>
              <w:bottom w:val="single" w:sz="8" w:color="CFF0FC"/>
            </w:tcBorders>
          </w:tcPr>
          <w:p>
            <w:pPr>
              <w:spacing w:after="0"/>
              <w:rPr>
                <w:sz w:val="13"/>
                <w:szCs w:val="13"/>
                <w:color w:val="auto"/>
              </w:rPr>
            </w:pPr>
          </w:p>
        </w:tc>
        <w:tc>
          <w:tcPr>
            <w:tcW w:w="1420" w:type="dxa"/>
            <w:vAlign w:val="bottom"/>
            <w:tcBorders>
              <w:bottom w:val="single" w:sz="8" w:color="auto"/>
            </w:tcBorders>
          </w:tcPr>
          <w:p>
            <w:pPr>
              <w:jc w:val="right"/>
              <w:ind w:right="36"/>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920" w:type="dxa"/>
            <w:vAlign w:val="bottom"/>
            <w:tcBorders>
              <w:bottom w:val="single" w:sz="8" w:color="auto"/>
            </w:tcBorders>
          </w:tcPr>
          <w:p>
            <w:pPr>
              <w:spacing w:after="0"/>
              <w:rPr>
                <w:sz w:val="13"/>
                <w:szCs w:val="13"/>
                <w:color w:val="auto"/>
              </w:rPr>
            </w:pPr>
          </w:p>
        </w:tc>
        <w:tc>
          <w:tcPr>
            <w:tcW w:w="360" w:type="dxa"/>
            <w:vAlign w:val="bottom"/>
            <w:tcBorders>
              <w:bottom w:val="single" w:sz="8" w:color="CFF0FC"/>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935"/>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FF0FC"/>
            </w:tcBorders>
          </w:tcPr>
          <w:p>
            <w:pPr>
              <w:spacing w:after="0"/>
              <w:rPr>
                <w:sz w:val="13"/>
                <w:szCs w:val="13"/>
                <w:color w:val="auto"/>
              </w:rPr>
            </w:pPr>
          </w:p>
        </w:tc>
      </w:tr>
      <w:tr>
        <w:trPr>
          <w:trHeight w:val="223"/>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20" w:type="dxa"/>
            <w:vAlign w:val="bottom"/>
            <w:shd w:val="clear" w:color="auto" w:fill="CFF0FC"/>
          </w:tcPr>
          <w:p>
            <w:pPr>
              <w:jc w:val="right"/>
              <w:ind w:right="123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3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73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00" w:type="dxa"/>
            <w:vAlign w:val="bottom"/>
            <w:shd w:val="clear" w:color="auto" w:fill="CFF0FC"/>
          </w:tcPr>
          <w:p>
            <w:pPr>
              <w:spacing w:after="0"/>
              <w:rPr>
                <w:sz w:val="19"/>
                <w:szCs w:val="19"/>
                <w:color w:val="auto"/>
              </w:rPr>
            </w:pPr>
          </w:p>
        </w:tc>
      </w:tr>
      <w:tr>
        <w:trPr>
          <w:trHeight w:val="229"/>
        </w:trPr>
        <w:tc>
          <w:tcPr>
            <w:tcW w:w="49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36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tcBorders>
              <w:bottom w:val="single" w:sz="8" w:color="CFF0FC"/>
            </w:tcBorders>
          </w:tcPr>
          <w:p>
            <w:pPr>
              <w:spacing w:after="0"/>
              <w:rPr>
                <w:sz w:val="19"/>
                <w:szCs w:val="19"/>
                <w:color w:val="auto"/>
              </w:rPr>
            </w:pPr>
          </w:p>
        </w:tc>
      </w:tr>
      <w:tr>
        <w:trPr>
          <w:trHeight w:val="223"/>
        </w:trPr>
        <w:tc>
          <w:tcPr>
            <w:tcW w:w="498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ind w:right="123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36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73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9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7" w:lineRule="exact"/>
        <w:rPr>
          <w:sz w:val="20"/>
          <w:szCs w:val="20"/>
          <w:color w:val="auto"/>
        </w:rPr>
      </w:pPr>
    </w:p>
    <w:p>
      <w:pPr>
        <w:ind w:right="320" w:firstLine="510"/>
        <w:spacing w:after="0" w:line="239" w:lineRule="exact"/>
        <w:rPr>
          <w:sz w:val="20"/>
          <w:szCs w:val="20"/>
          <w:color w:val="auto"/>
        </w:rPr>
      </w:pPr>
      <w:r>
        <w:rPr>
          <w:rFonts w:ascii="Times New Roman" w:cs="Times New Roman" w:eastAsia="Times New Roman" w:hAnsi="Times New Roman"/>
          <w:sz w:val="18"/>
          <w:szCs w:val="18"/>
          <w:color w:val="auto"/>
        </w:rPr>
        <w:t>The following table summarizes equity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by type of award for the three months ended March 31, 2022 and 2021 (in thousands):</w:t>
      </w:r>
    </w:p>
    <w:p>
      <w:pPr>
        <w:spacing w:after="0" w:line="273"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980" w:type="dxa"/>
            <w:vAlign w:val="bottom"/>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4"/>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4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4980" w:type="dxa"/>
            <w:vAlign w:val="bottom"/>
            <w:tcBorders>
              <w:bottom w:val="single" w:sz="8" w:color="CFF0FC"/>
            </w:tcBorders>
          </w:tcPr>
          <w:p>
            <w:pPr>
              <w:spacing w:after="0"/>
              <w:rPr>
                <w:sz w:val="13"/>
                <w:szCs w:val="13"/>
                <w:color w:val="auto"/>
              </w:rPr>
            </w:pPr>
          </w:p>
        </w:tc>
        <w:tc>
          <w:tcPr>
            <w:tcW w:w="1420" w:type="dxa"/>
            <w:vAlign w:val="bottom"/>
            <w:tcBorders>
              <w:bottom w:val="single" w:sz="8" w:color="auto"/>
            </w:tcBorders>
          </w:tcPr>
          <w:p>
            <w:pPr>
              <w:jc w:val="right"/>
              <w:ind w:right="36"/>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920" w:type="dxa"/>
            <w:vAlign w:val="bottom"/>
            <w:tcBorders>
              <w:bottom w:val="single" w:sz="8" w:color="auto"/>
            </w:tcBorders>
          </w:tcPr>
          <w:p>
            <w:pPr>
              <w:spacing w:after="0"/>
              <w:rPr>
                <w:sz w:val="13"/>
                <w:szCs w:val="13"/>
                <w:color w:val="auto"/>
              </w:rPr>
            </w:pPr>
          </w:p>
        </w:tc>
        <w:tc>
          <w:tcPr>
            <w:tcW w:w="3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934"/>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FF0FC"/>
            </w:tcBorders>
          </w:tcPr>
          <w:p>
            <w:pPr>
              <w:spacing w:after="0"/>
              <w:rPr>
                <w:sz w:val="13"/>
                <w:szCs w:val="13"/>
                <w:color w:val="auto"/>
              </w:rPr>
            </w:pPr>
          </w:p>
        </w:tc>
      </w:tr>
      <w:tr>
        <w:trPr>
          <w:trHeight w:val="223"/>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420" w:type="dxa"/>
            <w:vAlign w:val="bottom"/>
            <w:shd w:val="clear" w:color="auto" w:fill="CFF0FC"/>
          </w:tcPr>
          <w:p>
            <w:pPr>
              <w:jc w:val="right"/>
              <w:ind w:right="123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3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764"/>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00" w:type="dxa"/>
            <w:vAlign w:val="bottom"/>
            <w:shd w:val="clear" w:color="auto" w:fill="CFF0FC"/>
          </w:tcPr>
          <w:p>
            <w:pPr>
              <w:spacing w:after="0"/>
              <w:rPr>
                <w:sz w:val="19"/>
                <w:szCs w:val="19"/>
                <w:color w:val="auto"/>
              </w:rPr>
            </w:pPr>
          </w:p>
        </w:tc>
      </w:tr>
      <w:tr>
        <w:trPr>
          <w:trHeight w:val="229"/>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awards</w:t>
            </w:r>
          </w:p>
        </w:tc>
        <w:tc>
          <w:tcPr>
            <w:tcW w:w="1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Pr>
          <w:p>
            <w:pPr>
              <w:spacing w:after="0"/>
              <w:rPr>
                <w:sz w:val="19"/>
                <w:szCs w:val="19"/>
                <w:color w:val="auto"/>
              </w:rPr>
            </w:pPr>
          </w:p>
        </w:tc>
      </w:tr>
      <w:tr>
        <w:trPr>
          <w:trHeight w:val="229"/>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4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FF0FC"/>
          </w:tcPr>
          <w:p>
            <w:pPr>
              <w:spacing w:after="0"/>
              <w:rPr>
                <w:sz w:val="19"/>
                <w:szCs w:val="19"/>
                <w:color w:val="auto"/>
              </w:rPr>
            </w:pPr>
          </w:p>
        </w:tc>
      </w:tr>
      <w:tr>
        <w:trPr>
          <w:trHeight w:val="223"/>
        </w:trPr>
        <w:tc>
          <w:tcPr>
            <w:tcW w:w="4980" w:type="dxa"/>
            <w:vAlign w:val="bottom"/>
          </w:tcPr>
          <w:p>
            <w:pPr>
              <w:spacing w:after="0"/>
              <w:rPr>
                <w:sz w:val="19"/>
                <w:szCs w:val="19"/>
                <w:color w:val="auto"/>
              </w:rPr>
            </w:pPr>
          </w:p>
        </w:tc>
        <w:tc>
          <w:tcPr>
            <w:tcW w:w="1420" w:type="dxa"/>
            <w:vAlign w:val="bottom"/>
            <w:tcBorders>
              <w:bottom w:val="single" w:sz="8" w:color="auto"/>
            </w:tcBorders>
          </w:tcPr>
          <w:p>
            <w:pPr>
              <w:jc w:val="right"/>
              <w:ind w:right="123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764"/>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100" w:type="dxa"/>
            <w:vAlign w:val="bottom"/>
          </w:tcPr>
          <w:p>
            <w:pPr>
              <w:spacing w:after="0"/>
              <w:rPr>
                <w:sz w:val="19"/>
                <w:szCs w:val="19"/>
                <w:color w:val="auto"/>
              </w:rPr>
            </w:pPr>
          </w:p>
        </w:tc>
      </w:tr>
      <w:tr>
        <w:trPr>
          <w:trHeight w:val="20"/>
        </w:trPr>
        <w:tc>
          <w:tcPr>
            <w:tcW w:w="49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 w:firstLine="510"/>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2022, the Company granted 2,342,899 stock options with a weighted average exercise price of $1.99. As of March 31, 2022, there was $7.5 million of unrecognized share-based compensation related to unvested stock option grants which is expected to be recognized over a weighted average period of 2.9 years. The total unrecognized share-based compensation cost will be adjusted for actual forfeitures as they occur.</w:t>
      </w:r>
    </w:p>
    <w:p>
      <w:pPr>
        <w:spacing w:after="0" w:line="180"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2022, the Company granted 507,260 restricted stock awards with a weighted average grant date fair value per share of $1.97. As of March 31, 2022, there was approximately $1.6 million of unrecognized share-based compensation related to restricted stock awards granted, which is expected to be recognized over a weighted average period of 3.5 years. The total unrecognized share-based compensation cost will be adjusted for actual forfeitures as they occur.</w:t>
      </w:r>
    </w:p>
    <w:p>
      <w:pPr>
        <w:spacing w:after="0" w:line="180" w:lineRule="exact"/>
        <w:rPr>
          <w:sz w:val="20"/>
          <w:szCs w:val="20"/>
          <w:color w:val="auto"/>
        </w:rPr>
      </w:pPr>
    </w:p>
    <w:p>
      <w:pPr>
        <w:ind w:right="220" w:firstLine="510"/>
        <w:spacing w:after="0" w:line="282" w:lineRule="auto"/>
        <w:rPr>
          <w:sz w:val="20"/>
          <w:szCs w:val="20"/>
          <w:color w:val="auto"/>
        </w:rPr>
      </w:pPr>
      <w:r>
        <w:rPr>
          <w:rFonts w:ascii="Times New Roman" w:cs="Times New Roman" w:eastAsia="Times New Roman" w:hAnsi="Times New Roman"/>
          <w:sz w:val="18"/>
          <w:szCs w:val="18"/>
          <w:color w:val="auto"/>
        </w:rPr>
        <w:t>For a full description of the Company’s equity plans, refer to Note 9, Equity-based Compensation and Equity Incentive Plans in the 2021 Annual Report.</w:t>
      </w:r>
    </w:p>
    <w:p>
      <w:pPr>
        <w:spacing w:after="0" w:line="293" w:lineRule="exact"/>
        <w:rPr>
          <w:sz w:val="20"/>
          <w:szCs w:val="20"/>
          <w:color w:val="auto"/>
        </w:rPr>
      </w:pPr>
    </w:p>
    <w:p>
      <w:pPr>
        <w:ind w:left="500" w:hanging="492"/>
        <w:spacing w:after="0"/>
        <w:tabs>
          <w:tab w:leader="none" w:pos="50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Collaboration Agreements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Roche Collaboration</w:t>
      </w:r>
    </w:p>
    <w:p>
      <w:pPr>
        <w:spacing w:after="0" w:line="229" w:lineRule="exact"/>
        <w:rPr>
          <w:sz w:val="20"/>
          <w:szCs w:val="20"/>
          <w:color w:val="auto"/>
        </w:rPr>
      </w:pPr>
    </w:p>
    <w:p>
      <w:pPr>
        <w:ind w:right="200" w:firstLine="510"/>
        <w:spacing w:after="0" w:line="261" w:lineRule="auto"/>
        <w:rPr>
          <w:sz w:val="20"/>
          <w:szCs w:val="20"/>
          <w:color w:val="auto"/>
        </w:rPr>
      </w:pPr>
      <w:r>
        <w:rPr>
          <w:rFonts w:ascii="Times New Roman" w:cs="Times New Roman" w:eastAsia="Times New Roman" w:hAnsi="Times New Roman"/>
          <w:sz w:val="18"/>
          <w:szCs w:val="18"/>
          <w:color w:val="auto"/>
        </w:rPr>
        <w:t>In June 2021, the Company entered into a Pilot Collaboration and Option Agreement (the Roche Collaboration and Option Agreement) with F. Hoffmann-La Roche Ltd (Roche Basel) and Hoffmann-La Roche Inc. (Roche US, and together with Roche Basel, Roche). Under the terms of the Roche Collaboration and Option Agreement, the Company and Roche will seek to collaborate to research and pre-clinically develop Synthetic Biotics for addressing an undisclosed novel target for the treatment of inflammatory bowel disease.</w:t>
      </w:r>
    </w:p>
    <w:p>
      <w:pPr>
        <w:spacing w:after="0" w:line="180" w:lineRule="exact"/>
        <w:rPr>
          <w:sz w:val="20"/>
          <w:szCs w:val="20"/>
          <w:color w:val="auto"/>
        </w:rPr>
      </w:pPr>
    </w:p>
    <w:p>
      <w:pPr>
        <w:ind w:right="20" w:firstLine="510"/>
        <w:spacing w:after="0" w:line="266" w:lineRule="auto"/>
        <w:rPr>
          <w:sz w:val="20"/>
          <w:szCs w:val="20"/>
          <w:color w:val="auto"/>
        </w:rPr>
      </w:pPr>
      <w:r>
        <w:rPr>
          <w:rFonts w:ascii="Times New Roman" w:cs="Times New Roman" w:eastAsia="Times New Roman" w:hAnsi="Times New Roman"/>
          <w:sz w:val="18"/>
          <w:szCs w:val="18"/>
          <w:color w:val="auto"/>
        </w:rPr>
        <w:t>The Company recognized $0.2 million for the three months ended March 31, 2022 as collaboration revenue in the Company’s consolidated statements of operations and comprehensive loss associated with the Roche Collaboration and Option Agreement. Deferred revenue from the collaboration amounted to $0.3 million as of March 31, 2022, all of which is included in current liabilities.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a full description of the Roche Collaboration and Option Agreement, refer to Note 10, Collaboration Agreements in the 2021 Annual Report.</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8" w:right="399" w:bottom="1440" w:gutter="0" w:footer="0" w:header="0"/>
        </w:sectPr>
      </w:pPr>
    </w:p>
    <w:bookmarkStart w:id="12" w:name="page13"/>
    <w:bookmarkEnd w:id="1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Ginkgo Collaboration</w:t>
      </w:r>
    </w:p>
    <w:p>
      <w:pPr>
        <w:spacing w:after="0" w:line="135" w:lineRule="exact"/>
        <w:rPr>
          <w:sz w:val="20"/>
          <w:szCs w:val="20"/>
          <w:color w:val="auto"/>
        </w:rPr>
      </w:pPr>
    </w:p>
    <w:p>
      <w:pPr>
        <w:ind w:right="20" w:firstLine="510"/>
        <w:spacing w:after="0" w:line="273" w:lineRule="auto"/>
        <w:rPr>
          <w:sz w:val="20"/>
          <w:szCs w:val="20"/>
          <w:color w:val="auto"/>
        </w:rPr>
      </w:pPr>
      <w:r>
        <w:rPr>
          <w:rFonts w:ascii="Times New Roman" w:cs="Times New Roman" w:eastAsia="Times New Roman" w:hAnsi="Times New Roman"/>
          <w:sz w:val="17"/>
          <w:szCs w:val="17"/>
          <w:color w:val="auto"/>
        </w:rPr>
        <w:t>In 2017, the Company established a technology collaboration with Ginkgo. In June 2019, the Company expanded its collaboration and entered into an agreement with Ginkgo for the research and development of engineered microbial therapeutic products (See Note 7). Under the 2019 expanded agreement, the Company made a prepayment to Ginkgo of $30.0 million for its foundry services that will be provided to the Company over an initial term of five years. The prepayment of foundry services is recorded in Prepaid expenses and other current assets and Prepaid research and development, net of current portion on the March 31, 2022 consolidated balance sheet. At March 31, 2022, the Company had remaining balances of $0.9 million and $9.8 million of current and non-current pre-paid research and development costs related to this transaction, respectively. Upon the expiration of such initial term and, if applicable, an additional period, any portion of the prepayment that has not been used to purchase services from Ginkgo will be retained by Ginkgo.</w:t>
      </w:r>
    </w:p>
    <w:p>
      <w:pPr>
        <w:spacing w:after="0" w:line="275" w:lineRule="exact"/>
        <w:rPr>
          <w:sz w:val="20"/>
          <w:szCs w:val="20"/>
          <w:color w:val="auto"/>
        </w:rPr>
      </w:pPr>
    </w:p>
    <w:p>
      <w:pPr>
        <w:ind w:left="500" w:hanging="492"/>
        <w:spacing w:after="0"/>
        <w:tabs>
          <w:tab w:leader="none" w:pos="50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w:t>
      </w:r>
    </w:p>
    <w:p>
      <w:pPr>
        <w:spacing w:after="0" w:line="121" w:lineRule="exact"/>
        <w:rPr>
          <w:sz w:val="20"/>
          <w:szCs w:val="20"/>
          <w:color w:val="auto"/>
        </w:rPr>
      </w:pPr>
    </w:p>
    <w:p>
      <w:pPr>
        <w:ind w:right="80" w:firstLine="510"/>
        <w:spacing w:after="0" w:line="255" w:lineRule="auto"/>
        <w:rPr>
          <w:sz w:val="20"/>
          <w:szCs w:val="20"/>
          <w:color w:val="auto"/>
        </w:rPr>
      </w:pPr>
      <w:r>
        <w:rPr>
          <w:rFonts w:ascii="Times New Roman" w:cs="Times New Roman" w:eastAsia="Times New Roman" w:hAnsi="Times New Roman"/>
          <w:sz w:val="18"/>
          <w:szCs w:val="18"/>
          <w:color w:val="auto"/>
        </w:rPr>
        <w:t>Basic net loss per share is computed using the weighted-average number of shares of common stock outstanding during the period. Diluted net loss per share is computed using the sum of the weighted-average number of shares of common stock outstanding during the period and if dilutive, the weighted-average number of potential shares of common stock, including unvested restricted common stock and outstanding stock options. In June 2019, the Company sold 6,340,771 shares of common stock and Pre-Funded Warrants to purchase an aggregate of 2,548,117 shares of common stock at an exercise price of $9.00 per share, with $8.99 of such exercise price paid at the closing of the offering (see Note 10</w:t>
      </w:r>
      <w:r>
        <w:rPr>
          <w:rFonts w:ascii="Times New Roman" w:cs="Times New Roman" w:eastAsia="Times New Roman" w:hAnsi="Times New Roman"/>
          <w:sz w:val="18"/>
          <w:szCs w:val="18"/>
          <w:i w:val="1"/>
          <w:iCs w:val="1"/>
          <w:color w:val="auto"/>
        </w:rPr>
        <w:t>, Ginkgo Collaboration,</w:t>
      </w:r>
      <w:r>
        <w:rPr>
          <w:rFonts w:ascii="Times New Roman" w:cs="Times New Roman" w:eastAsia="Times New Roman" w:hAnsi="Times New Roman"/>
          <w:sz w:val="18"/>
          <w:szCs w:val="18"/>
          <w:color w:val="auto"/>
        </w:rPr>
        <w:t xml:space="preserve"> in the audited financial statements included in the 2021 Annual Report). The shares of common stock into which the warrants may be exercised are considered outstanding for the purposes of computing net loss per share.</w:t>
      </w:r>
    </w:p>
    <w:p>
      <w:pPr>
        <w:spacing w:after="0" w:line="189" w:lineRule="exact"/>
        <w:rPr>
          <w:sz w:val="20"/>
          <w:szCs w:val="20"/>
          <w:color w:val="auto"/>
        </w:rPr>
      </w:pPr>
    </w:p>
    <w:p>
      <w:pPr>
        <w:ind w:firstLine="510"/>
        <w:spacing w:after="0" w:line="266" w:lineRule="auto"/>
        <w:rPr>
          <w:sz w:val="20"/>
          <w:szCs w:val="20"/>
          <w:color w:val="auto"/>
        </w:rPr>
      </w:pPr>
      <w:r>
        <w:rPr>
          <w:rFonts w:ascii="Times New Roman" w:cs="Times New Roman" w:eastAsia="Times New Roman" w:hAnsi="Times New Roman"/>
          <w:sz w:val="18"/>
          <w:szCs w:val="18"/>
          <w:color w:val="auto"/>
        </w:rPr>
        <w:t>The Company’s potentially dilutive shares, which include outstanding stock options, unvested restricted common stock and potential shares issuable under the ESPP, are considered to be common share equivalents and are only included in the calculation of diluted net loss per share when their effect is dilutive.</w:t>
      </w:r>
    </w:p>
    <w:p>
      <w:pPr>
        <w:spacing w:after="0" w:line="176" w:lineRule="exact"/>
        <w:rPr>
          <w:sz w:val="20"/>
          <w:szCs w:val="20"/>
          <w:color w:val="auto"/>
        </w:rPr>
      </w:pPr>
    </w:p>
    <w:p>
      <w:pPr>
        <w:ind w:right="360" w:firstLine="510"/>
        <w:spacing w:after="0" w:line="282" w:lineRule="auto"/>
        <w:rPr>
          <w:sz w:val="20"/>
          <w:szCs w:val="20"/>
          <w:color w:val="auto"/>
        </w:rPr>
      </w:pPr>
      <w:r>
        <w:rPr>
          <w:rFonts w:ascii="Times New Roman" w:cs="Times New Roman" w:eastAsia="Times New Roman" w:hAnsi="Times New Roman"/>
          <w:sz w:val="18"/>
          <w:szCs w:val="18"/>
          <w:color w:val="auto"/>
        </w:rPr>
        <w:t>The following potential common shares, presented based on amounts outstanding at each period end, were excluded from the calculation of the diluted net loss per share attributable to common stockholders for the period indicated because including them would have had an anti-dilutive effect.</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6180" w:type="dxa"/>
            <w:vAlign w:val="bottom"/>
          </w:tcPr>
          <w:p>
            <w:pPr>
              <w:spacing w:after="0"/>
              <w:rPr>
                <w:sz w:val="15"/>
                <w:szCs w:val="15"/>
                <w:color w:val="auto"/>
              </w:rPr>
            </w:pPr>
          </w:p>
        </w:tc>
        <w:tc>
          <w:tcPr>
            <w:tcW w:w="1900" w:type="dxa"/>
            <w:vAlign w:val="bottom"/>
            <w:tcBorders>
              <w:bottom w:val="single" w:sz="8" w:color="auto"/>
            </w:tcBorders>
            <w:gridSpan w:val="3"/>
          </w:tcPr>
          <w:p>
            <w:pPr>
              <w:ind w:left="840"/>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900" w:type="dxa"/>
            <w:vAlign w:val="bottom"/>
            <w:tcBorders>
              <w:bottom w:val="single" w:sz="8" w:color="auto"/>
            </w:tcBorders>
          </w:tcPr>
          <w:p>
            <w:pPr>
              <w:spacing w:after="0"/>
              <w:rPr>
                <w:sz w:val="15"/>
                <w:szCs w:val="15"/>
                <w:color w:val="auto"/>
              </w:rPr>
            </w:pPr>
          </w:p>
        </w:tc>
      </w:tr>
      <w:tr>
        <w:trPr>
          <w:trHeight w:val="155"/>
        </w:trPr>
        <w:tc>
          <w:tcPr>
            <w:tcW w:w="6180" w:type="dxa"/>
            <w:vAlign w:val="bottom"/>
            <w:tcBorders>
              <w:bottom w:val="single" w:sz="8" w:color="CFF0FC"/>
            </w:tcBorders>
          </w:tcPr>
          <w:p>
            <w:pPr>
              <w:spacing w:after="0"/>
              <w:rPr>
                <w:sz w:val="13"/>
                <w:szCs w:val="13"/>
                <w:color w:val="auto"/>
              </w:rPr>
            </w:pPr>
          </w:p>
        </w:tc>
        <w:tc>
          <w:tcPr>
            <w:tcW w:w="1320" w:type="dxa"/>
            <w:vAlign w:val="bottom"/>
            <w:tcBorders>
              <w:bottom w:val="single" w:sz="8" w:color="auto"/>
            </w:tcBorders>
          </w:tcPr>
          <w:p>
            <w:pPr>
              <w:jc w:val="right"/>
              <w:ind w:right="497"/>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95"/>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223"/>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restricted common stock awards</w:t>
            </w:r>
          </w:p>
        </w:tc>
        <w:tc>
          <w:tcPr>
            <w:tcW w:w="132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793,693</w:t>
            </w:r>
          </w:p>
        </w:tc>
        <w:tc>
          <w:tcPr>
            <w:tcW w:w="1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415,158</w:t>
            </w:r>
          </w:p>
        </w:tc>
      </w:tr>
      <w:tr>
        <w:trPr>
          <w:trHeight w:val="230"/>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Outstanding options to purchase common stock</w:t>
            </w:r>
          </w:p>
        </w:tc>
        <w:tc>
          <w:tcPr>
            <w:tcW w:w="13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6,684,468</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4,577,117</w:t>
            </w:r>
          </w:p>
        </w:tc>
      </w:tr>
      <w:tr>
        <w:trPr>
          <w:trHeight w:val="230"/>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Potential shares issuable under the ESPP</w:t>
            </w:r>
          </w:p>
        </w:tc>
        <w:tc>
          <w:tcPr>
            <w:tcW w:w="1900" w:type="dxa"/>
            <w:vAlign w:val="bottom"/>
            <w:gridSpan w:val="3"/>
            <w:shd w:val="clear" w:color="auto" w:fill="CFF0FC"/>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r>
    </w:tbl>
    <w:p>
      <w:pPr>
        <w:spacing w:after="0" w:line="383" w:lineRule="exact"/>
        <w:rPr>
          <w:sz w:val="20"/>
          <w:szCs w:val="20"/>
          <w:color w:val="auto"/>
        </w:rPr>
      </w:pPr>
    </w:p>
    <w:p>
      <w:pPr>
        <w:ind w:left="500" w:hanging="492"/>
        <w:spacing w:after="0"/>
        <w:tabs>
          <w:tab w:leader="none" w:pos="50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9" w:lineRule="exact"/>
        <w:rPr>
          <w:sz w:val="20"/>
          <w:szCs w:val="20"/>
          <w:color w:val="auto"/>
        </w:rPr>
      </w:pPr>
    </w:p>
    <w:p>
      <w:pPr>
        <w:ind w:right="100" w:firstLine="510"/>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the Company may be subject to legal proceedings, claims and litigation as the Company operates in an industry susceptible to patent legal claims. The Company accounts for estimated losses with respect to legal proceedings and claims when such losses are probable and estimable. Legal costs associated with these matters are expensed when incurred. The Company is not currently a party to any material legal proceedings.</w:t>
      </w:r>
    </w:p>
    <w:p>
      <w:pPr>
        <w:spacing w:after="0" w:line="2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commitments are described in the Company’s consolidated financial statements as of and for the year ended December 31, 2021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the notes thereto included in the Annual Report on Form 10-K filed with the SEC on March 17, 2022. On January 21, 2022, the Company entered into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two Statements of Work with Azzur Group, LLC (Azzur). Pursuant to the first of the SOWs (the Third SOW), the Company has agreed to pay Azzur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$650,000 to renovate and upgrade the cleanroom space at Azzur for the Company’s expanded use. The second of the SOWs (the Fourth SOW) replaces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Second SOW that the Company entered into with Azzur on April 29, 2021. The Fourth SOW extends the term of the lease, for the period beginning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2022 through March 2023 (the Third Term). The Fourth SOW contains an option to extend the lease by a period of three months.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determined</w:t>
      </w:r>
    </w:p>
    <w:p>
      <w:pPr>
        <w:spacing w:after="0" w:line="2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3" w:name="page14"/>
    <w:bookmarkEnd w:id="13"/>
    <w:p>
      <w:pPr>
        <w:ind w:right="100"/>
        <w:spacing w:after="0" w:line="261" w:lineRule="auto"/>
        <w:rPr>
          <w:sz w:val="20"/>
          <w:szCs w:val="20"/>
          <w:color w:val="auto"/>
        </w:rPr>
      </w:pPr>
      <w:r>
        <w:rPr>
          <w:rFonts w:ascii="Times New Roman" w:cs="Times New Roman" w:eastAsia="Times New Roman" w:hAnsi="Times New Roman"/>
          <w:sz w:val="18"/>
          <w:szCs w:val="18"/>
          <w:color w:val="auto"/>
        </w:rPr>
        <w:t xml:space="preserve">that it was more likely than not to exercise the option to extend the lease. The total estimated project cost during the Third Term, for access to, and use of, the renovated and upgraded cleanroom space at Azzur, and the personnel support and other services, is $3.1 million. The Third and Fourth SOWs resulted in an adjustment to the operating lease right-of-use asset and corresponding operating lease liabilities of $1.8 million. For a full description of the Azzur embedded lease, refer to Note 13,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in the 2021 Annual Report.</w:t>
      </w:r>
    </w:p>
    <w:p>
      <w:pPr>
        <w:spacing w:after="0" w:line="200" w:lineRule="exact"/>
        <w:rPr>
          <w:sz w:val="20"/>
          <w:szCs w:val="20"/>
          <w:color w:val="auto"/>
        </w:rPr>
      </w:pPr>
    </w:p>
    <w:p>
      <w:pPr>
        <w:spacing w:after="0" w:line="300" w:lineRule="exact"/>
        <w:rPr>
          <w:sz w:val="20"/>
          <w:szCs w:val="20"/>
          <w:color w:val="auto"/>
        </w:rPr>
      </w:pPr>
    </w:p>
    <w:p>
      <w:pPr>
        <w:ind w:left="500" w:hanging="492"/>
        <w:spacing w:after="0"/>
        <w:tabs>
          <w:tab w:leader="none" w:pos="50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Related-Party Transactions</w:t>
      </w:r>
    </w:p>
    <w:p>
      <w:pPr>
        <w:spacing w:after="0" w:line="121" w:lineRule="exact"/>
        <w:rPr>
          <w:sz w:val="20"/>
          <w:szCs w:val="20"/>
          <w:color w:val="auto"/>
        </w:rPr>
      </w:pPr>
    </w:p>
    <w:p>
      <w:pPr>
        <w:jc w:val="both"/>
        <w:ind w:right="100" w:firstLine="510"/>
        <w:spacing w:after="0" w:line="266" w:lineRule="auto"/>
        <w:rPr>
          <w:sz w:val="20"/>
          <w:szCs w:val="20"/>
          <w:color w:val="auto"/>
        </w:rPr>
      </w:pPr>
      <w:r>
        <w:rPr>
          <w:rFonts w:ascii="Times New Roman" w:cs="Times New Roman" w:eastAsia="Times New Roman" w:hAnsi="Times New Roman"/>
          <w:sz w:val="18"/>
          <w:szCs w:val="18"/>
          <w:color w:val="auto"/>
        </w:rPr>
        <w:t xml:space="preserve">In June 2019, the Company expanded its collaboration and entered into an agreement with Ginkgo for the research and development of engineered microbial therapeutic products. As of March 31, 2022, Ginkgo owns 6,340,771 shares of the Company’s outstanding common stock. See Note 10, </w:t>
      </w:r>
      <w:r>
        <w:rPr>
          <w:rFonts w:ascii="Times New Roman" w:cs="Times New Roman" w:eastAsia="Times New Roman" w:hAnsi="Times New Roman"/>
          <w:sz w:val="18"/>
          <w:szCs w:val="18"/>
          <w:i w:val="1"/>
          <w:iCs w:val="1"/>
          <w:color w:val="auto"/>
        </w:rPr>
        <w:t>Ginkgo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Collaboration, </w:t>
      </w:r>
      <w:r>
        <w:rPr>
          <w:rFonts w:ascii="Times New Roman" w:cs="Times New Roman" w:eastAsia="Times New Roman" w:hAnsi="Times New Roman"/>
          <w:sz w:val="18"/>
          <w:szCs w:val="18"/>
          <w:color w:val="auto"/>
        </w:rPr>
        <w:t>in the audited financial statements included in the 2021 Annual Report.</w:t>
      </w:r>
    </w:p>
    <w:p>
      <w:pPr>
        <w:spacing w:after="0" w:line="176"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Under the agreement the Company made a prepayment to Ginkgo of $30.0 million for its foundry services that will be provided to the Company over an initial term of five years. At March 31, 2022, the Company had remaining balances of $0.9 million and $9.8 million of current and non-current pre-paid research and development costs related to this transaction, respectively. For the three months ended March 31, 2022, the Company used $0.5 million of the pre-paid research and development expenses.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Information</w:t>
      </w:r>
    </w:p>
    <w:p>
      <w:pPr>
        <w:spacing w:after="0" w:line="119"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i w:val="1"/>
          <w:iCs w:val="1"/>
          <w:color w:val="auto"/>
        </w:rPr>
        <w:t>The interim financial statements and this Management’s Discussion and Analysis of Financial Condition and Results of Operations should be read together with our audited financial statements and accompanying notes for the year ended December 31, 2021 and 2020 included in our Annual Report on Form 10-K filed with the SEC on March 17, 2022 (the 2021 Annual Report). In addition to historical information, this discussion and analysis contains forward-looking statements within the meaning of Section 27A of the Securities Act of 1933, as amended (the Securities Act), and Section 21E of the Securities Exchange Act of 1934, as amended (the Exchange Act). Please see “Risk Factors” beginning on page [23] of this Quarterly Report on Form 10-Q for a discussion of certain risk factors applicable to our business, financial condition, and results of operations. Operating results are not necessarily indicative of results that may occur for the full fiscal year or any other future period. On August 28, 2017, Synlogic, Inc., formerly known as Mirna Therapeutics, Inc. (NASDAQ: MIRN) (Mirna), completed a business combination with Synlogic, a private company, pursuant to the Agreement and Plan of Merger and Reorganization, dated as of May 15, 2017 (the Merger Agreement), pursuant to which the private Synlogic entity survived as a wholly owned subsidiary of Mirna (the Merger). Immediately after completion of the Merger, Mirna changed its name to “Synlogic, Inc.” (NASDAQ: SYBX). The term “Private Synlogic” refers to Synlogic Operating Company, Inc. (formerly known as Synlogic, Inc.) prior to the consummation of the Merger. Unless otherwise indicated, references to the terms the "combined company”, “Synlogic”, the "Company”, “we”, “our” and “us” refer to Private Synlogic prior to the consummation of the Merger and Synlogic, Inc. (formerly known as Mirna Therapeutics, Inc.) and its subsidiaries upon the consummation of the Merger described herein. The term "Mirna" refers to the Mirna Therapeutics, Inc. and its subsidiaries prior to the Merger.</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135" w:lineRule="exact"/>
        <w:rPr>
          <w:sz w:val="20"/>
          <w:szCs w:val="20"/>
          <w:color w:val="auto"/>
        </w:rPr>
      </w:pPr>
    </w:p>
    <w:p>
      <w:pPr>
        <w:ind w:right="120" w:firstLine="510"/>
        <w:spacing w:after="0" w:line="258" w:lineRule="auto"/>
        <w:rPr>
          <w:sz w:val="20"/>
          <w:szCs w:val="20"/>
          <w:color w:val="auto"/>
        </w:rPr>
      </w:pPr>
      <w:r>
        <w:rPr>
          <w:rFonts w:ascii="Times New Roman" w:cs="Times New Roman" w:eastAsia="Times New Roman" w:hAnsi="Times New Roman"/>
          <w:sz w:val="18"/>
          <w:szCs w:val="18"/>
          <w:color w:val="auto"/>
        </w:rPr>
        <w:t>Synlogic is a clinical-stage biotechnology company advancing a new paradigm of biotherapeutics through its unique and proprietary approach to synthetic biology. Synthetic biology leverages engineering principles to enable the design of new biological systems, genetic circuits and molecular components. Synlogic is delivering the power of synthetic biology to medicine, combining the precision of engineering with rational drug development to develop what are called Synthetic Biotics. Synthetic Biotics are a novel drug modality that uses programmable, precision genetic engineering of well-characterized probiotics to exert localized activity for therapeutic benefit, with a focus on metabolic and immunologic diseases.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Drug Candidate Pipeline</w:t>
      </w:r>
    </w:p>
    <w:p>
      <w:pPr>
        <w:spacing w:after="0" w:line="135" w:lineRule="exact"/>
        <w:rPr>
          <w:sz w:val="20"/>
          <w:szCs w:val="20"/>
          <w:color w:val="auto"/>
        </w:rPr>
      </w:pPr>
    </w:p>
    <w:p>
      <w:pPr>
        <w:ind w:right="120" w:firstLine="510"/>
        <w:spacing w:after="0" w:line="258" w:lineRule="auto"/>
        <w:rPr>
          <w:sz w:val="20"/>
          <w:szCs w:val="20"/>
          <w:color w:val="auto"/>
        </w:rPr>
      </w:pPr>
      <w:r>
        <w:rPr>
          <w:rFonts w:ascii="Times New Roman" w:cs="Times New Roman" w:eastAsia="Times New Roman" w:hAnsi="Times New Roman"/>
          <w:sz w:val="18"/>
          <w:szCs w:val="18"/>
          <w:color w:val="auto"/>
        </w:rPr>
        <w:t>Synlogic’s pipeline includes its lead program in phenylketonuria (PKU), which has demonstrated proof of concept and we plan to start a pivotal, Phase 3 clinical trial in the first half of 2023. Our pipeline also includes novel drug candidates designed to treat homocystinuria (HCU) and enteric hyperoxaluria. Synlogic is also working with Roche in a research collaboration focused on the discovery of a novel Synthetic Biotic for the treatment of inflammatory bowel disease (IBD) and with Ginkgo Bioworks, Inc. (Ginkgo) on additional undisclosed preclinical assets, combining Synlogic’s approach to Synthetic Biotics with Ginkgo’s Codebase and Foundry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128270</wp:posOffset>
            </wp:positionV>
            <wp:extent cx="5846445" cy="20916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846445" cy="2091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Metabolic Disease</w:t>
      </w:r>
    </w:p>
    <w:p>
      <w:pPr>
        <w:spacing w:after="0" w:line="135" w:lineRule="exact"/>
        <w:rPr>
          <w:sz w:val="20"/>
          <w:szCs w:val="20"/>
          <w:color w:val="auto"/>
        </w:rPr>
      </w:pPr>
    </w:p>
    <w:p>
      <w:pPr>
        <w:ind w:right="20" w:firstLine="510"/>
        <w:spacing w:after="0" w:line="266" w:lineRule="auto"/>
        <w:rPr>
          <w:sz w:val="20"/>
          <w:szCs w:val="20"/>
          <w:color w:val="auto"/>
        </w:rPr>
      </w:pPr>
      <w:r>
        <w:rPr>
          <w:rFonts w:ascii="Times New Roman" w:cs="Times New Roman" w:eastAsia="Times New Roman" w:hAnsi="Times New Roman"/>
          <w:sz w:val="18"/>
          <w:szCs w:val="18"/>
          <w:color w:val="auto"/>
        </w:rPr>
        <w:t>There are a number of metabolic diseases involving a lack of certain enzymes that are responsible for metabolizing commonly occurring byproducts of digestion. The absence of these enzymes is caused by either a genetic mutation characterized by a dysfunctional metabolic pathway, such as PKU or HCU, or organ dysfunction, such as enteric hyperoxaluria. In patients with these</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15" w:name="page16"/>
    <w:bookmarkEnd w:id="15"/>
    <w:p>
      <w:pPr>
        <w:ind w:right="300"/>
        <w:spacing w:after="0" w:line="282" w:lineRule="auto"/>
        <w:rPr>
          <w:sz w:val="20"/>
          <w:szCs w:val="20"/>
          <w:color w:val="auto"/>
        </w:rPr>
      </w:pPr>
      <w:r>
        <w:rPr>
          <w:rFonts w:ascii="Times New Roman" w:cs="Times New Roman" w:eastAsia="Times New Roman" w:hAnsi="Times New Roman"/>
          <w:sz w:val="18"/>
          <w:szCs w:val="18"/>
          <w:color w:val="auto"/>
        </w:rPr>
        <w:t>diseases, the absence of certain enzymes causes metabolites to accumulate to in the gut and systemically throughout the body. In patients with PKU and HCU, these metabolites build up to toxic levels resulting in serious health consequences, including irreversible neurological dysfunction.</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PKU</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35"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 xml:space="preserve">Our PKU program includes two development candidates, SYNB1618 and SYNB1934. SYNB1618 and SYNB1934 are orally administered, non-systemically absorbed drug candidates being studied as potential treatments for PKU, a genetic disease caused by potentially neurotoxic levels of the amino acid Phe. Treatment options for PKU are currently limited due to efficacy and safety, with an estimated 75% of US patients remaining in need of treatment, and many of those who are treated in need of additional Phe-lowering. We designed our drug candidates to reduce levels of Phe in people with PKU using precision genetic engineering of the well-characterized probiotic </w:t>
      </w:r>
      <w:r>
        <w:rPr>
          <w:rFonts w:ascii="Times New Roman" w:cs="Times New Roman" w:eastAsia="Times New Roman" w:hAnsi="Times New Roman"/>
          <w:sz w:val="18"/>
          <w:szCs w:val="18"/>
          <w:i w:val="1"/>
          <w:iCs w:val="1"/>
          <w:color w:val="auto"/>
        </w:rPr>
        <w:t>E. coli</w:t>
      </w:r>
      <w:r>
        <w:rPr>
          <w:rFonts w:ascii="Times New Roman" w:cs="Times New Roman" w:eastAsia="Times New Roman" w:hAnsi="Times New Roman"/>
          <w:sz w:val="18"/>
          <w:szCs w:val="18"/>
          <w:color w:val="auto"/>
        </w:rPr>
        <w:t xml:space="preserve"> Nissle. Findings to date support the potential for an efficacious, safe, convenient, and flexible treatment option for PKU and SYNB1618 has received both Orphan Drug and Fast Track designations by the U.S Food and Drug Administration (FDA). Both SYNB1618 and SYNB1934 are being studied in the Phase 2 SynPheny-1 clinical trial, with data expected in the second half of 2022, and initiation of the Phase 3 trial expected to begin in the first half of 2023.</w:t>
      </w:r>
    </w:p>
    <w:p>
      <w:pPr>
        <w:spacing w:after="0" w:line="192"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We completed a Phase 1/2a clinical trial of an early liquid formulation of SYNB1618 and announced top-line data from healthy volunteers evaluated in this trial in September 2018. In July 2019, we announced data that demonstrated that SYNB1618 was safe and well-tolerated and achieved proof-of-mechanism of strain activity in both healthy volunteers and patients with PKU. Following the trial using the liquid formulation, we developed a solid oral lyophilized formulation of SYNB1618. We have evaluated this oral formulation in a bridging study in healthy volunteers. The study of this more patient-and commercialization-appropriate presentation of SYNB1618 demonstrated activity and improved tolerability over the liquid formulation.</w:t>
      </w:r>
    </w:p>
    <w:p>
      <w:pPr>
        <w:spacing w:after="0" w:line="183" w:lineRule="exact"/>
        <w:rPr>
          <w:sz w:val="20"/>
          <w:szCs w:val="20"/>
          <w:color w:val="auto"/>
        </w:rPr>
      </w:pPr>
    </w:p>
    <w:p>
      <w:pPr>
        <w:ind w:right="40" w:firstLine="510"/>
        <w:spacing w:after="0" w:line="261" w:lineRule="auto"/>
        <w:rPr>
          <w:sz w:val="20"/>
          <w:szCs w:val="20"/>
          <w:color w:val="auto"/>
        </w:rPr>
      </w:pPr>
      <w:r>
        <w:rPr>
          <w:rFonts w:ascii="Times New Roman" w:cs="Times New Roman" w:eastAsia="Times New Roman" w:hAnsi="Times New Roman"/>
          <w:sz w:val="18"/>
          <w:szCs w:val="18"/>
          <w:color w:val="auto"/>
        </w:rPr>
        <w:t>We initiated a Phase 2 clinical trial with SYNB1618 in the third quarter of 2020, referred to as the SynPheny-1 clinical trial. The SynPheny-1 trial is designed to evaluate safety and tolerability of a solid oral formulation of SYNB1618 as well as its potential to lower blood Phe levels in adult PKU patients. In September 2021, an interim analysis of the ongoing SynPheny-1 trial found that SYNB1618 demonstrated statistically significant reductions in blood Phe levels.</w:t>
      </w:r>
    </w:p>
    <w:p>
      <w:pPr>
        <w:spacing w:after="0" w:line="180" w:lineRule="exact"/>
        <w:rPr>
          <w:sz w:val="20"/>
          <w:szCs w:val="20"/>
          <w:color w:val="auto"/>
        </w:rPr>
      </w:pPr>
    </w:p>
    <w:p>
      <w:pPr>
        <w:ind w:right="180" w:firstLine="510"/>
        <w:spacing w:after="0" w:line="266" w:lineRule="auto"/>
        <w:rPr>
          <w:sz w:val="20"/>
          <w:szCs w:val="20"/>
          <w:color w:val="auto"/>
        </w:rPr>
      </w:pPr>
      <w:r>
        <w:rPr>
          <w:rFonts w:ascii="Times New Roman" w:cs="Times New Roman" w:eastAsia="Times New Roman" w:hAnsi="Times New Roman"/>
          <w:sz w:val="18"/>
          <w:szCs w:val="18"/>
          <w:color w:val="auto"/>
        </w:rPr>
        <w:t xml:space="preserve">Our second development candidate for PKU, SYNB1934, was evolved from SYNB1618 to potentially provide increased Phe lowering activity for patients living with PKU. In July 2021, we initiated clinical studies of a solid oral formulation of SYNB1934 following preclinical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vitro </w:t>
      </w:r>
      <w:r>
        <w:rPr>
          <w:rFonts w:ascii="Times New Roman" w:cs="Times New Roman" w:eastAsia="Times New Roman" w:hAnsi="Times New Roman"/>
          <w:sz w:val="18"/>
          <w:szCs w:val="18"/>
          <w:color w:val="auto"/>
        </w:rPr>
        <w:t>studies demonstrating an approximately two-fold improvement in the ability of SYNB1934 to break down Phe compared to SYNB1618.</w:t>
      </w:r>
    </w:p>
    <w:p>
      <w:pPr>
        <w:spacing w:after="0" w:line="176" w:lineRule="exact"/>
        <w:rPr>
          <w:sz w:val="20"/>
          <w:szCs w:val="20"/>
          <w:color w:val="auto"/>
        </w:rPr>
      </w:pPr>
    </w:p>
    <w:p>
      <w:pPr>
        <w:jc w:val="both"/>
        <w:ind w:right="40" w:firstLine="510"/>
        <w:spacing w:after="0" w:line="266" w:lineRule="auto"/>
        <w:rPr>
          <w:sz w:val="20"/>
          <w:szCs w:val="20"/>
          <w:color w:val="auto"/>
        </w:rPr>
      </w:pPr>
      <w:r>
        <w:rPr>
          <w:rFonts w:ascii="Times New Roman" w:cs="Times New Roman" w:eastAsia="Times New Roman" w:hAnsi="Times New Roman"/>
          <w:sz w:val="18"/>
          <w:szCs w:val="18"/>
          <w:color w:val="auto"/>
        </w:rPr>
        <w:t>In September 2021, we announced results from the head-to-head portion of the Phase 1 clinical trial. SYNB1934 showed an approximately two-fold higher activity level than SYNB1618 in a head-to-head comparison based on biomarkers of Phe consumption. Additionally, based on this interim analysis, SYNB1934 demonstrated a safety and tolerability profile similar to other Synthetic Biotics, including SYNB1618, at equivalent doses.</w:t>
      </w:r>
    </w:p>
    <w:p>
      <w:pPr>
        <w:spacing w:after="0" w:line="176" w:lineRule="exact"/>
        <w:rPr>
          <w:sz w:val="20"/>
          <w:szCs w:val="20"/>
          <w:color w:val="auto"/>
        </w:rPr>
      </w:pPr>
    </w:p>
    <w:p>
      <w:pPr>
        <w:ind w:right="180" w:firstLine="510"/>
        <w:spacing w:after="0" w:line="266" w:lineRule="auto"/>
        <w:rPr>
          <w:sz w:val="20"/>
          <w:szCs w:val="20"/>
          <w:color w:val="auto"/>
        </w:rPr>
      </w:pPr>
      <w:r>
        <w:rPr>
          <w:rFonts w:ascii="Times New Roman" w:cs="Times New Roman" w:eastAsia="Times New Roman" w:hAnsi="Times New Roman"/>
          <w:sz w:val="18"/>
          <w:szCs w:val="18"/>
          <w:color w:val="auto"/>
        </w:rPr>
        <w:t>SYNB1934 clinical results were consistent with preclinical data and previously presented prospective biomarker-driven modeling. We believe that the increased activity of SYNB1934, relative to SYNB1618, could provide the opportunity to optimize the clinical profile based on individual patient needs. Accordingly, we added an arm evaluating SYNB1934 to the ongoing SynPheny-1 Phase 2 clinical trial.</w:t>
      </w:r>
    </w:p>
    <w:p>
      <w:pPr>
        <w:spacing w:after="0" w:line="176" w:lineRule="exact"/>
        <w:rPr>
          <w:sz w:val="20"/>
          <w:szCs w:val="20"/>
          <w:color w:val="auto"/>
        </w:rPr>
      </w:pPr>
    </w:p>
    <w:p>
      <w:pPr>
        <w:jc w:val="both"/>
        <w:ind w:right="20" w:firstLine="510"/>
        <w:spacing w:after="0" w:line="282" w:lineRule="auto"/>
        <w:rPr>
          <w:sz w:val="20"/>
          <w:szCs w:val="20"/>
          <w:color w:val="auto"/>
        </w:rPr>
      </w:pPr>
      <w:r>
        <w:rPr>
          <w:rFonts w:ascii="Times New Roman" w:cs="Times New Roman" w:eastAsia="Times New Roman" w:hAnsi="Times New Roman"/>
          <w:sz w:val="18"/>
          <w:szCs w:val="18"/>
          <w:color w:val="auto"/>
        </w:rPr>
        <w:t>The SynPheny-1 Phase 2 clinical trial is continuing to the final analysis with both a SYNB1618 and a SYNB1934 arm. Upon completion of the trial, we intend to initiate a pivotal Phase 3 clinical trial of the preferred strain, which will be selected based on the clinical data from both drug candidates.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Homocystinuria</w:t>
      </w:r>
    </w:p>
    <w:p>
      <w:pPr>
        <w:spacing w:after="0" w:line="135" w:lineRule="exact"/>
        <w:rPr>
          <w:sz w:val="20"/>
          <w:szCs w:val="20"/>
          <w:color w:val="auto"/>
        </w:rPr>
      </w:pPr>
    </w:p>
    <w:p>
      <w:pPr>
        <w:jc w:val="both"/>
        <w:ind w:right="20" w:firstLine="510"/>
        <w:spacing w:after="0" w:line="258" w:lineRule="auto"/>
        <w:rPr>
          <w:sz w:val="20"/>
          <w:szCs w:val="20"/>
          <w:color w:val="auto"/>
        </w:rPr>
      </w:pPr>
      <w:r>
        <w:rPr>
          <w:rFonts w:ascii="Times New Roman" w:cs="Times New Roman" w:eastAsia="Times New Roman" w:hAnsi="Times New Roman"/>
          <w:sz w:val="18"/>
          <w:szCs w:val="18"/>
          <w:color w:val="auto"/>
        </w:rPr>
        <w:t>HCU is a rare inherited metabolic disorder that affects the metabolism of the amino acid methionine, a protein found in many foods including meat, fish, and dairy products. HCU is caused by a genetic defect which results in the absence of an enzyme known as cystathionine beta-synthase (CBS). When CBS is absent, homocysteine and other toxic chemicals and their byproducts, including methionine, build up in the blood and urine. Elevated homocysteine levels are associated with a multisystem disorder, including impairments of the eye (ectopia lentis and/or severe myopia), skeletal system (excessive height, long limbs, scoliosis, pectus excavatum), vascular system (thromboembolism), and CNS (development delay and intellectual disability).</w:t>
      </w:r>
    </w:p>
    <w:p>
      <w:pPr>
        <w:spacing w:after="0" w:line="224" w:lineRule="exact"/>
        <w:rPr>
          <w:sz w:val="20"/>
          <w:szCs w:val="20"/>
          <w:color w:val="auto"/>
        </w:rPr>
      </w:pPr>
    </w:p>
    <w:p>
      <w:pPr>
        <w:ind w:right="200" w:firstLine="510"/>
        <w:spacing w:after="0" w:line="282" w:lineRule="auto"/>
        <w:rPr>
          <w:sz w:val="20"/>
          <w:szCs w:val="20"/>
          <w:color w:val="auto"/>
        </w:rPr>
      </w:pPr>
      <w:r>
        <w:rPr>
          <w:rFonts w:ascii="Times New Roman" w:cs="Times New Roman" w:eastAsia="Times New Roman" w:hAnsi="Times New Roman"/>
          <w:sz w:val="18"/>
          <w:szCs w:val="18"/>
          <w:color w:val="auto"/>
        </w:rPr>
        <w:t>In November 2021 we announced the nomination of SYNB1353, a novel, orally administered, non-systemically absorbed live biotherapeutic drug candidate engineered to consume methionine in the gastrointestinal (GI) tract thereby lowering an amino acid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6" w:name="page17"/>
    <w:bookmarkEnd w:id="16"/>
    <w:p>
      <w:pPr>
        <w:spacing w:after="0" w:line="266" w:lineRule="auto"/>
        <w:rPr>
          <w:sz w:val="20"/>
          <w:szCs w:val="20"/>
          <w:color w:val="auto"/>
        </w:rPr>
      </w:pPr>
      <w:r>
        <w:rPr>
          <w:rFonts w:ascii="Times New Roman" w:cs="Times New Roman" w:eastAsia="Times New Roman" w:hAnsi="Times New Roman"/>
          <w:sz w:val="18"/>
          <w:szCs w:val="18"/>
          <w:color w:val="auto"/>
        </w:rPr>
        <w:t>known as tHcy in HCU patients and potentially allowing an increase in natural protein intake. SYNB1353 was developed as part of a research collaboration with Ginkgo and is currently in IND-enabling studies. We hold worldwide development and commercialization rights to SYNB1353, which is expected to begin clinical development and report Phase 1 data in healthy volunteers in the second half of 2022.</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Enteric Hyperoxaluria</w:t>
      </w:r>
    </w:p>
    <w:p>
      <w:pPr>
        <w:spacing w:after="0" w:line="135"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Enteric hyperoxaluria is an acquired metabolic disorder with no approved treatment options. It is caused by increased absorption of dietary oxalate, which is present in many common foods including leafy greens, nuts, and chocolate. Enteric hyperoxaluria often occurs as a result of a primary insult to the bowel, such as inflammatory bowel disease, short bowel syndrome, or surgical procedures such as Roux-en-Y bariatric weight-loss surgery. The disorder may cause dangerously high levels of urinary oxalate and progressive kidney damage. In May 2020, we announced the nomination of a clinical candidate for enteric hyperoxaluria, SYNB8802. We initiated a Phase 1 clinical trial of SYNB8802 in the fourth quarter of 2020. SYNB8802 is being assessed for safety and tolerability, strain kinetics, changes in plasma and urine biomarkers of strain activity, and the potential to reduce urinary oxalate in the Phase 1 clinical trial. In 2021, Synlogic reported positive proof-of-mechanism for SYNB8802 from a Phase 1b clinical trial that demonstrated lowering of urinary and fecal oxalate levels in healthy volunteers with diet-induced hyperoxaluria. Data from a proof-of-concept trial assessing the lowering of urinary oxalate in patients who have undergone Roux-en-Y gastric bypass surgery is expected in the second half of 2022.</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Pipeline Programs in Metabolic &amp; Immunological Diseases</w:t>
      </w:r>
    </w:p>
    <w:p>
      <w:pPr>
        <w:spacing w:after="0" w:line="135" w:lineRule="exact"/>
        <w:rPr>
          <w:sz w:val="20"/>
          <w:szCs w:val="20"/>
          <w:color w:val="auto"/>
        </w:rPr>
      </w:pPr>
    </w:p>
    <w:p>
      <w:pPr>
        <w:ind w:right="80" w:firstLine="510"/>
        <w:spacing w:after="0" w:line="266" w:lineRule="auto"/>
        <w:rPr>
          <w:sz w:val="20"/>
          <w:szCs w:val="20"/>
          <w:color w:val="auto"/>
        </w:rPr>
      </w:pPr>
      <w:r>
        <w:rPr>
          <w:rFonts w:ascii="Times New Roman" w:cs="Times New Roman" w:eastAsia="Times New Roman" w:hAnsi="Times New Roman"/>
          <w:sz w:val="18"/>
          <w:szCs w:val="18"/>
          <w:color w:val="auto"/>
        </w:rPr>
        <w:t>The Synthetic Biotic approach is well-suited for addressing known disease targets that have been associated with validated biological pathways in metabolic and immunological diseases. For metabolic diseases, we are applying our learnings from PKU, HCU and enteric hyperoxaluria to new areas, including hyperuricemia and gout, and we expect to disclose additional details on these and other programs as they move through preclinical development.</w:t>
      </w:r>
    </w:p>
    <w:p>
      <w:pPr>
        <w:spacing w:after="0" w:line="216" w:lineRule="exact"/>
        <w:rPr>
          <w:sz w:val="20"/>
          <w:szCs w:val="20"/>
          <w:color w:val="auto"/>
        </w:rPr>
      </w:pPr>
    </w:p>
    <w:p>
      <w:pPr>
        <w:ind w:right="100" w:firstLine="510"/>
        <w:spacing w:after="0" w:line="253" w:lineRule="auto"/>
        <w:rPr>
          <w:sz w:val="20"/>
          <w:szCs w:val="20"/>
          <w:color w:val="auto"/>
        </w:rPr>
      </w:pPr>
      <w:r>
        <w:rPr>
          <w:rFonts w:ascii="Times New Roman" w:cs="Times New Roman" w:eastAsia="Times New Roman" w:hAnsi="Times New Roman"/>
          <w:sz w:val="18"/>
          <w:szCs w:val="18"/>
          <w:color w:val="auto"/>
        </w:rPr>
        <w:t xml:space="preserve">IBD is a group of diseases characterized by significant local inflammation in the GI tract typically driven by T cells, activated macrophages and compromised function of the epithelial barrier. IBD pathogenesis is linked to both genetic and environmental factors and may be caused by altered interactions between gut microbes and the intestinal immune system. Compromised gut barrier function also plays a central role in autoimmune diseases pathogenesis. A single layer of epithelial cells separates the luminal contents of the gut from the host circulatory system and the immune cells in the body. Disrupting the epithelial layer can lead to pathological exposure of foreign antigens from the lumen resulting in increased susceptibility to autoimmune disorders. The interplay between the gut microbiota and the host is thought to play a key role in the maintenance of the epithelial barrier as well as homeostatic immunity. Thus, enhancing barrier function and reducing inflammation in the gastrointestinal tract are potential therapeutic mechanisms for the treatment or prevention of autoimmune disorders. Our Synthetic Biotic platform is designed to allow for the effective programming of </w:t>
      </w:r>
      <w:r>
        <w:rPr>
          <w:rFonts w:ascii="Times New Roman" w:cs="Times New Roman" w:eastAsia="Times New Roman" w:hAnsi="Times New Roman"/>
          <w:sz w:val="18"/>
          <w:szCs w:val="18"/>
          <w:i w:val="1"/>
          <w:iCs w:val="1"/>
          <w:color w:val="auto"/>
        </w:rPr>
        <w:t>E. coli</w:t>
      </w:r>
      <w:r>
        <w:rPr>
          <w:rFonts w:ascii="Times New Roman" w:cs="Times New Roman" w:eastAsia="Times New Roman" w:hAnsi="Times New Roman"/>
          <w:sz w:val="18"/>
          <w:szCs w:val="18"/>
          <w:color w:val="auto"/>
        </w:rPr>
        <w:t xml:space="preserve"> Nissle to execute these functions, including the metabolic production of factors such as short chain fatty acids to enhance barrier function, and secreting proteins, such as immunomodulatory cytokines.</w:t>
      </w:r>
    </w:p>
    <w:p>
      <w:pPr>
        <w:spacing w:after="0" w:line="235" w:lineRule="exact"/>
        <w:rPr>
          <w:sz w:val="20"/>
          <w:szCs w:val="20"/>
          <w:color w:val="auto"/>
        </w:rPr>
      </w:pPr>
    </w:p>
    <w:p>
      <w:pPr>
        <w:ind w:right="40" w:firstLine="510"/>
        <w:spacing w:after="0" w:line="256" w:lineRule="auto"/>
        <w:rPr>
          <w:sz w:val="20"/>
          <w:szCs w:val="20"/>
          <w:color w:val="auto"/>
        </w:rPr>
      </w:pPr>
      <w:r>
        <w:rPr>
          <w:rFonts w:ascii="Times New Roman" w:cs="Times New Roman" w:eastAsia="Times New Roman" w:hAnsi="Times New Roman"/>
          <w:sz w:val="18"/>
          <w:szCs w:val="18"/>
          <w:color w:val="auto"/>
        </w:rPr>
        <w:t>Current approaches to treat IBD are focused on therapeutics that modulate the immune system and suppress inflammation. These therapies include steroids, such as prednisone, and tumor necrosis factor inhibitors, such as Humira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(adalimumab). However, these approaches are associated with systemic immunosuppression, which includes greater susceptibility to infectious diseases and cancer. According to the Centers for Disease Control (CDC), in 2015 an estimated three million adults in the United States were reported as being diagnosed with IBD. In June of 2021 we entered into a research collaboration and option agreement with Roche for the discovery of a novel Synthetic Biotic for the treatment of IBD. In addition, we continue to advance additional, wholly-owned preclinical research efforts in IBD.</w:t>
      </w:r>
    </w:p>
    <w:p>
      <w:pPr>
        <w:spacing w:after="0" w:line="214" w:lineRule="exact"/>
        <w:rPr>
          <w:sz w:val="20"/>
          <w:szCs w:val="20"/>
          <w:color w:val="auto"/>
        </w:rPr>
      </w:pPr>
    </w:p>
    <w:p>
      <w:pPr>
        <w:ind w:right="120" w:firstLine="510"/>
        <w:spacing w:after="0" w:line="261" w:lineRule="auto"/>
        <w:rPr>
          <w:sz w:val="20"/>
          <w:szCs w:val="20"/>
          <w:color w:val="auto"/>
        </w:rPr>
      </w:pPr>
      <w:r>
        <w:rPr>
          <w:rFonts w:ascii="Times New Roman" w:cs="Times New Roman" w:eastAsia="Times New Roman" w:hAnsi="Times New Roman"/>
          <w:sz w:val="18"/>
          <w:szCs w:val="18"/>
          <w:color w:val="auto"/>
        </w:rPr>
        <w:t>Among immune conditions, working to treat IBD allows us to leverage knowledge and expertise gained from our oral metabolic programs to develop living medicines that can act locally at the site of disease in the gut. Because our approach is based on local delivery to the site of inflammation and not on systemic administration, we anticipate that our Synthetic Biotics may offer an attractive safety profile in this therapeutic category, where safety is a particularly desirable attribute in a product profile compared to options available today.</w:t>
      </w:r>
    </w:p>
    <w:p>
      <w:pPr>
        <w:spacing w:after="0" w:line="220" w:lineRule="exact"/>
        <w:rPr>
          <w:sz w:val="20"/>
          <w:szCs w:val="20"/>
          <w:color w:val="auto"/>
        </w:rPr>
      </w:pPr>
    </w:p>
    <w:p>
      <w:pPr>
        <w:jc w:val="both"/>
        <w:ind w:right="220" w:firstLine="510"/>
        <w:spacing w:after="0" w:line="266" w:lineRule="auto"/>
        <w:rPr>
          <w:sz w:val="20"/>
          <w:szCs w:val="20"/>
          <w:color w:val="auto"/>
        </w:rPr>
      </w:pPr>
      <w:r>
        <w:rPr>
          <w:rFonts w:ascii="Times New Roman" w:cs="Times New Roman" w:eastAsia="Times New Roman" w:hAnsi="Times New Roman"/>
          <w:sz w:val="18"/>
          <w:szCs w:val="18"/>
          <w:color w:val="auto"/>
        </w:rPr>
        <w:t>In November 2021, we announced that we are not planning further studies for immuno-oncology, allowing us to focus on advancing a portfolio of investigational Synthetic Biotics that are orally administrated, and developed for diseases which, similar to PKU and enteric hyperoxaluria, have a toxic metabolite found in the GI tract.</w:t>
      </w:r>
    </w:p>
    <w:p>
      <w:pPr>
        <w:spacing w:after="0" w:line="216" w:lineRule="exact"/>
        <w:rPr>
          <w:sz w:val="20"/>
          <w:szCs w:val="20"/>
          <w:color w:val="auto"/>
        </w:rPr>
      </w:pPr>
    </w:p>
    <w:p>
      <w:pPr>
        <w:ind w:right="340" w:firstLine="510"/>
        <w:spacing w:after="0" w:line="282" w:lineRule="auto"/>
        <w:rPr>
          <w:sz w:val="20"/>
          <w:szCs w:val="20"/>
          <w:color w:val="auto"/>
        </w:rPr>
      </w:pPr>
      <w:r>
        <w:rPr>
          <w:rFonts w:ascii="Times New Roman" w:cs="Times New Roman" w:eastAsia="Times New Roman" w:hAnsi="Times New Roman"/>
          <w:sz w:val="18"/>
          <w:szCs w:val="18"/>
          <w:color w:val="auto"/>
        </w:rPr>
        <w:t>In May 2020, we announced the termination of our collaboration with AbbVie S.à.r.l. (AbbVie) to develop Synthetic Biotics for the treatment of types of IBD, including Crohn’s disease and ulcerative colitis. Upon termination, we regained all rights to develop</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17" w:name="page18"/>
    <w:bookmarkEnd w:id="17"/>
    <w:p>
      <w:pPr>
        <w:spacing w:after="0" w:line="289" w:lineRule="auto"/>
        <w:rPr>
          <w:sz w:val="20"/>
          <w:szCs w:val="20"/>
          <w:color w:val="auto"/>
        </w:rPr>
      </w:pPr>
      <w:r>
        <w:rPr>
          <w:rFonts w:ascii="Times New Roman" w:cs="Times New Roman" w:eastAsia="Times New Roman" w:hAnsi="Times New Roman"/>
          <w:sz w:val="17"/>
          <w:szCs w:val="17"/>
          <w:color w:val="auto"/>
        </w:rPr>
        <w:t>these and new IBD Synthetic Biotics for all effectors targeting IBD. This allows us to fully leverage our expertise in strain engineering, quantitative biology, regulatory, and manufacturing to expand our wholly owned GI-based program portfolio to include IBD. We further regained the rights to partner these IBD programs. We may enter into additional strategic alliances in the future to maximize the value of our programs and our Synthetic Biotic platform.</w:t>
      </w:r>
    </w:p>
    <w:p>
      <w:pPr>
        <w:spacing w:after="0" w:line="185" w:lineRule="exact"/>
        <w:rPr>
          <w:sz w:val="20"/>
          <w:szCs w:val="20"/>
          <w:color w:val="auto"/>
        </w:rPr>
      </w:pPr>
    </w:p>
    <w:p>
      <w:pPr>
        <w:ind w:right="420" w:firstLine="510"/>
        <w:spacing w:after="0" w:line="255" w:lineRule="auto"/>
        <w:rPr>
          <w:sz w:val="20"/>
          <w:szCs w:val="20"/>
          <w:color w:val="auto"/>
        </w:rPr>
      </w:pPr>
      <w:r>
        <w:rPr>
          <w:rFonts w:ascii="Times New Roman" w:cs="Times New Roman" w:eastAsia="Times New Roman" w:hAnsi="Times New Roman"/>
          <w:sz w:val="18"/>
          <w:szCs w:val="18"/>
          <w:color w:val="auto"/>
        </w:rPr>
        <w:t>We developed a portfolio of Synthetic Biotics to treat certain cancers which were designed to modify the tumor microenvironment, activate the immune system and result in tumor reduction. These Synthetic Biotics could be used in combination with other cancer therapies such as checkpoint inhibitors. Our Synthetic Biotic clinical immuno-oncology (IO) candidate is SYNB1891, an intratumorally administered Synthetic Biotic medicine engineered to act as a dual innate and adaptive immune activator. On November 10, 2021, we announced that our Phase 1 trial of</w:t>
      </w:r>
    </w:p>
    <w:p>
      <w:pPr>
        <w:spacing w:after="0" w:line="3"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373737"/>
        </w:rPr>
        <w:t>SYNB1891 in combination with PD-L1 checkpoint inhibitor patients with advanced solid tumors or lymphoma had completed enrollment and no further studies are planned for SYNB1891.</w:t>
      </w:r>
    </w:p>
    <w:p>
      <w:pPr>
        <w:spacing w:after="0" w:line="181" w:lineRule="exact"/>
        <w:rPr>
          <w:sz w:val="20"/>
          <w:szCs w:val="20"/>
          <w:color w:val="auto"/>
        </w:rPr>
      </w:pPr>
    </w:p>
    <w:p>
      <w:pPr>
        <w:ind w:right="40" w:firstLine="510"/>
        <w:spacing w:after="0" w:line="258" w:lineRule="auto"/>
        <w:rPr>
          <w:sz w:val="20"/>
          <w:szCs w:val="20"/>
          <w:color w:val="auto"/>
        </w:rPr>
      </w:pPr>
      <w:r>
        <w:rPr>
          <w:rFonts w:ascii="Times New Roman" w:cs="Times New Roman" w:eastAsia="Times New Roman" w:hAnsi="Times New Roman"/>
          <w:sz w:val="18"/>
          <w:szCs w:val="18"/>
          <w:color w:val="auto"/>
        </w:rPr>
        <w:t>We currently operate in one reportable business segment—the discovery and development of Synthetic Biotics. To date, we have dedicated substantially all of our activities to the research and development of our product candidates. As of March 31, 2022, we have received approximately $426.1 million in proceeds as we financed our operations primarily through the sale of preferred stock, common stock, preferred units, warrants, payments received under the Roche Collaboration and Option agreement, the AbbVie collaboration agreement, interest earned on investments, and cash received in the Merger.</w:t>
      </w:r>
    </w:p>
    <w:p>
      <w:pPr>
        <w:spacing w:after="0" w:line="183" w:lineRule="exact"/>
        <w:rPr>
          <w:sz w:val="20"/>
          <w:szCs w:val="20"/>
          <w:color w:val="auto"/>
        </w:rPr>
      </w:pPr>
    </w:p>
    <w:p>
      <w:pPr>
        <w:jc w:val="both"/>
        <w:ind w:right="80" w:firstLine="510"/>
        <w:spacing w:after="0" w:line="261" w:lineRule="auto"/>
        <w:rPr>
          <w:sz w:val="20"/>
          <w:szCs w:val="20"/>
          <w:color w:val="auto"/>
        </w:rPr>
      </w:pPr>
      <w:r>
        <w:rPr>
          <w:rFonts w:ascii="Times New Roman" w:cs="Times New Roman" w:eastAsia="Times New Roman" w:hAnsi="Times New Roman"/>
          <w:sz w:val="18"/>
          <w:szCs w:val="18"/>
          <w:color w:val="auto"/>
        </w:rPr>
        <w:t>We have not generated any revenue to date from product sales and have incurred significant operating losses since our inception. We have incurred net losses of approximately $15.7 million and $15.0 million for the three months ended March 31, 2022 and 2021, respectively. As of March 31, 2022, we had an accumulated deficit of approximately $306.6 million, and we expect to incur losses for the foreseeable future as we develop our product candidates. We expect our expenses and capital requirements will increase substantially in connection with our ongoing activities, as we:</w:t>
      </w:r>
    </w:p>
    <w:p>
      <w:pPr>
        <w:spacing w:after="0" w:line="72" w:lineRule="exact"/>
        <w:rPr>
          <w:sz w:val="20"/>
          <w:szCs w:val="20"/>
          <w:color w:val="auto"/>
        </w:rPr>
      </w:pPr>
    </w:p>
    <w:p>
      <w:pPr>
        <w:ind w:left="1000" w:hanging="493"/>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preclinical studies, initiate and complete clinical trials for product candidates;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to manufacture product candidates or manufacture product candidates internally;</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research and development related activities to expand our product pipeline;</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 for our product candidates;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staff, including clinical, scientific, commercial, and management personnel;</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existing infrastructure and secure space in a facility to support continued growth in our research and development efforts; and</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and finance personnel to support product development efforts and to support operating as a public company.</w:t>
      </w:r>
    </w:p>
    <w:p>
      <w:pPr>
        <w:spacing w:after="0" w:line="225" w:lineRule="exact"/>
        <w:rPr>
          <w:sz w:val="20"/>
          <w:szCs w:val="20"/>
          <w:color w:val="auto"/>
        </w:rPr>
      </w:pPr>
    </w:p>
    <w:p>
      <w:pPr>
        <w:ind w:right="100" w:firstLine="510"/>
        <w:spacing w:after="0" w:line="254" w:lineRule="auto"/>
        <w:rPr>
          <w:sz w:val="20"/>
          <w:szCs w:val="20"/>
          <w:color w:val="auto"/>
        </w:rPr>
      </w:pPr>
      <w:r>
        <w:rPr>
          <w:rFonts w:ascii="Times New Roman" w:cs="Times New Roman" w:eastAsia="Times New Roman" w:hAnsi="Times New Roman"/>
          <w:sz w:val="18"/>
          <w:szCs w:val="18"/>
          <w:color w:val="auto"/>
        </w:rPr>
        <w:t>We do not expect to generate product revenue unless and until we successfully complete clinical development and obtain regulatory approvals for our product candidates, either alone or in collaboration with third parties. Additionally, we expect to utilize third-party contract research organizations (CROs) and contract manufacturing organizations (CMOs) to carry out our clinical development and manufacturing activities, and we do not yet have a commercial organization. If we obtain regulatory approval for any of our product candidates, we expect to incur significant expenses related to developing our internal commercialization capability to support product sales, marketing and distribution. Accordingly, we anticipate that we will seek to fund our operations through public or private equity or debt financings, collaborations or licenses, finance lease transactions or other available financing transactions. However, we may be unable to raise additional funds through these or other means when needed. Because of the numerous risks and uncertainties associated with product development, we are unable to predict the timing or amount of increased expenses or when or if it will be able to achieve or maintain profitability. Even if we are able to generate product revenue, we may not become profitable.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the COVID-19 pandemic on our business</w:t>
      </w:r>
    </w:p>
    <w:p>
      <w:pPr>
        <w:spacing w:after="0" w:line="121" w:lineRule="exact"/>
        <w:rPr>
          <w:sz w:val="20"/>
          <w:szCs w:val="20"/>
          <w:color w:val="auto"/>
        </w:rPr>
      </w:pPr>
    </w:p>
    <w:p>
      <w:pPr>
        <w:jc w:val="both"/>
        <w:ind w:right="220" w:firstLine="510"/>
        <w:spacing w:after="0" w:line="256" w:lineRule="auto"/>
        <w:rPr>
          <w:sz w:val="20"/>
          <w:szCs w:val="20"/>
          <w:color w:val="auto"/>
        </w:rPr>
      </w:pPr>
      <w:r>
        <w:rPr>
          <w:rFonts w:ascii="Times New Roman" w:cs="Times New Roman" w:eastAsia="Times New Roman" w:hAnsi="Times New Roman"/>
          <w:sz w:val="18"/>
          <w:szCs w:val="18"/>
          <w:color w:val="auto"/>
        </w:rPr>
        <w:t>The COVID-19 pandemic continues to affect economies and business around the world. The extent and duration of such effects remain uncertain and difficult to predict, particularly as virus variants continue to spread. We are actively monitoring and managing our response and assessing actual and potential impacts to our operating results and financial condition, as well as developments in our business, which could further impact the developments, trends and expectations described below. See the risk factor titled, “</w:t>
      </w:r>
      <w:r>
        <w:rPr>
          <w:rFonts w:ascii="Times New Roman" w:cs="Times New Roman" w:eastAsia="Times New Roman" w:hAnsi="Times New Roman"/>
          <w:sz w:val="18"/>
          <w:szCs w:val="18"/>
          <w:color w:val="212529"/>
        </w:rPr>
        <w:t>A pandemic, epidemic, or outbreak of an infectious disease, such as COVID-19 may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materially and adversely affect our business and our financial results.” described in </w:t>
      </w:r>
      <w:r>
        <w:rPr>
          <w:rFonts w:ascii="Times New Roman" w:cs="Times New Roman" w:eastAsia="Times New Roman" w:hAnsi="Times New Roman"/>
          <w:sz w:val="18"/>
          <w:szCs w:val="18"/>
          <w:color w:val="000000"/>
        </w:rPr>
        <w:t>“Risk Factors” in Part II, Item 1A, found elsewhere in this Quarterly</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Report on Form 10-Q.</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t>Effects of Inflation</w:t>
      </w:r>
    </w:p>
    <w:p>
      <w:pPr>
        <w:spacing w:after="0" w:line="121" w:lineRule="exact"/>
        <w:rPr>
          <w:sz w:val="20"/>
          <w:szCs w:val="20"/>
          <w:color w:val="auto"/>
        </w:rPr>
      </w:pPr>
    </w:p>
    <w:p>
      <w:pPr>
        <w:ind w:right="140" w:firstLine="510"/>
        <w:spacing w:after="0" w:line="255" w:lineRule="auto"/>
        <w:rPr>
          <w:sz w:val="20"/>
          <w:szCs w:val="20"/>
          <w:color w:val="auto"/>
        </w:rPr>
      </w:pPr>
      <w:r>
        <w:rPr>
          <w:rFonts w:ascii="Times New Roman" w:cs="Times New Roman" w:eastAsia="Times New Roman" w:hAnsi="Times New Roman"/>
          <w:sz w:val="18"/>
          <w:szCs w:val="18"/>
          <w:color w:val="auto"/>
        </w:rPr>
        <w:t>We do not believe that inflation has had a material impact on our business or operating results during the periods presented. However, inflation, led by supply constraints, federal stimulus funding, increases to household savings, and the sudden macroeconomic shift in activity levels arising from the loosening or removal of many government restrictions and the broader availability of COVID-19 vaccines, has had, and may continue to have, an impact on the labor costs we incur to attract and retain qualified personnel, costs to conduct clinical trials and other operational costs. Inflationary costs could adversely affect our business, financial condition and results of operations. In addition, increased inflation has had, and may continue to have, an effect on interest rates. Increased interest rates may adversely affect our borrowing rate and our ability to obtain, or the terms under which we can obtain, any potential additional funding.</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20" w:firstLine="510"/>
        <w:spacing w:after="0" w:line="256" w:lineRule="auto"/>
        <w:rPr>
          <w:sz w:val="20"/>
          <w:szCs w:val="20"/>
          <w:color w:val="auto"/>
        </w:rPr>
      </w:pPr>
      <w:r>
        <w:rPr>
          <w:rFonts w:ascii="Times New Roman" w:cs="Times New Roman" w:eastAsia="Times New Roman" w:hAnsi="Times New Roman"/>
          <w:sz w:val="18"/>
          <w:szCs w:val="18"/>
          <w:color w:val="auto"/>
        </w:rPr>
        <w:t xml:space="preserve">Revenue for the three months ended March 31, 2022 was generated from our collaboration agreement with Roche. In June 2021, we announced that we entered into the Roche Collaboration and Option Agreement for the discovery of novel Synthetic Biotics for the treatment of IBD. The collaboration agreement contains multiple deliverables, which include an exclusive option for Roche to negotiate a definitive collaboration and license agreement for further development of the Product Candidate and acquire research and development milestones. See Note 9, </w:t>
      </w:r>
      <w:r>
        <w:rPr>
          <w:rFonts w:ascii="Times New Roman" w:cs="Times New Roman" w:eastAsia="Times New Roman" w:hAnsi="Times New Roman"/>
          <w:sz w:val="18"/>
          <w:szCs w:val="18"/>
          <w:i w:val="1"/>
          <w:iCs w:val="1"/>
          <w:color w:val="auto"/>
        </w:rPr>
        <w:t>Collaboration Agreements: Roche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Collaboration </w:t>
      </w:r>
      <w:r>
        <w:rPr>
          <w:rFonts w:ascii="Times New Roman" w:cs="Times New Roman" w:eastAsia="Times New Roman" w:hAnsi="Times New Roman"/>
          <w:sz w:val="18"/>
          <w:szCs w:val="18"/>
          <w:color w:val="auto"/>
        </w:rPr>
        <w:t>in the notes to the unaudited consolidated financial statements appearing elsewhere in this Quarterly Report on Form 10-Q for a full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discussion of the arrangement.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121" w:lineRule="exact"/>
        <w:rPr>
          <w:sz w:val="20"/>
          <w:szCs w:val="20"/>
          <w:color w:val="auto"/>
        </w:rPr>
      </w:pPr>
    </w:p>
    <w:p>
      <w:pPr>
        <w:ind w:right="420" w:firstLine="510"/>
        <w:spacing w:after="0" w:line="266" w:lineRule="auto"/>
        <w:rPr>
          <w:sz w:val="20"/>
          <w:szCs w:val="20"/>
          <w:color w:val="auto"/>
        </w:rPr>
      </w:pPr>
      <w:r>
        <w:rPr>
          <w:rFonts w:ascii="Times New Roman" w:cs="Times New Roman" w:eastAsia="Times New Roman" w:hAnsi="Times New Roman"/>
          <w:sz w:val="18"/>
          <w:szCs w:val="18"/>
          <w:color w:val="auto"/>
        </w:rPr>
        <w:t>Research and development expense consists of expenses incurred in connection with the discovery and development of our product candidates, including the conduct of preclinical and clinical studies and product development, which are expensed as they are incurred. These expenses consist primarily of:</w:t>
      </w:r>
    </w:p>
    <w:p>
      <w:pPr>
        <w:spacing w:after="0" w:line="68" w:lineRule="exact"/>
        <w:rPr>
          <w:sz w:val="20"/>
          <w:szCs w:val="20"/>
          <w:color w:val="auto"/>
        </w:rPr>
      </w:pPr>
    </w:p>
    <w:p>
      <w:pPr>
        <w:ind w:left="1000" w:hanging="493"/>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benefits and other employee related expenses;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supplies to support our internal research and development efforts;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related facility and depreciation costs;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leased manufacturing space; and</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contract costs relating to research, process and formulation development, preclinical and clinical studies and regulatory operations.</w:t>
      </w:r>
    </w:p>
    <w:p>
      <w:pPr>
        <w:spacing w:after="0" w:line="225" w:lineRule="exact"/>
        <w:rPr>
          <w:sz w:val="20"/>
          <w:szCs w:val="20"/>
          <w:color w:val="auto"/>
        </w:rPr>
      </w:pPr>
    </w:p>
    <w:p>
      <w:pPr>
        <w:ind w:right="20" w:firstLine="510"/>
        <w:spacing w:after="0" w:line="261" w:lineRule="auto"/>
        <w:rPr>
          <w:sz w:val="20"/>
          <w:szCs w:val="20"/>
          <w:color w:val="auto"/>
        </w:rPr>
      </w:pPr>
      <w:r>
        <w:rPr>
          <w:rFonts w:ascii="Times New Roman" w:cs="Times New Roman" w:eastAsia="Times New Roman" w:hAnsi="Times New Roman"/>
          <w:sz w:val="18"/>
          <w:szCs w:val="18"/>
          <w:color w:val="auto"/>
        </w:rPr>
        <w:t>The lengthy process of securing regulatory approvals for new drugs requires the expenditure of substantial resources. Any delay or failure to obtain regulatory approvals would materially adversely affect our product candidate development efforts and our business overall. Given the inherent uncertainties of pharmaceutical product development, we cannot estimate with any degree of certainty the likelihood, timing or cost of obtaining regulatory approval and marketing our product candidates and thus, when, if ever, our product candidates will generate revenues and cash flows.</w:t>
      </w:r>
    </w:p>
    <w:p>
      <w:pPr>
        <w:spacing w:after="0" w:line="180" w:lineRule="exact"/>
        <w:rPr>
          <w:sz w:val="20"/>
          <w:szCs w:val="20"/>
          <w:color w:val="auto"/>
        </w:rPr>
      </w:pPr>
    </w:p>
    <w:p>
      <w:pPr>
        <w:ind w:right="560" w:firstLine="510"/>
        <w:spacing w:after="0" w:line="282" w:lineRule="auto"/>
        <w:rPr>
          <w:sz w:val="20"/>
          <w:szCs w:val="20"/>
          <w:color w:val="auto"/>
        </w:rPr>
      </w:pPr>
      <w:r>
        <w:rPr>
          <w:rFonts w:ascii="Times New Roman" w:cs="Times New Roman" w:eastAsia="Times New Roman" w:hAnsi="Times New Roman"/>
          <w:sz w:val="18"/>
          <w:szCs w:val="18"/>
          <w:color w:val="auto"/>
        </w:rPr>
        <w:t xml:space="preserve">The successful development of our product candidates is highly uncertain and subject to a number of risks. Refer to the risk factors under the heading </w:t>
      </w:r>
      <w:r>
        <w:rPr>
          <w:rFonts w:ascii="Times New Roman" w:cs="Times New Roman" w:eastAsia="Times New Roman" w:hAnsi="Times New Roman"/>
          <w:sz w:val="18"/>
          <w:szCs w:val="18"/>
          <w:i w:val="1"/>
          <w:iCs w:val="1"/>
          <w:color w:val="auto"/>
        </w:rPr>
        <w:t>Risks Related to the Development of Our Product Candidates</w:t>
      </w:r>
      <w:r>
        <w:rPr>
          <w:rFonts w:ascii="Times New Roman" w:cs="Times New Roman" w:eastAsia="Times New Roman" w:hAnsi="Times New Roman"/>
          <w:sz w:val="18"/>
          <w:szCs w:val="18"/>
          <w:color w:val="auto"/>
        </w:rPr>
        <w:t xml:space="preserve"> in Part II, Item 1A, found elsewhere in this Quarterly Report on Form 10-Q.</w:t>
      </w:r>
    </w:p>
    <w:p>
      <w:pPr>
        <w:spacing w:after="0" w:line="162" w:lineRule="exact"/>
        <w:rPr>
          <w:sz w:val="20"/>
          <w:szCs w:val="20"/>
          <w:color w:val="auto"/>
        </w:rPr>
      </w:pPr>
    </w:p>
    <w:p>
      <w:pPr>
        <w:ind w:right="40" w:firstLine="510"/>
        <w:spacing w:after="0" w:line="256" w:lineRule="auto"/>
        <w:rPr>
          <w:sz w:val="20"/>
          <w:szCs w:val="20"/>
          <w:color w:val="auto"/>
        </w:rPr>
      </w:pPr>
      <w:r>
        <w:rPr>
          <w:rFonts w:ascii="Times New Roman" w:cs="Times New Roman" w:eastAsia="Times New Roman" w:hAnsi="Times New Roman"/>
          <w:sz w:val="18"/>
          <w:szCs w:val="18"/>
          <w:color w:val="auto"/>
        </w:rPr>
        <w:t>We invest carefully in our pipeline, and the commitment of funding for each subsequent stage of our development programs is dependent upon the receipt of clear, supportive data. We anticipate that we will make determinations as to which additional programs to pursue and how much funding to direct to each program on an ongoing basis in response to the scientific and clinical data of each product candidate, as well as the competitive landscape and ongoing assessments of such product candidate’s commercial potential. We expect our research and development costs will be substantial for the foreseeable future. We expect costs associated with our drug development candidates to increase as the programs progress through clinical trials and new programs progress toward IND and into development.</w:t>
      </w:r>
    </w:p>
    <w:p>
      <w:pPr>
        <w:spacing w:after="0" w:line="187" w:lineRule="exact"/>
        <w:rPr>
          <w:sz w:val="20"/>
          <w:szCs w:val="20"/>
          <w:color w:val="auto"/>
        </w:rPr>
      </w:pPr>
    </w:p>
    <w:p>
      <w:pPr>
        <w:ind w:right="40" w:firstLine="510"/>
        <w:spacing w:after="0" w:line="258" w:lineRule="auto"/>
        <w:rPr>
          <w:sz w:val="20"/>
          <w:szCs w:val="20"/>
          <w:color w:val="auto"/>
        </w:rPr>
      </w:pPr>
      <w:r>
        <w:rPr>
          <w:rFonts w:ascii="Times New Roman" w:cs="Times New Roman" w:eastAsia="Times New Roman" w:hAnsi="Times New Roman"/>
          <w:sz w:val="18"/>
          <w:szCs w:val="18"/>
          <w:color w:val="auto"/>
        </w:rPr>
        <w:t>We track direct research and development expenses, consisting principally of external costs, such as costs associated with contract research organizations and manufacturing of preclinical and clinical drug product and other outsourced research and development expenses to specific product programs. Costs related to specific product candidates are tracked upon the selection of a product candidate. We do not allocate employee and consulting-related costs, costs associated with our platform and facility expenses, including depreciation or other indirect costs, to specific product candidate programs because these costs are deployed across multiple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9" w:name="page20"/>
    <w:bookmarkEnd w:id="19"/>
    <w:p>
      <w:pPr>
        <w:ind w:right="720"/>
        <w:spacing w:after="0" w:line="282" w:lineRule="auto"/>
        <w:rPr>
          <w:sz w:val="20"/>
          <w:szCs w:val="20"/>
          <w:color w:val="auto"/>
        </w:rPr>
      </w:pPr>
      <w:r>
        <w:rPr>
          <w:rFonts w:ascii="Times New Roman" w:cs="Times New Roman" w:eastAsia="Times New Roman" w:hAnsi="Times New Roman"/>
          <w:sz w:val="18"/>
          <w:szCs w:val="18"/>
          <w:color w:val="auto"/>
        </w:rPr>
        <w:t>product candidate programs under research and development and, as such, are separately classified. The table below summarizes our research and development expenses by categories of costs for the periods presented (in thousands):</w:t>
      </w:r>
    </w:p>
    <w:p>
      <w:pPr>
        <w:spacing w:after="0" w:line="236"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57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5720" w:type="dxa"/>
            <w:vAlign w:val="bottom"/>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3"/>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1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5720" w:type="dxa"/>
            <w:vAlign w:val="bottom"/>
            <w:tcBorders>
              <w:bottom w:val="single" w:sz="8" w:color="CFF0FC"/>
            </w:tcBorders>
          </w:tcPr>
          <w:p>
            <w:pPr>
              <w:spacing w:after="0"/>
              <w:rPr>
                <w:sz w:val="13"/>
                <w:szCs w:val="13"/>
                <w:color w:val="auto"/>
              </w:rPr>
            </w:pPr>
          </w:p>
        </w:tc>
        <w:tc>
          <w:tcPr>
            <w:tcW w:w="11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780" w:type="dxa"/>
            <w:vAlign w:val="bottom"/>
            <w:tcBorders>
              <w:bottom w:val="single" w:sz="8" w:color="auto"/>
            </w:tcBorders>
          </w:tcPr>
          <w:p>
            <w:pPr>
              <w:spacing w:after="0"/>
              <w:rPr>
                <w:sz w:val="13"/>
                <w:szCs w:val="13"/>
                <w:color w:val="auto"/>
              </w:rPr>
            </w:pPr>
          </w:p>
        </w:tc>
        <w:tc>
          <w:tcPr>
            <w:tcW w:w="340" w:type="dxa"/>
            <w:vAlign w:val="bottom"/>
            <w:tcBorders>
              <w:bottom w:val="single" w:sz="8" w:color="CFF0FC"/>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752"/>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SYNB1618</w:t>
            </w:r>
          </w:p>
        </w:tc>
        <w:tc>
          <w:tcPr>
            <w:tcW w:w="1180" w:type="dxa"/>
            <w:vAlign w:val="bottom"/>
            <w:shd w:val="clear" w:color="auto" w:fill="CFF0FC"/>
          </w:tcPr>
          <w:p>
            <w:pPr>
              <w:jc w:val="right"/>
              <w:ind w:right="1020"/>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34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61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20" w:type="dxa"/>
            <w:vAlign w:val="bottom"/>
          </w:tcPr>
          <w:p>
            <w:pPr>
              <w:spacing w:after="0"/>
              <w:rPr>
                <w:sz w:val="20"/>
                <w:szCs w:val="20"/>
                <w:color w:val="auto"/>
              </w:rPr>
            </w:pPr>
            <w:r>
              <w:rPr>
                <w:rFonts w:ascii="Times New Roman" w:cs="Times New Roman" w:eastAsia="Times New Roman" w:hAnsi="Times New Roman"/>
                <w:sz w:val="16"/>
                <w:szCs w:val="16"/>
                <w:color w:val="auto"/>
              </w:rPr>
              <w:t>SYNB1934</w:t>
            </w:r>
          </w:p>
        </w:tc>
        <w:tc>
          <w:tcPr>
            <w:tcW w:w="1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SYNB8802</w:t>
            </w:r>
          </w:p>
        </w:tc>
        <w:tc>
          <w:tcPr>
            <w:tcW w:w="1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3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20" w:type="dxa"/>
            <w:vAlign w:val="bottom"/>
          </w:tcPr>
          <w:p>
            <w:pPr>
              <w:spacing w:after="0"/>
              <w:rPr>
                <w:sz w:val="20"/>
                <w:szCs w:val="20"/>
                <w:color w:val="auto"/>
              </w:rPr>
            </w:pPr>
            <w:r>
              <w:rPr>
                <w:rFonts w:ascii="Times New Roman" w:cs="Times New Roman" w:eastAsia="Times New Roman" w:hAnsi="Times New Roman"/>
                <w:sz w:val="16"/>
                <w:szCs w:val="16"/>
                <w:color w:val="auto"/>
              </w:rPr>
              <w:t>SYNB1891</w:t>
            </w:r>
          </w:p>
        </w:tc>
        <w:tc>
          <w:tcPr>
            <w:tcW w:w="1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External pre-development candidate expenses</w:t>
            </w:r>
          </w:p>
        </w:tc>
        <w:tc>
          <w:tcPr>
            <w:tcW w:w="1180" w:type="dxa"/>
            <w:vAlign w:val="bottom"/>
            <w:shd w:val="clear" w:color="auto" w:fill="CFF0FC"/>
          </w:tcPr>
          <w:p>
            <w:pPr>
              <w:spacing w:after="0"/>
              <w:rPr>
                <w:sz w:val="17"/>
                <w:szCs w:val="17"/>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1,551</w:t>
            </w:r>
          </w:p>
        </w:tc>
        <w:tc>
          <w:tcPr>
            <w:tcW w:w="3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and unallocated expenses</w:t>
            </w:r>
          </w:p>
        </w:tc>
        <w:tc>
          <w:tcPr>
            <w:tcW w:w="1180" w:type="dxa"/>
            <w:vAlign w:val="bottom"/>
            <w:shd w:val="clear" w:color="auto" w:fill="CFF0FC"/>
          </w:tcPr>
          <w:p>
            <w:pPr>
              <w:spacing w:after="0"/>
              <w:rPr>
                <w:sz w:val="18"/>
                <w:szCs w:val="18"/>
                <w:color w:val="auto"/>
              </w:rPr>
            </w:pPr>
          </w:p>
        </w:tc>
        <w:tc>
          <w:tcPr>
            <w:tcW w:w="780" w:type="dxa"/>
            <w:vAlign w:val="bottom"/>
            <w:vMerge w:val="continue"/>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180" w:type="dxa"/>
            <w:vAlign w:val="bottom"/>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20" w:type="dxa"/>
            <w:vAlign w:val="bottom"/>
          </w:tcPr>
          <w:p>
            <w:pPr>
              <w:spacing w:after="0"/>
              <w:rPr>
                <w:sz w:val="20"/>
                <w:szCs w:val="20"/>
                <w:color w:val="auto"/>
              </w:rPr>
            </w:pPr>
            <w:r>
              <w:rPr>
                <w:rFonts w:ascii="Times New Roman" w:cs="Times New Roman" w:eastAsia="Times New Roman" w:hAnsi="Times New Roman"/>
                <w:sz w:val="16"/>
                <w:szCs w:val="16"/>
                <w:color w:val="auto"/>
              </w:rPr>
              <w:t>Internal research and development expenses</w:t>
            </w:r>
          </w:p>
        </w:tc>
        <w:tc>
          <w:tcPr>
            <w:tcW w:w="1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7,556</w:t>
            </w:r>
          </w:p>
        </w:tc>
        <w:tc>
          <w:tcPr>
            <w:tcW w:w="34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20" w:type="dxa"/>
            <w:vAlign w:val="bottom"/>
          </w:tcPr>
          <w:p>
            <w:pPr>
              <w:spacing w:after="0"/>
              <w:rPr>
                <w:sz w:val="19"/>
                <w:szCs w:val="19"/>
                <w:color w:val="auto"/>
              </w:rPr>
            </w:pPr>
          </w:p>
        </w:tc>
        <w:tc>
          <w:tcPr>
            <w:tcW w:w="1180" w:type="dxa"/>
            <w:vAlign w:val="bottom"/>
            <w:tcBorders>
              <w:bottom w:val="single" w:sz="8" w:color="auto"/>
            </w:tcBorders>
          </w:tcPr>
          <w:p>
            <w:pPr>
              <w:jc w:val="right"/>
              <w:ind w:right="1020"/>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11,738</w:t>
            </w:r>
          </w:p>
        </w:tc>
        <w:tc>
          <w:tcPr>
            <w:tcW w:w="340" w:type="dxa"/>
            <w:vAlign w:val="bottom"/>
          </w:tcPr>
          <w:p>
            <w:pPr>
              <w:spacing w:after="0"/>
              <w:rPr>
                <w:sz w:val="19"/>
                <w:szCs w:val="19"/>
                <w:color w:val="auto"/>
              </w:rPr>
            </w:pPr>
          </w:p>
        </w:tc>
        <w:tc>
          <w:tcPr>
            <w:tcW w:w="78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w:t>
      </w:r>
    </w:p>
    <w:p>
      <w:pPr>
        <w:spacing w:after="0" w:line="229" w:lineRule="exact"/>
        <w:rPr>
          <w:sz w:val="20"/>
          <w:szCs w:val="20"/>
          <w:color w:val="auto"/>
        </w:rPr>
      </w:pPr>
    </w:p>
    <w:p>
      <w:pPr>
        <w:ind w:right="20" w:firstLine="510"/>
        <w:spacing w:after="0" w:line="255" w:lineRule="auto"/>
        <w:rPr>
          <w:sz w:val="20"/>
          <w:szCs w:val="20"/>
          <w:color w:val="auto"/>
        </w:rPr>
      </w:pPr>
      <w:r>
        <w:rPr>
          <w:rFonts w:ascii="Times New Roman" w:cs="Times New Roman" w:eastAsia="Times New Roman" w:hAnsi="Times New Roman"/>
          <w:sz w:val="18"/>
          <w:szCs w:val="18"/>
          <w:color w:val="auto"/>
        </w:rPr>
        <w:t>General and administrative expense consists primarily of compensation, benefits and other employee-related expenses for personnel in our administrative, finance, legal, information technology, investor relations, business development and human resource functions. Other general and administrative costs include the legal costs of pursuing patent protection of our intellectual property, facility and information technology infrastructure costs, directors’ and officers’ insurance, and professional fees for accounting, tax, legal and consulting services. We anticipate that our general and administrative expenses will increase in the future as we support our continued research and development and potential commercialization of our product candidates. Additionally, if and when we believe a regulatory approval of the first product candidate appears likely, we anticipate an increase in payroll and related expenses as a result of our preparation for commercial operations, especially as it relates to the sales and marketing of our product candidates.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21" w:lineRule="exact"/>
        <w:rPr>
          <w:sz w:val="20"/>
          <w:szCs w:val="20"/>
          <w:color w:val="auto"/>
        </w:rPr>
      </w:pPr>
    </w:p>
    <w:p>
      <w:pPr>
        <w:ind w:right="160" w:firstLine="510"/>
        <w:spacing w:after="0" w:line="282" w:lineRule="auto"/>
        <w:rPr>
          <w:sz w:val="20"/>
          <w:szCs w:val="20"/>
          <w:color w:val="auto"/>
        </w:rPr>
      </w:pPr>
      <w:r>
        <w:rPr>
          <w:rFonts w:ascii="Times New Roman" w:cs="Times New Roman" w:eastAsia="Times New Roman" w:hAnsi="Times New Roman"/>
          <w:sz w:val="18"/>
          <w:szCs w:val="18"/>
          <w:color w:val="auto"/>
        </w:rPr>
        <w:t>Interest and investment income consists of income earned on investments. Interest expense consists of expense related to our finance leases. Other expense consists primarily of gains and losses on foreign currency invoices.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280" w:firstLine="510"/>
        <w:spacing w:after="0" w:line="261"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is based upon our consolidated financial statements prepared in accordance with generally accepted accounting principles in the U.S. (GAAP). The preparation of these financial statements requires us to make certain estimates and assumptions that affect the reported amounts of assets and liabilities, the reported amounts of revenues and expenses during the reported periods and related disclosures.</w:t>
      </w:r>
    </w:p>
    <w:p>
      <w:pPr>
        <w:spacing w:after="0" w:line="180" w:lineRule="exact"/>
        <w:rPr>
          <w:sz w:val="20"/>
          <w:szCs w:val="20"/>
          <w:color w:val="auto"/>
        </w:rPr>
      </w:pPr>
    </w:p>
    <w:p>
      <w:pPr>
        <w:ind w:firstLine="510"/>
        <w:spacing w:after="0" w:line="266" w:lineRule="auto"/>
        <w:rPr>
          <w:sz w:val="20"/>
          <w:szCs w:val="20"/>
          <w:color w:val="auto"/>
        </w:rPr>
      </w:pPr>
      <w:r>
        <w:rPr>
          <w:rFonts w:ascii="Times New Roman" w:cs="Times New Roman" w:eastAsia="Times New Roman" w:hAnsi="Times New Roman"/>
          <w:sz w:val="18"/>
          <w:szCs w:val="18"/>
          <w:color w:val="auto"/>
        </w:rPr>
        <w:t>Our critical accounting policies are described in our 2021 Annual Report. During the three months ended March 31, 2022, there were no material changes to our critical accounting policies. We believe that these identified policies are critical to fully understanding and evaluating our financial condition and results of operations.</w:t>
      </w:r>
    </w:p>
    <w:p>
      <w:pPr>
        <w:spacing w:after="0" w:line="176" w:lineRule="exact"/>
        <w:rPr>
          <w:sz w:val="20"/>
          <w:szCs w:val="20"/>
          <w:color w:val="auto"/>
        </w:rPr>
      </w:pPr>
    </w:p>
    <w:p>
      <w:pPr>
        <w:ind w:right="20" w:firstLine="510"/>
        <w:spacing w:after="0" w:line="255" w:lineRule="auto"/>
        <w:rPr>
          <w:sz w:val="20"/>
          <w:szCs w:val="20"/>
          <w:color w:val="auto"/>
        </w:rPr>
      </w:pPr>
      <w:r>
        <w:rPr>
          <w:rFonts w:ascii="Times New Roman" w:cs="Times New Roman" w:eastAsia="Times New Roman" w:hAnsi="Times New Roman"/>
          <w:sz w:val="18"/>
          <w:szCs w:val="18"/>
          <w:color w:val="auto"/>
        </w:rPr>
        <w:t>Our estimates and assumptions, including those related to revenue recognition and research and development expenses are monitored and analyzed by us for changes in facts and circumstances, and material changes in these estimates could occur in the future. The estimates and assumptions involved in our revenue recognition policy, particularly (a) assessing the number of performance obligations; (b) determination of transaction price; (c) determining the pattern over which performance obligations are satisfied, including estimates to complete performance obligations, and those estimates and assumptions involved in our contract research accrual process, particularly estimates of work completed to date; involve a greater degree of judgment, and therefore we consider revenue recognition and research and development expenses to be our critical accounting policies. We evaluate our estimates and assumptions on an ongoing basis. Actual results may differ from our estimates under different assumptions or conditions.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right="340" w:firstLine="510"/>
        <w:spacing w:after="0" w:line="282" w:lineRule="auto"/>
        <w:rPr>
          <w:sz w:val="20"/>
          <w:szCs w:val="20"/>
          <w:color w:val="auto"/>
        </w:rPr>
      </w:pPr>
      <w:r>
        <w:rPr>
          <w:rFonts w:ascii="Times New Roman" w:cs="Times New Roman" w:eastAsia="Times New Roman" w:hAnsi="Times New Roman"/>
          <w:sz w:val="18"/>
          <w:szCs w:val="18"/>
          <w:color w:val="auto"/>
        </w:rPr>
        <w:t>The following discussion summarizes the key factors our management believes are necessary for an understanding of our consolidated financial results.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2022 Compared to Three Months Ended March 31, 2021</w:t>
      </w:r>
    </w:p>
    <w:p>
      <w:pPr>
        <w:spacing w:after="0" w:line="304"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38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00" w:type="dxa"/>
            <w:vAlign w:val="bottom"/>
            <w:tcBorders>
              <w:bottom w:val="single" w:sz="8" w:color="auto"/>
            </w:tcBorders>
          </w:tcPr>
          <w:p>
            <w:pPr>
              <w:spacing w:after="0"/>
              <w:rPr>
                <w:sz w:val="15"/>
                <w:szCs w:val="15"/>
                <w:color w:val="auto"/>
              </w:rPr>
            </w:pPr>
          </w:p>
        </w:tc>
      </w:tr>
      <w:tr>
        <w:trPr>
          <w:trHeight w:val="156"/>
        </w:trPr>
        <w:tc>
          <w:tcPr>
            <w:tcW w:w="38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160" w:type="dxa"/>
            <w:vAlign w:val="bottom"/>
            <w:tcBorders>
              <w:bottom w:val="single" w:sz="8" w:color="auto"/>
            </w:tcBorders>
            <w:gridSpan w:val="2"/>
          </w:tcPr>
          <w:p>
            <w:pPr>
              <w:jc w:val="right"/>
              <w:ind w:right="72"/>
              <w:spacing w:after="0" w:line="155" w:lineRule="exact"/>
              <w:rPr>
                <w:sz w:val="20"/>
                <w:szCs w:val="20"/>
                <w:color w:val="auto"/>
              </w:rPr>
            </w:pPr>
            <w:r>
              <w:rPr>
                <w:rFonts w:ascii="Times New Roman" w:cs="Times New Roman" w:eastAsia="Times New Roman" w:hAnsi="Times New Roman"/>
                <w:sz w:val="14"/>
                <w:szCs w:val="14"/>
                <w:b w:val="1"/>
                <w:bCs w:val="1"/>
                <w:color w:val="auto"/>
              </w:rPr>
              <w:t>March 31, 2022</w:t>
            </w:r>
          </w:p>
        </w:tc>
        <w:tc>
          <w:tcPr>
            <w:tcW w:w="1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3"/>
          </w:tcPr>
          <w:p>
            <w:pPr>
              <w:jc w:val="center"/>
              <w:ind w:right="220"/>
              <w:spacing w:after="0" w:line="155" w:lineRule="exact"/>
              <w:rPr>
                <w:sz w:val="20"/>
                <w:szCs w:val="20"/>
                <w:color w:val="auto"/>
              </w:rPr>
            </w:pPr>
            <w:r>
              <w:rPr>
                <w:rFonts w:ascii="Times New Roman" w:cs="Times New Roman" w:eastAsia="Times New Roman" w:hAnsi="Times New Roman"/>
                <w:sz w:val="14"/>
                <w:szCs w:val="14"/>
                <w:b w:val="1"/>
                <w:bCs w:val="1"/>
                <w:color w:val="auto"/>
              </w:rPr>
              <w:t>March 31, 2021</w:t>
            </w:r>
          </w:p>
        </w:tc>
        <w:tc>
          <w:tcPr>
            <w:tcW w:w="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532"/>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r>
      <w:tr>
        <w:trPr>
          <w:trHeight w:val="155"/>
        </w:trPr>
        <w:tc>
          <w:tcPr>
            <w:tcW w:w="38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tcPr>
          <w:p>
            <w:pPr>
              <w:jc w:val="center"/>
              <w:ind w:right="30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230"/>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244</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244</w:t>
            </w:r>
          </w:p>
        </w:tc>
      </w:tr>
      <w:tr>
        <w:trPr>
          <w:trHeight w:val="229"/>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30"/>
        </w:trPr>
        <w:tc>
          <w:tcPr>
            <w:tcW w:w="38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3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11,738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11,180</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558</w:t>
            </w:r>
          </w:p>
        </w:tc>
      </w:tr>
      <w:tr>
        <w:trPr>
          <w:trHeight w:val="229"/>
        </w:trPr>
        <w:tc>
          <w:tcPr>
            <w:tcW w:w="388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3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4,271</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3,851</w:t>
            </w:r>
          </w:p>
        </w:tc>
        <w:tc>
          <w:tcPr>
            <w:tcW w:w="1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420</w:t>
            </w:r>
          </w:p>
        </w:tc>
      </w:tr>
      <w:tr>
        <w:trPr>
          <w:trHeight w:val="223"/>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3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16,009</w:t>
            </w:r>
          </w:p>
        </w:tc>
        <w:tc>
          <w:tcPr>
            <w:tcW w:w="1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15,031</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978</w:t>
            </w:r>
          </w:p>
        </w:tc>
      </w:tr>
      <w:tr>
        <w:trPr>
          <w:trHeight w:val="223"/>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w:t>
            </w:r>
          </w:p>
        </w:tc>
      </w:tr>
      <w:tr>
        <w:trPr>
          <w:trHeight w:val="229"/>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3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r>
      <w:tr>
        <w:trPr>
          <w:trHeight w:val="230"/>
        </w:trPr>
        <w:tc>
          <w:tcPr>
            <w:tcW w:w="3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and investment income</w:t>
            </w: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38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13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3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expense</w:t>
            </w: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38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3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3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(15,697)</w:t>
            </w:r>
          </w:p>
        </w:tc>
        <w:tc>
          <w:tcPr>
            <w:tcW w:w="1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(14,971)</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w:t>
            </w:r>
          </w:p>
        </w:tc>
      </w:tr>
      <w:tr>
        <w:trPr>
          <w:trHeight w:val="20"/>
        </w:trPr>
        <w:tc>
          <w:tcPr>
            <w:tcW w:w="38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121" w:lineRule="exact"/>
        <w:rPr>
          <w:sz w:val="20"/>
          <w:szCs w:val="20"/>
          <w:color w:val="auto"/>
        </w:rPr>
      </w:pPr>
    </w:p>
    <w:p>
      <w:pPr>
        <w:ind w:right="200" w:firstLine="510"/>
        <w:spacing w:after="0" w:line="282" w:lineRule="auto"/>
        <w:rPr>
          <w:sz w:val="20"/>
          <w:szCs w:val="20"/>
          <w:color w:val="auto"/>
        </w:rPr>
      </w:pPr>
      <w:r>
        <w:rPr>
          <w:rFonts w:ascii="Times New Roman" w:cs="Times New Roman" w:eastAsia="Times New Roman" w:hAnsi="Times New Roman"/>
          <w:sz w:val="18"/>
          <w:szCs w:val="18"/>
          <w:color w:val="auto"/>
        </w:rPr>
        <w:t>Revenue was $0.2 million for the three months ended March 31, 2022, which related to services performed under the Roche collaboration that we entered into in June 2021. There was no revenue for the three months ended March 31, 2021.</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121"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Research and development expense was $11.7 million for the three months ended March 31, 2022 compared to $11.2 million in the corresponding period in 2021. The increase in research and development expense was primarily due to an increase of $0.6 million in compensation, benefits and other employee-related expenses. There were additional increases of clinical development costs of $0.3 million for SYNB1618 and $0.1 million for SYNB1934, $0.3 million of manufacturing costs, primarily for SYNB1934, $0.3 million in professional services, and $0.3 million in research and development support costs. These increases were offset by decreases of $0.6 million of clinical development costs for SYNB8802 and $0.5 million for SYNB1891 and decreases of $0.3 million of nonclinical development costs, primarily related to SYNB1618.</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w:t>
      </w:r>
    </w:p>
    <w:p>
      <w:pPr>
        <w:spacing w:after="0" w:line="121" w:lineRule="exact"/>
        <w:rPr>
          <w:sz w:val="20"/>
          <w:szCs w:val="20"/>
          <w:color w:val="auto"/>
        </w:rPr>
      </w:pPr>
    </w:p>
    <w:p>
      <w:pPr>
        <w:ind w:right="260" w:firstLine="510"/>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was $4.3 million for the three months ended March 31, 2022 compared to $3.9 million for the corresponding period in 2021. The increase was primarily due to increases in professional services, corporate expenses, compensation, benefits and other employee-related expenses.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income for the three months ended March 31, 2022 and for the corresponding period in 2021 was $0.1 million.</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We have incurred losses since our inception on March 14, 2014 and, as of March 31, 2022 we had an accumulated deficit of approximately $306.6 million. We have financed our operations to date primarily through the sale of preferred stock, common stock, preferred units and warrants, payments received under collaboration agreements, including the technology collaboration with Ginkgo, the Roche Collaboration and Option agreement, and the previous collaboration agreement with AbbVie, interest earned on investments, and cash received in the Merger. At March 31, 2022, we had approximately $120.5 million in cash, cash equivalents, and short-term marketable securities. Our cash and cash equivalents include amounts held in money market funds, stated at cost plus unrealized gain and loss, which approximates fair market value. Our available-for-sale securities include amounts held in corporate debt securities, commercial paper and U.S. government agency securities and treasuries. We invest cash in excess of immediate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21" w:name="page22"/>
    <w:bookmarkEnd w:id="21"/>
    <w:p>
      <w:pPr>
        <w:ind w:right="40"/>
        <w:spacing w:after="0" w:line="266" w:lineRule="auto"/>
        <w:rPr>
          <w:sz w:val="20"/>
          <w:szCs w:val="20"/>
          <w:color w:val="auto"/>
        </w:rPr>
      </w:pPr>
      <w:r>
        <w:rPr>
          <w:rFonts w:ascii="Times New Roman" w:cs="Times New Roman" w:eastAsia="Times New Roman" w:hAnsi="Times New Roman"/>
          <w:sz w:val="18"/>
          <w:szCs w:val="18"/>
          <w:color w:val="auto"/>
        </w:rPr>
        <w:t>requirements in accordance with our investment policy, which limits the amounts we may invest in any one type of investment and requires all investments held by us to maintain minimum ratings from Nationally Recognized Statistical Rating Organizations so as to primarily achieve liquidity and capital preservation.</w:t>
      </w:r>
    </w:p>
    <w:p>
      <w:pPr>
        <w:spacing w:after="0" w:line="176" w:lineRule="exact"/>
        <w:rPr>
          <w:sz w:val="20"/>
          <w:szCs w:val="20"/>
          <w:color w:val="auto"/>
        </w:rPr>
      </w:pPr>
    </w:p>
    <w:p>
      <w:pPr>
        <w:ind w:right="580" w:firstLine="510"/>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2022, our cash, cash equivalents and marketable securities balance decreased approximately $16.1 million. This decrease was primarily due to the cash used to operate our business, including payments related to, among other things, research and development and general and administrative expenses as we continue to invest in our primary drug candidates and support the development of our proprietary platform. These decreases were offset by the proceeds from maturity of marketable securities.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the major sources and uses of cash, cash equivalents and restricted cash for each of the periods below (in thousands):</w:t>
      </w:r>
    </w:p>
    <w:p>
      <w:pPr>
        <w:spacing w:after="0" w:line="300"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5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4"/>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56"/>
        </w:trPr>
        <w:tc>
          <w:tcPr>
            <w:tcW w:w="5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98"/>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14"/>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155"/>
        </w:trPr>
        <w:tc>
          <w:tcPr>
            <w:tcW w:w="5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40" w:type="dxa"/>
            <w:vAlign w:val="bottom"/>
            <w:gridSpan w:val="3"/>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Pr>
          <w:p>
            <w:pPr>
              <w:spacing w:after="0"/>
              <w:rPr>
                <w:sz w:val="13"/>
                <w:szCs w:val="13"/>
                <w:color w:val="auto"/>
              </w:rPr>
            </w:pPr>
          </w:p>
        </w:tc>
      </w:tr>
      <w:tr>
        <w:trPr>
          <w:trHeight w:val="230"/>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cash equivalents and restricted cash (used in) provided by</w:t>
            </w: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r>
      <w:tr>
        <w:trPr>
          <w:trHeight w:val="229"/>
        </w:trPr>
        <w:tc>
          <w:tcPr>
            <w:tcW w:w="5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activities</w:t>
            </w:r>
          </w:p>
        </w:tc>
        <w:tc>
          <w:tcPr>
            <w:tcW w:w="88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(15,477)</w:t>
            </w:r>
          </w:p>
        </w:tc>
        <w:tc>
          <w:tcPr>
            <w:tcW w:w="54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(13,976)</w:t>
            </w:r>
          </w:p>
        </w:tc>
      </w:tr>
      <w:tr>
        <w:trPr>
          <w:trHeight w:val="230"/>
        </w:trPr>
        <w:tc>
          <w:tcPr>
            <w:tcW w:w="55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Investing activities</w:t>
            </w: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18"/>
              <w:spacing w:after="0"/>
              <w:rPr>
                <w:sz w:val="20"/>
                <w:szCs w:val="20"/>
                <w:color w:val="auto"/>
              </w:rPr>
            </w:pPr>
            <w:r>
              <w:rPr>
                <w:rFonts w:ascii="Times New Roman" w:cs="Times New Roman" w:eastAsia="Times New Roman" w:hAnsi="Times New Roman"/>
                <w:sz w:val="18"/>
                <w:szCs w:val="18"/>
                <w:color w:val="auto"/>
              </w:rPr>
              <w:t>19,758</w:t>
            </w: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154</w:t>
            </w:r>
          </w:p>
        </w:tc>
      </w:tr>
      <w:tr>
        <w:trPr>
          <w:trHeight w:val="229"/>
        </w:trPr>
        <w:tc>
          <w:tcPr>
            <w:tcW w:w="5500" w:type="dxa"/>
            <w:vAlign w:val="bottom"/>
            <w:tcBorders>
              <w:bottom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Financing activities</w:t>
            </w:r>
          </w:p>
        </w:tc>
        <w:tc>
          <w:tcPr>
            <w:tcW w:w="6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rPr>
              <w:t>132</w:t>
            </w:r>
          </w:p>
        </w:tc>
        <w:tc>
          <w:tcPr>
            <w:tcW w:w="14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8,019</w:t>
            </w:r>
          </w:p>
        </w:tc>
      </w:tr>
      <w:tr>
        <w:trPr>
          <w:trHeight w:val="223"/>
        </w:trPr>
        <w:tc>
          <w:tcPr>
            <w:tcW w:w="5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6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FF0FC"/>
          </w:tcPr>
          <w:p>
            <w:pPr>
              <w:jc w:val="right"/>
              <w:ind w:right="18"/>
              <w:spacing w:after="0"/>
              <w:rPr>
                <w:sz w:val="20"/>
                <w:szCs w:val="20"/>
                <w:color w:val="auto"/>
              </w:rPr>
            </w:pPr>
            <w:r>
              <w:rPr>
                <w:rFonts w:ascii="Times New Roman" w:cs="Times New Roman" w:eastAsia="Times New Roman" w:hAnsi="Times New Roman"/>
                <w:sz w:val="18"/>
                <w:szCs w:val="18"/>
                <w:color w:val="auto"/>
              </w:rPr>
              <w:t>4,413</w:t>
            </w:r>
          </w:p>
        </w:tc>
        <w:tc>
          <w:tcPr>
            <w:tcW w:w="14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(5,803)</w:t>
            </w:r>
          </w:p>
        </w:tc>
      </w:tr>
      <w:tr>
        <w:trPr>
          <w:trHeight w:val="20"/>
        </w:trPr>
        <w:tc>
          <w:tcPr>
            <w:tcW w:w="5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Net cash, cash equivalents and restricted cash used in operating activities was approximately $15.5 million for the three months ended March 31,</w:t>
      </w:r>
    </w:p>
    <w:p>
      <w:pPr>
        <w:spacing w:after="0" w:line="27"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7"/>
          <w:szCs w:val="17"/>
          <w:color w:val="auto"/>
        </w:rPr>
        <w:t>2022. The primary use of cash was our net loss of $15.7 million, changes in our assets and liabilities of $0.3 million, partially offset by $0.5 million of non-cash items primarily including depreciation, equity-based compensation, and the right of use asset. The changes in our assets and liabilities include increases in prepaid research and development expenses, as a result of the work being completed on the Ginkgo collaboration, increases in the operating lease liability, decreases in prepaid expenses and other current assets, decreases in accounts payable and accrued expenses, and decreased deferred revenue.</w:t>
      </w:r>
    </w:p>
    <w:p>
      <w:pPr>
        <w:spacing w:after="0" w:line="64" w:lineRule="exact"/>
        <w:rPr>
          <w:sz w:val="20"/>
          <w:szCs w:val="20"/>
          <w:color w:val="auto"/>
        </w:rPr>
      </w:pPr>
    </w:p>
    <w:p>
      <w:pPr>
        <w:ind w:right="40" w:firstLine="510"/>
        <w:spacing w:after="0" w:line="258" w:lineRule="auto"/>
        <w:rPr>
          <w:sz w:val="20"/>
          <w:szCs w:val="20"/>
          <w:color w:val="auto"/>
        </w:rPr>
      </w:pPr>
      <w:r>
        <w:rPr>
          <w:rFonts w:ascii="Times New Roman" w:cs="Times New Roman" w:eastAsia="Times New Roman" w:hAnsi="Times New Roman"/>
          <w:sz w:val="18"/>
          <w:szCs w:val="18"/>
          <w:color w:val="auto"/>
        </w:rPr>
        <w:t>Net cash, cash equivalents and restricted cash used in operating activities was approximately $14.0 million for the three months ended March 31, 2021. The primary use of cash was our net loss of $15.0 million, which was partially offset by $2.1 million of non-cash items primarily including depreciation, equity-based compensation, and the right of use asset. There was an increase in working capital of $1.1 million, primarily related to decreases in prepaid research and development expenses, as result of the work being completed on the Ginkgo collaboration, offset by increases in prepaid expenses and other current assets, decreases in accounts payable, accrued expenses, and operating lease liability.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121" w:lineRule="exact"/>
        <w:rPr>
          <w:sz w:val="20"/>
          <w:szCs w:val="20"/>
          <w:color w:val="auto"/>
        </w:rPr>
      </w:pPr>
    </w:p>
    <w:p>
      <w:pPr>
        <w:ind w:right="300" w:firstLine="510"/>
        <w:spacing w:after="0" w:line="266" w:lineRule="auto"/>
        <w:rPr>
          <w:sz w:val="20"/>
          <w:szCs w:val="20"/>
          <w:color w:val="auto"/>
        </w:rPr>
      </w:pPr>
      <w:r>
        <w:rPr>
          <w:rFonts w:ascii="Times New Roman" w:cs="Times New Roman" w:eastAsia="Times New Roman" w:hAnsi="Times New Roman"/>
          <w:sz w:val="18"/>
          <w:szCs w:val="18"/>
          <w:color w:val="auto"/>
        </w:rPr>
        <w:t>Net cash provided by investing activities for the three months ended March 31, 2022 was $19.8 million and resulted primarily from the proceeds from maturity of marketable securities of $32.4 million. This was offset by the purchases of marketable securities of $12.1 million and property and equipment of $0.5 million.</w:t>
      </w:r>
    </w:p>
    <w:p>
      <w:pPr>
        <w:spacing w:after="0" w:line="68"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Net cash provided by investing activities for the three months ended March 31, 2021 was $0.2 million and resulted primarily from the proceeds from maturity of marketable securities of $26.0 million and proceeds from redemption of marketable securities of $1.3 million. This was offset by the purchases of marketable securities of $27.1 million.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121" w:lineRule="exact"/>
        <w:rPr>
          <w:sz w:val="20"/>
          <w:szCs w:val="20"/>
          <w:color w:val="auto"/>
        </w:rPr>
      </w:pPr>
    </w:p>
    <w:p>
      <w:pPr>
        <w:ind w:right="420" w:firstLine="510"/>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for the three months ended March 31, 2022 totaled $0.1 million, primarily related to proceeds of $0.1 million from exercise of stock options and ESPP contributions.</w:t>
      </w:r>
    </w:p>
    <w:p>
      <w:pPr>
        <w:spacing w:after="0" w:line="54" w:lineRule="exact"/>
        <w:rPr>
          <w:sz w:val="20"/>
          <w:szCs w:val="20"/>
          <w:color w:val="auto"/>
        </w:rPr>
      </w:pPr>
    </w:p>
    <w:p>
      <w:pPr>
        <w:ind w:right="160" w:firstLine="510"/>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for the three months ended March 31, 2021 totaled $8.0 million, primarily related to net proceeds of $8.1 million from the sale of 2,447,211 shares of our common stock in the ATM offering program with Cowen and Company, LLC, offset by payments of withholding taxes for employees relating to restricted stock awards.</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Funding Requirements</w:t>
      </w:r>
    </w:p>
    <w:p>
      <w:pPr>
        <w:spacing w:after="0" w:line="121" w:lineRule="exact"/>
        <w:rPr>
          <w:sz w:val="20"/>
          <w:szCs w:val="20"/>
          <w:color w:val="auto"/>
        </w:rPr>
      </w:pPr>
    </w:p>
    <w:p>
      <w:pPr>
        <w:ind w:right="200" w:firstLine="510"/>
        <w:spacing w:after="0" w:line="266" w:lineRule="auto"/>
        <w:rPr>
          <w:sz w:val="20"/>
          <w:szCs w:val="20"/>
          <w:color w:val="auto"/>
        </w:rPr>
      </w:pPr>
      <w:r>
        <w:rPr>
          <w:rFonts w:ascii="Times New Roman" w:cs="Times New Roman" w:eastAsia="Times New Roman" w:hAnsi="Times New Roman"/>
          <w:sz w:val="18"/>
          <w:szCs w:val="18"/>
          <w:color w:val="auto"/>
        </w:rPr>
        <w:t>To date, we have not commercialized any products and have not achieved profitability. We anticipate that we will continue to incur substantial net losses for the next several years as we further develop our product candidates, invest in our proprietary platform technology and operate as a publicly traded company.</w:t>
      </w:r>
    </w:p>
    <w:p>
      <w:pPr>
        <w:spacing w:after="0" w:line="176" w:lineRule="exact"/>
        <w:rPr>
          <w:sz w:val="20"/>
          <w:szCs w:val="20"/>
          <w:color w:val="auto"/>
        </w:rPr>
      </w:pPr>
    </w:p>
    <w:p>
      <w:pPr>
        <w:ind w:right="60" w:firstLine="510"/>
        <w:spacing w:after="0" w:line="254" w:lineRule="auto"/>
        <w:rPr>
          <w:sz w:val="20"/>
          <w:szCs w:val="20"/>
          <w:color w:val="auto"/>
        </w:rPr>
      </w:pPr>
      <w:r>
        <w:rPr>
          <w:rFonts w:ascii="Times New Roman" w:cs="Times New Roman" w:eastAsia="Times New Roman" w:hAnsi="Times New Roman"/>
          <w:sz w:val="18"/>
          <w:szCs w:val="18"/>
          <w:color w:val="auto"/>
        </w:rPr>
        <w:t>We are currently generating revenue from our Roche collaboration and have historically generated revenue from our AbbVie collaboration (which was terminated in May 2020) but have not generated any product revenue since our inception and do not expect to generate any product revenue unless we receive regulatory approval for our product candidates. We believe that our cash, cash equivalents, and short-term marketable securities as of March 31, 2022, will be sufficient to meet our anticipated cash requirements for at least the next 12 months from the date of this filing. Our forecast of the period of time through which our financial resources will be adequate to support our operations is a forward-looking statement that involves risks and uncertainties, and actual results could vary materially and negatively as a result of a number of factors, including the factors discussed in the section entitled “Risk Factors” in this Quarterly Report on Form 10-Q. We have based our estimates on assumptions that may prove to be wrong, and we could utilize our available capital resources sooner than we currently expect.</w:t>
      </w:r>
    </w:p>
    <w:p>
      <w:pPr>
        <w:spacing w:after="0" w:line="192" w:lineRule="exact"/>
        <w:rPr>
          <w:sz w:val="20"/>
          <w:szCs w:val="20"/>
          <w:color w:val="auto"/>
        </w:rPr>
      </w:pPr>
    </w:p>
    <w:p>
      <w:pPr>
        <w:ind w:right="400" w:firstLine="510"/>
        <w:spacing w:after="0" w:line="266" w:lineRule="auto"/>
        <w:rPr>
          <w:sz w:val="20"/>
          <w:szCs w:val="20"/>
          <w:color w:val="auto"/>
        </w:rPr>
      </w:pPr>
      <w:r>
        <w:rPr>
          <w:rFonts w:ascii="Times New Roman" w:cs="Times New Roman" w:eastAsia="Times New Roman" w:hAnsi="Times New Roman"/>
          <w:sz w:val="18"/>
          <w:szCs w:val="18"/>
          <w:color w:val="auto"/>
        </w:rPr>
        <w:t>Due to the numerous risks and uncertainties associated with the development of our product candidates, we are unable to estimate precisely the amounts of capital outlays and operating expenditures necessary to complete the development of, and to obtain regulatory approval for, our product candidates. Our funding requirements will depend on many factors, including, but not limited to, the following:</w:t>
      </w:r>
    </w:p>
    <w:p>
      <w:pPr>
        <w:spacing w:after="0" w:line="68" w:lineRule="exact"/>
        <w:rPr>
          <w:sz w:val="20"/>
          <w:szCs w:val="20"/>
          <w:color w:val="auto"/>
        </w:rPr>
      </w:pPr>
    </w:p>
    <w:p>
      <w:pPr>
        <w:ind w:left="1000" w:hanging="493"/>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research and development efforts;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costs and results of clinical trials for our product candidates;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costs involved in obtaining regulatory approvals for our product candidates;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timing and costs involved in developing manufacturing processes and agreements with third-party manufacturers;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progress and cost of our commercialization activities;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we incur in marketing and selling our product candidates;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generated by sales of our product candidates;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of competing or complementary technological developments;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filing, prosecuting, defending and enforcing any patent claims and other intellectual property rights;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any additional collaborative, licensing or other arrangements that we may establish;</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businesses, products and technologies;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implement additional infrastructure and internal systems;</w:t>
      </w:r>
    </w:p>
    <w:p>
      <w:pPr>
        <w:spacing w:after="0" w:line="117" w:lineRule="exact"/>
        <w:rPr>
          <w:rFonts w:ascii="Times New Roman" w:cs="Times New Roman" w:eastAsia="Times New Roman" w:hAnsi="Times New Roman"/>
          <w:sz w:val="18"/>
          <w:szCs w:val="18"/>
          <w:color w:val="auto"/>
        </w:rPr>
      </w:pPr>
    </w:p>
    <w:p>
      <w:pPr>
        <w:ind w:left="1000" w:right="520" w:hanging="493"/>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add personnel and financial and management information systems to support our product development and potential future commercialization efforts, and to enable us to operate as a public company; and</w:t>
      </w:r>
    </w:p>
    <w:p>
      <w:pPr>
        <w:spacing w:after="0" w:line="53" w:lineRule="exact"/>
        <w:rPr>
          <w:rFonts w:ascii="Times New Roman" w:cs="Times New Roman" w:eastAsia="Times New Roman" w:hAnsi="Times New Roman"/>
          <w:sz w:val="18"/>
          <w:szCs w:val="18"/>
          <w:color w:val="auto"/>
        </w:rPr>
      </w:pPr>
    </w:p>
    <w:p>
      <w:pPr>
        <w:ind w:left="1000" w:right="100" w:hanging="493"/>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business is adversely impacted by the effects of the coronavirus outbreak or by other health epidemics or pandemics; and</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under Part II, Item IA. “Risk Factors”.</w:t>
      </w:r>
    </w:p>
    <w:p>
      <w:pPr>
        <w:spacing w:after="0" w:line="225"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As an early-stage company, we are subject to a number of risks common to other life science companies, including, but not limited to, the ability to raise additional capital, development by our competitors of new technological innovations, risk of failure in preclinical studies, the safety and efficacy of our product candidates in clinical trials, the regulatory approval process, the ability to efficiently manufacture our products, market acceptance of our products once approved, lack of marketing and sales history, dependence on key personnel and protection of proprietary technology. Our therapeutic programs are currently pre-commercial, spanning discovery through early development and will require significant additional research and development efforts, including extensive preclinical and clinical testing and regulatory approval prior to commercialization of any product candidates. These efforts require significant amounts of additional capital, adequate personnel infrastructure and extensive compliance-reporting capabilities. There can be no assurance that our research and development will be successfully completed, that adequate protection for our intellectual property will be obtained, that any products developed will obtain necessary regulatory approval or that any approved products will be commercially viable. Even if our product development efforts are successful, it is uncertain when, if ever, we will generate revenue from product sales. We may never achieve profitability, and unless and until we do, we will continue to need to raise</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3" w:name="page24"/>
    <w:bookmarkEnd w:id="23"/>
    <w:p>
      <w:pPr>
        <w:spacing w:after="0" w:line="266" w:lineRule="auto"/>
        <w:rPr>
          <w:sz w:val="20"/>
          <w:szCs w:val="20"/>
          <w:color w:val="auto"/>
        </w:rPr>
      </w:pPr>
      <w:r>
        <w:rPr>
          <w:rFonts w:ascii="Times New Roman" w:cs="Times New Roman" w:eastAsia="Times New Roman" w:hAnsi="Times New Roman"/>
          <w:sz w:val="18"/>
          <w:szCs w:val="18"/>
          <w:color w:val="auto"/>
        </w:rPr>
        <w:t>additional capital or obtain financing from other sources, such as strategic collaborations or partnerships. If we cannot expand our operations or otherwise capitalize on our business opportunities because we lack sufficient capital, our business, financial condition and results of operations could be materially adversely affected.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Commitments and Obligations</w:t>
      </w:r>
    </w:p>
    <w:p>
      <w:pPr>
        <w:spacing w:after="0" w:line="121" w:lineRule="exact"/>
        <w:rPr>
          <w:sz w:val="20"/>
          <w:szCs w:val="20"/>
          <w:color w:val="auto"/>
        </w:rPr>
      </w:pPr>
    </w:p>
    <w:p>
      <w:pPr>
        <w:ind w:right="100" w:firstLine="51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contractual obligations and commitments set forth under the heading “Management’s Discussion and Analysis of Financial Condition and Results of Operations- Contractual Obligations and Commitments” in our 2021 Annual Report.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121" w:lineRule="exact"/>
        <w:rPr>
          <w:sz w:val="20"/>
          <w:szCs w:val="20"/>
          <w:color w:val="auto"/>
        </w:rPr>
      </w:pPr>
    </w:p>
    <w:p>
      <w:pPr>
        <w:ind w:right="180" w:firstLine="510"/>
        <w:spacing w:after="0" w:line="282" w:lineRule="auto"/>
        <w:rPr>
          <w:sz w:val="20"/>
          <w:szCs w:val="20"/>
          <w:color w:val="auto"/>
        </w:rPr>
      </w:pPr>
      <w:r>
        <w:rPr>
          <w:rFonts w:ascii="Times New Roman" w:cs="Times New Roman" w:eastAsia="Times New Roman" w:hAnsi="Times New Roman"/>
          <w:sz w:val="18"/>
          <w:szCs w:val="18"/>
          <w:color w:val="auto"/>
        </w:rPr>
        <w:t>For a description of transactions with related parties which may fall outside of the reporting period of this section, please see the section entitled “</w:t>
      </w:r>
      <w:r>
        <w:rPr>
          <w:rFonts w:ascii="Times New Roman" w:cs="Times New Roman" w:eastAsia="Times New Roman" w:hAnsi="Times New Roman"/>
          <w:sz w:val="18"/>
          <w:szCs w:val="18"/>
          <w:i w:val="1"/>
          <w:iCs w:val="1"/>
          <w:color w:val="auto"/>
        </w:rPr>
        <w:t>Certain Relationships and Related Person Transactions”</w:t>
      </w:r>
      <w:r>
        <w:rPr>
          <w:rFonts w:ascii="Times New Roman" w:cs="Times New Roman" w:eastAsia="Times New Roman" w:hAnsi="Times New Roman"/>
          <w:sz w:val="18"/>
          <w:szCs w:val="18"/>
          <w:color w:val="auto"/>
        </w:rPr>
        <w:t xml:space="preserve"> in our proxy statement filed with the SEC on April 27, 2022.</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ind w:right="100" w:firstLine="510"/>
        <w:spacing w:after="0" w:line="266" w:lineRule="auto"/>
        <w:rPr>
          <w:sz w:val="20"/>
          <w:szCs w:val="20"/>
          <w:color w:val="auto"/>
        </w:rPr>
      </w:pPr>
      <w:r>
        <w:rPr>
          <w:rFonts w:ascii="Times New Roman" w:cs="Times New Roman" w:eastAsia="Times New Roman" w:hAnsi="Times New Roman"/>
          <w:sz w:val="18"/>
          <w:szCs w:val="18"/>
          <w:color w:val="auto"/>
        </w:rPr>
        <w:t xml:space="preserve">For detailed information regarding recently issued accounting pronouncements and the expected impact on our consolidated financial statements, see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in the notes to the unaudited consolidated financial statements appearing elsewhere in this Quarterly Report on Form 10-Q.</w:t>
      </w:r>
    </w:p>
    <w:p>
      <w:pPr>
        <w:spacing w:after="0" w:line="39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580" w:right="4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180" w:firstLine="510"/>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and are not required to provide this information required under this item.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disclosure controls</w:t>
      </w:r>
    </w:p>
    <w:p>
      <w:pPr>
        <w:spacing w:after="0" w:line="121"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Our disclosure controls and procedures (as defined in Rules 13a-15(e) and 15d-15(e) under the Securities Exchange Act of 1934, as amended (the Exchange Act)) are controls and other procedures that are designed to ensure that information required to be disclosed in our reports filed under the Exchange Act, such as this report, is recorded, processed, summarized and reported within the time periods specified in the SEC’s rules and forms. Disclosure controls and procedures are also designed to ensure that such information is accumulated and communicated to our management, including our principal executive officer and principal financial officer, as appropriate to allow timely decisions regarding required disclosure. Our management evaluates these controls and procedures on an ongoing basis.</w:t>
      </w:r>
    </w:p>
    <w:p>
      <w:pPr>
        <w:spacing w:after="0" w:line="187"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There are inherent limitations to the effectiveness of any system of disclosure controls and procedures. These limitations include the possibility of human error, the circumvention or overriding of the controls and procedures and reasonable resource constraints. In addition, because we have designed our system of controls based on certain assumptions, which we believe are reasonable, about the likelihood of future events, our system of controls may not achieve its desired purpose under all possible future conditions. Accordingly, our disclosure controls and procedures provide reasonable assurance, but not absolute assurance, of achieving their objectives.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Our principal executive officer and principal financial officer, after evaluating the effectiveness of our disclosure controls and procedures (as defined in Exchange Act Rules 13a-15(e) and 15d-15(e)) as of the end of the period covered by this Form 10-K, have concluded that, based on such evaluation, our disclosure controls and procedures were effective to ensure that information required to be disclosed by us in the reports that we file or submit under the Exchange Act is recorded, processed, summarized and reported, within the time periods specified in the SEC’s rules and forms, and is accumulated and communicated to our management, including our principal executive and principal financial officers, or persons performing similar functions, as appropriate to allow timely decisions regarding required disclosure.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w:t>
      </w:r>
    </w:p>
    <w:p>
      <w:pPr>
        <w:spacing w:after="0" w:line="121" w:lineRule="exact"/>
        <w:rPr>
          <w:sz w:val="20"/>
          <w:szCs w:val="20"/>
          <w:color w:val="auto"/>
        </w:rPr>
      </w:pPr>
    </w:p>
    <w:p>
      <w:pPr>
        <w:jc w:val="both"/>
        <w:ind w:right="100" w:firstLine="510"/>
        <w:spacing w:after="0" w:line="266" w:lineRule="auto"/>
        <w:rPr>
          <w:sz w:val="20"/>
          <w:szCs w:val="20"/>
          <w:color w:val="auto"/>
        </w:rPr>
      </w:pPr>
      <w:r>
        <w:rPr>
          <w:rFonts w:ascii="Times New Roman" w:cs="Times New Roman" w:eastAsia="Times New Roman" w:hAnsi="Times New Roman"/>
          <w:sz w:val="18"/>
          <w:szCs w:val="18"/>
          <w:color w:val="auto"/>
        </w:rPr>
        <w:t>There have not been any changes in our internal controls over financial reporting (as defined in Rules 13a-15(f) and 15d-15(f) under the Exchange Act) identified in connection with the evaluation of such internal control that occurred during our fiscal quarter ended March 31, 2022 that have materially affected, or are reasonably likely to materially affect, our internal controls over financial reporting.</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are not currently a party to any material legal proceedings.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1A. Risk Factors.</w:t>
      </w:r>
    </w:p>
    <w:p>
      <w:pPr>
        <w:spacing w:after="0" w:line="119" w:lineRule="exact"/>
        <w:rPr>
          <w:sz w:val="20"/>
          <w:szCs w:val="20"/>
          <w:color w:val="auto"/>
        </w:rPr>
      </w:pPr>
    </w:p>
    <w:p>
      <w:pPr>
        <w:ind w:right="120" w:firstLine="510"/>
        <w:spacing w:after="0" w:line="257"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Our business, prospects, financial condition or operating results could be materially adversely affected by the risks identified below, as well as other risks not currently known to us or that we currently consider immaterial. Furthermore, these factors represent risks and uncertainties that could cause actual results to differ materially from those implied by forward-looking statements. Accordingly, in evaluating our business, we encourage you to consider the following discussion of risk factors, in its entirety, in addition to other information contained in this Quarterly Report on Form 10-Q and our other public filings with the SEC. The following risk factors may be amended, supplemented or superseded from time to time by other reports we file with the SEC in the future.</w:t>
      </w:r>
    </w:p>
    <w:p>
      <w:pPr>
        <w:spacing w:after="0" w:line="184" w:lineRule="exact"/>
        <w:rPr>
          <w:sz w:val="20"/>
          <w:szCs w:val="20"/>
          <w:color w:val="auto"/>
        </w:rPr>
      </w:pPr>
    </w:p>
    <w:p>
      <w:pPr>
        <w:ind w:right="160" w:firstLine="510"/>
        <w:spacing w:after="0" w:line="282" w:lineRule="auto"/>
        <w:rPr>
          <w:sz w:val="20"/>
          <w:szCs w:val="20"/>
          <w:color w:val="auto"/>
        </w:rPr>
      </w:pPr>
      <w:r>
        <w:rPr>
          <w:rFonts w:ascii="Times New Roman" w:cs="Times New Roman" w:eastAsia="Times New Roman" w:hAnsi="Times New Roman"/>
          <w:sz w:val="18"/>
          <w:szCs w:val="18"/>
          <w:color w:val="auto"/>
        </w:rPr>
        <w:t>In the following discussion of risk factors, References to “we”, “us”, “our” and similar terms refer to the combined business of Synlogic, Inc. after the Merger on August 28, 2017.</w:t>
      </w:r>
    </w:p>
    <w:p>
      <w:pPr>
        <w:spacing w:after="0" w:line="2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21" w:lineRule="exact"/>
        <w:rPr>
          <w:sz w:val="20"/>
          <w:szCs w:val="20"/>
          <w:color w:val="auto"/>
        </w:rPr>
      </w:pPr>
    </w:p>
    <w:p>
      <w:pPr>
        <w:ind w:right="60" w:firstLine="510"/>
        <w:spacing w:after="0" w:line="261"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highlighted in this section below, that represent challenges that we face in connection with the successful implementation of our strategy. The occurrence of one or more of the events or circumstances described in more detail in the risk factors below, alone or in combination with other events or circumstances, may have an adverse effect on our business, cash flows, financial condition and results of operations. Such risks include, but are not limited to:</w:t>
      </w:r>
    </w:p>
    <w:p>
      <w:pPr>
        <w:spacing w:after="0" w:line="72" w:lineRule="exact"/>
        <w:rPr>
          <w:sz w:val="20"/>
          <w:szCs w:val="20"/>
          <w:color w:val="auto"/>
        </w:rPr>
      </w:pPr>
    </w:p>
    <w:p>
      <w:pPr>
        <w:ind w:left="1000" w:right="380" w:hanging="493"/>
        <w:spacing w:after="0" w:line="282"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clinical-stage biopharmaceutical company with a history of losses, and we expect to continue to incur losses for the foreseeable future, and we may never achieve or maintain profitability.</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substantial additional funding, which may not be available on acceptable terms, or at all.</w:t>
      </w:r>
    </w:p>
    <w:p>
      <w:pPr>
        <w:spacing w:after="0" w:line="117" w:lineRule="exact"/>
        <w:rPr>
          <w:rFonts w:ascii="Times New Roman" w:cs="Times New Roman" w:eastAsia="Times New Roman" w:hAnsi="Times New Roman"/>
          <w:sz w:val="18"/>
          <w:szCs w:val="18"/>
          <w:color w:val="auto"/>
        </w:rPr>
      </w:pPr>
    </w:p>
    <w:p>
      <w:pPr>
        <w:ind w:left="1000" w:right="160" w:hanging="493"/>
        <w:spacing w:after="0" w:line="282"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and annual operating results may fluctuate in the future. As a result, we may fail to meet the expectations of research analysts or investors, which could cause our stock price to decline.</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is volatile, and our stockholders may not be able to resell shares of our common stock at or above the price they paid.</w:t>
      </w:r>
    </w:p>
    <w:p>
      <w:pPr>
        <w:spacing w:after="0" w:line="117" w:lineRule="exact"/>
        <w:rPr>
          <w:rFonts w:ascii="Times New Roman" w:cs="Times New Roman" w:eastAsia="Times New Roman" w:hAnsi="Times New Roman"/>
          <w:sz w:val="18"/>
          <w:szCs w:val="18"/>
          <w:color w:val="auto"/>
        </w:rPr>
      </w:pPr>
    </w:p>
    <w:p>
      <w:pPr>
        <w:ind w:left="1000" w:right="420" w:hanging="493"/>
        <w:spacing w:after="0" w:line="282"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short operating history may make it difficult for stockholders to evaluate the success of our business to date and to assess our future viability.</w:t>
      </w:r>
    </w:p>
    <w:p>
      <w:pPr>
        <w:spacing w:after="0" w:line="53" w:lineRule="exact"/>
        <w:rPr>
          <w:rFonts w:ascii="Times New Roman" w:cs="Times New Roman" w:eastAsia="Times New Roman" w:hAnsi="Times New Roman"/>
          <w:sz w:val="18"/>
          <w:szCs w:val="18"/>
          <w:color w:val="auto"/>
        </w:rPr>
      </w:pPr>
    </w:p>
    <w:p>
      <w:pPr>
        <w:ind w:left="1000" w:right="540" w:hanging="493"/>
        <w:spacing w:after="0" w:line="282"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are costly, time consuming and inherently risky, and we may fail to demonstrate safety and efficacy to the satisfaction of applicable regulatory authorities.</w:t>
      </w:r>
    </w:p>
    <w:p>
      <w:pPr>
        <w:spacing w:after="0" w:line="53" w:lineRule="exact"/>
        <w:rPr>
          <w:rFonts w:ascii="Times New Roman" w:cs="Times New Roman" w:eastAsia="Times New Roman" w:hAnsi="Times New Roman"/>
          <w:sz w:val="18"/>
          <w:szCs w:val="18"/>
          <w:color w:val="auto"/>
        </w:rPr>
      </w:pPr>
    </w:p>
    <w:p>
      <w:pPr>
        <w:ind w:left="1000" w:right="300" w:hanging="493"/>
        <w:spacing w:after="0" w:line="282"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approach we are taking to discover and develop novel therapeutics using synthetic biology to create novel medicines is unproven and may never lead to marketable products.</w:t>
      </w:r>
    </w:p>
    <w:p>
      <w:pPr>
        <w:spacing w:after="0" w:line="53" w:lineRule="exact"/>
        <w:rPr>
          <w:rFonts w:ascii="Times New Roman" w:cs="Times New Roman" w:eastAsia="Times New Roman" w:hAnsi="Times New Roman"/>
          <w:sz w:val="18"/>
          <w:szCs w:val="18"/>
          <w:color w:val="auto"/>
        </w:rPr>
      </w:pPr>
    </w:p>
    <w:p>
      <w:pPr>
        <w:ind w:left="1000" w:hanging="493"/>
        <w:spacing w:after="0" w:line="282"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cause undesirable side effects or have other properties that could delay or prevent their regulatory approval, limit the commercial viability of an approved label, or result in significant negative consequences following marketing approval, if any.</w:t>
      </w:r>
    </w:p>
    <w:p>
      <w:pPr>
        <w:spacing w:after="0" w:line="53" w:lineRule="exact"/>
        <w:rPr>
          <w:rFonts w:ascii="Times New Roman" w:cs="Times New Roman" w:eastAsia="Times New Roman" w:hAnsi="Times New Roman"/>
          <w:sz w:val="18"/>
          <w:szCs w:val="18"/>
          <w:color w:val="auto"/>
        </w:rPr>
      </w:pPr>
    </w:p>
    <w:p>
      <w:pPr>
        <w:ind w:left="1000" w:right="480" w:hanging="493"/>
        <w:spacing w:after="0" w:line="282"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development involves a lengthy and expensive process with an uncertain outcome, and results of earlier preclinical studies and clinical trials may not be predictive of future clinical trial results.</w:t>
      </w:r>
    </w:p>
    <w:p>
      <w:pPr>
        <w:spacing w:after="0" w:line="53" w:lineRule="exact"/>
        <w:rPr>
          <w:rFonts w:ascii="Times New Roman" w:cs="Times New Roman" w:eastAsia="Times New Roman" w:hAnsi="Times New Roman"/>
          <w:sz w:val="18"/>
          <w:szCs w:val="18"/>
          <w:color w:val="auto"/>
        </w:rPr>
      </w:pPr>
    </w:p>
    <w:p>
      <w:pPr>
        <w:ind w:left="1000" w:right="180" w:hanging="493"/>
        <w:spacing w:after="0" w:line="282"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experience delays or difficulties in the enrollment of patients in clinical trials, our costs might be higher than expected and our receipt of necessary regulatory approvals could be delayed or prevented.</w:t>
      </w:r>
    </w:p>
    <w:p>
      <w:pPr>
        <w:spacing w:after="0" w:line="53" w:lineRule="exact"/>
        <w:rPr>
          <w:rFonts w:ascii="Times New Roman" w:cs="Times New Roman" w:eastAsia="Times New Roman" w:hAnsi="Times New Roman"/>
          <w:sz w:val="18"/>
          <w:szCs w:val="18"/>
          <w:color w:val="auto"/>
        </w:rPr>
      </w:pPr>
    </w:p>
    <w:p>
      <w:pPr>
        <w:ind w:left="1000" w:hanging="493"/>
        <w:spacing w:after="0" w:line="258"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potential product liability claims, and, if successful claims are brought against us, we may incur substantial liability and costs. If the use or misuse of our product candidates harms patients or is perceived to harm patients even when such harm is unrelated to our product candidates, our regulatory approvals, if any, could be revoked or otherwise negatively impacted and we could be subject to costly and damaging product liability claims. If we are unable to obtain adequate insurance or are required to pay for liabilities resulting from a claim excluded from, or beyond the limits of, our insurance coverage, such liability could adversely affect our financial condition.</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26" w:name="page27"/>
    <w:bookmarkEnd w:id="26"/>
    <w:p>
      <w:pPr>
        <w:ind w:left="500" w:right="260" w:hanging="493"/>
        <w:spacing w:after="0" w:line="282" w:lineRule="auto"/>
        <w:tabs>
          <w:tab w:leader="none" w:pos="500" w:val="left"/>
        </w:tabs>
        <w:numPr>
          <w:ilvl w:val="0"/>
          <w:numId w:val="19"/>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A pandemic, epidemic, or outbreak of an infectious disease, such as COVID-19, may materially and adversely affect our business and our financial results.</w:t>
      </w:r>
    </w:p>
    <w:p>
      <w:pPr>
        <w:spacing w:after="0" w:line="53" w:lineRule="exact"/>
        <w:rPr>
          <w:rFonts w:ascii="Times New Roman" w:cs="Times New Roman" w:eastAsia="Times New Roman" w:hAnsi="Times New Roman"/>
          <w:sz w:val="18"/>
          <w:szCs w:val="18"/>
          <w:color w:val="212529"/>
        </w:rPr>
      </w:pPr>
    </w:p>
    <w:p>
      <w:pPr>
        <w:ind w:left="500" w:hanging="493"/>
        <w:spacing w:after="0"/>
        <w:tabs>
          <w:tab w:leader="none" w:pos="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we obtain regulatory approval for a product candidate, we will remain subject to ongoing regulatory requirements.</w:t>
      </w:r>
    </w:p>
    <w:p>
      <w:pPr>
        <w:spacing w:after="0" w:line="117" w:lineRule="exact"/>
        <w:rPr>
          <w:rFonts w:ascii="Times New Roman" w:cs="Times New Roman" w:eastAsia="Times New Roman" w:hAnsi="Times New Roman"/>
          <w:sz w:val="18"/>
          <w:szCs w:val="18"/>
          <w:color w:val="auto"/>
        </w:rPr>
      </w:pPr>
    </w:p>
    <w:p>
      <w:pPr>
        <w:ind w:left="500" w:right="440" w:hanging="493"/>
        <w:spacing w:after="0" w:line="312" w:lineRule="auto"/>
        <w:tabs>
          <w:tab w:leader="none" w:pos="5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subject, directly or indirectly, to federal and state healthcare fraud and abuse laws, false claims laws, and health information privacy and security laws. If we are unable to comply, or have not fully complied, with such laws, we could face substantial penalties.</w:t>
      </w:r>
    </w:p>
    <w:p>
      <w:pPr>
        <w:spacing w:after="0" w:line="31" w:lineRule="exact"/>
        <w:rPr>
          <w:rFonts w:ascii="Times New Roman" w:cs="Times New Roman" w:eastAsia="Times New Roman" w:hAnsi="Times New Roman"/>
          <w:sz w:val="17"/>
          <w:szCs w:val="17"/>
          <w:color w:val="auto"/>
        </w:rPr>
      </w:pPr>
    </w:p>
    <w:p>
      <w:pPr>
        <w:ind w:left="500" w:right="120" w:hanging="493"/>
        <w:spacing w:after="0" w:line="261" w:lineRule="auto"/>
        <w:tabs>
          <w:tab w:leader="none" w:pos="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or may in the future become subject to, U.S. federal and state, and foreign laws and regulations imposing obligations on how we collect, use, disclose, store and process personal information. Our actual or perceived failure to comply with such obligations could result in liability or reputational harm and could harm our business. Ensuring compliance with such laws could also impair our efforts to maintain and expand our customer base, and thereby decrease our revenue.</w:t>
      </w:r>
    </w:p>
    <w:p>
      <w:pPr>
        <w:spacing w:after="0" w:line="71" w:lineRule="exact"/>
        <w:rPr>
          <w:rFonts w:ascii="Times New Roman" w:cs="Times New Roman" w:eastAsia="Times New Roman" w:hAnsi="Times New Roman"/>
          <w:sz w:val="18"/>
          <w:szCs w:val="18"/>
          <w:color w:val="auto"/>
        </w:rPr>
      </w:pPr>
    </w:p>
    <w:p>
      <w:pPr>
        <w:ind w:left="500" w:right="100" w:hanging="493"/>
        <w:spacing w:after="0" w:line="282" w:lineRule="auto"/>
        <w:tabs>
          <w:tab w:leader="none" w:pos="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environmental, health and safety laws and regulations, we could become subject to fines or penalties or incur costs that could have a material adverse effect on our business, financial condition or results of operations.</w:t>
      </w:r>
    </w:p>
    <w:p>
      <w:pPr>
        <w:spacing w:after="0" w:line="53" w:lineRule="exact"/>
        <w:rPr>
          <w:rFonts w:ascii="Times New Roman" w:cs="Times New Roman" w:eastAsia="Times New Roman" w:hAnsi="Times New Roman"/>
          <w:sz w:val="18"/>
          <w:szCs w:val="18"/>
          <w:color w:val="auto"/>
        </w:rPr>
      </w:pPr>
    </w:p>
    <w:p>
      <w:pPr>
        <w:ind w:left="500" w:right="180" w:hanging="493"/>
        <w:spacing w:after="0" w:line="282" w:lineRule="auto"/>
        <w:tabs>
          <w:tab w:leader="none" w:pos="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internal computer systems, or those of our collaborators or other contractors or consultants, may fail or suffer security breaches, which could result in a material disruption of our product development programs.</w:t>
      </w:r>
    </w:p>
    <w:p>
      <w:pPr>
        <w:spacing w:after="0" w:line="53" w:lineRule="exact"/>
        <w:rPr>
          <w:rFonts w:ascii="Times New Roman" w:cs="Times New Roman" w:eastAsia="Times New Roman" w:hAnsi="Times New Roman"/>
          <w:sz w:val="18"/>
          <w:szCs w:val="18"/>
          <w:color w:val="auto"/>
        </w:rPr>
      </w:pPr>
    </w:p>
    <w:p>
      <w:pPr>
        <w:ind w:left="500" w:hanging="493"/>
        <w:spacing w:after="0" w:line="282" w:lineRule="auto"/>
        <w:tabs>
          <w:tab w:leader="none" w:pos="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Ethical, legal and social concerns about synthetic biology and genetic engineering could limit or prevent the use of our technologies and limit our revenues.</w:t>
      </w:r>
    </w:p>
    <w:p>
      <w:pPr>
        <w:spacing w:after="0" w:line="53" w:lineRule="exact"/>
        <w:rPr>
          <w:rFonts w:ascii="Times New Roman" w:cs="Times New Roman" w:eastAsia="Times New Roman" w:hAnsi="Times New Roman"/>
          <w:sz w:val="18"/>
          <w:szCs w:val="18"/>
          <w:color w:val="auto"/>
        </w:rPr>
      </w:pPr>
    </w:p>
    <w:p>
      <w:pPr>
        <w:ind w:left="500" w:right="640" w:hanging="493"/>
        <w:spacing w:after="0" w:line="282" w:lineRule="auto"/>
        <w:tabs>
          <w:tab w:leader="none" w:pos="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obtaining or maintaining necessary rights to Synthetic Biotics, product candidates and processes for our development pipeline through acquisitions and in-licenses.</w:t>
      </w:r>
    </w:p>
    <w:p>
      <w:pPr>
        <w:spacing w:after="0" w:line="53" w:lineRule="exact"/>
        <w:rPr>
          <w:rFonts w:ascii="Times New Roman" w:cs="Times New Roman" w:eastAsia="Times New Roman" w:hAnsi="Times New Roman"/>
          <w:sz w:val="18"/>
          <w:szCs w:val="18"/>
          <w:color w:val="auto"/>
        </w:rPr>
      </w:pPr>
    </w:p>
    <w:p>
      <w:pPr>
        <w:ind w:left="500" w:hanging="493"/>
        <w:spacing w:after="0"/>
        <w:tabs>
          <w:tab w:leader="none" w:pos="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have sufficient patent term protections for our product candidates to effectively protect our business.</w:t>
      </w:r>
    </w:p>
    <w:p>
      <w:pPr>
        <w:spacing w:after="0" w:line="117" w:lineRule="exact"/>
        <w:rPr>
          <w:rFonts w:ascii="Times New Roman" w:cs="Times New Roman" w:eastAsia="Times New Roman" w:hAnsi="Times New Roman"/>
          <w:sz w:val="18"/>
          <w:szCs w:val="18"/>
          <w:color w:val="auto"/>
        </w:rPr>
      </w:pPr>
    </w:p>
    <w:p>
      <w:pPr>
        <w:ind w:left="500" w:right="220" w:hanging="493"/>
        <w:spacing w:after="0" w:line="282" w:lineRule="auto"/>
        <w:tabs>
          <w:tab w:leader="none" w:pos="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maintain effective proprietary rights for our product candidates or any future product candidates, we may not be able to compete effectively in our proposed markets.</w:t>
      </w:r>
    </w:p>
    <w:p>
      <w:pPr>
        <w:spacing w:after="0" w:line="53" w:lineRule="exact"/>
        <w:rPr>
          <w:rFonts w:ascii="Times New Roman" w:cs="Times New Roman" w:eastAsia="Times New Roman" w:hAnsi="Times New Roman"/>
          <w:sz w:val="18"/>
          <w:szCs w:val="18"/>
          <w:color w:val="auto"/>
        </w:rPr>
      </w:pPr>
    </w:p>
    <w:p>
      <w:pPr>
        <w:ind w:left="500" w:hanging="493"/>
        <w:spacing w:after="0"/>
        <w:tabs>
          <w:tab w:leader="none" w:pos="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claims of intellectual property infringement may prevent or delay our development and commercialization efforts.</w:t>
      </w:r>
    </w:p>
    <w:p>
      <w:pPr>
        <w:spacing w:after="0" w:line="117" w:lineRule="exact"/>
        <w:rPr>
          <w:rFonts w:ascii="Times New Roman" w:cs="Times New Roman" w:eastAsia="Times New Roman" w:hAnsi="Times New Roman"/>
          <w:sz w:val="18"/>
          <w:szCs w:val="18"/>
          <w:color w:val="auto"/>
        </w:rPr>
      </w:pPr>
    </w:p>
    <w:p>
      <w:pPr>
        <w:ind w:left="500" w:right="120" w:hanging="493"/>
        <w:spacing w:after="0" w:line="282" w:lineRule="auto"/>
        <w:tabs>
          <w:tab w:leader="none" w:pos="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involved in lawsuits to protect or enforce our patents or the patents of our licensors, which could be expensive, time consuming, and unsuccessful.</w:t>
      </w:r>
    </w:p>
    <w:p>
      <w:pPr>
        <w:spacing w:after="0" w:line="53" w:lineRule="exact"/>
        <w:rPr>
          <w:rFonts w:ascii="Times New Roman" w:cs="Times New Roman" w:eastAsia="Times New Roman" w:hAnsi="Times New Roman"/>
          <w:sz w:val="18"/>
          <w:szCs w:val="18"/>
          <w:color w:val="auto"/>
        </w:rPr>
      </w:pPr>
    </w:p>
    <w:p>
      <w:pPr>
        <w:ind w:left="500" w:hanging="493"/>
        <w:spacing w:after="0"/>
        <w:tabs>
          <w:tab w:leader="none" w:pos="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claims challenging the inventorship of our patents and other intellectual property.</w:t>
      </w:r>
    </w:p>
    <w:p>
      <w:pPr>
        <w:spacing w:after="0" w:line="117" w:lineRule="exact"/>
        <w:rPr>
          <w:rFonts w:ascii="Times New Roman" w:cs="Times New Roman" w:eastAsia="Times New Roman" w:hAnsi="Times New Roman"/>
          <w:sz w:val="18"/>
          <w:szCs w:val="18"/>
          <w:color w:val="auto"/>
        </w:rPr>
      </w:pPr>
    </w:p>
    <w:p>
      <w:pPr>
        <w:ind w:left="500" w:hanging="493"/>
        <w:spacing w:after="0"/>
        <w:tabs>
          <w:tab w:leader="none" w:pos="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protect our intellectual property rights throughout the world.</w:t>
      </w:r>
    </w:p>
    <w:p>
      <w:pPr>
        <w:spacing w:after="0" w:line="117" w:lineRule="exact"/>
        <w:rPr>
          <w:rFonts w:ascii="Times New Roman" w:cs="Times New Roman" w:eastAsia="Times New Roman" w:hAnsi="Times New Roman"/>
          <w:sz w:val="18"/>
          <w:szCs w:val="18"/>
          <w:color w:val="auto"/>
        </w:rPr>
      </w:pPr>
    </w:p>
    <w:p>
      <w:pPr>
        <w:ind w:left="500" w:right="40" w:hanging="493"/>
        <w:spacing w:after="0" w:line="266" w:lineRule="auto"/>
        <w:tabs>
          <w:tab w:leader="none" w:pos="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and expect to continue to rely, on third parties to conduct some aspects of our product formulation, research, preclinical, and clinical studies, and those third parties may not perform satisfactorily, including by failing to meet deadlines for the completion of such formulation, research or testing.</w:t>
      </w:r>
    </w:p>
    <w:p>
      <w:pPr>
        <w:spacing w:after="0" w:line="67" w:lineRule="exact"/>
        <w:rPr>
          <w:rFonts w:ascii="Times New Roman" w:cs="Times New Roman" w:eastAsia="Times New Roman" w:hAnsi="Times New Roman"/>
          <w:sz w:val="18"/>
          <w:szCs w:val="18"/>
          <w:color w:val="auto"/>
        </w:rPr>
      </w:pPr>
    </w:p>
    <w:p>
      <w:pPr>
        <w:ind w:left="500" w:right="120" w:hanging="493"/>
        <w:spacing w:after="0" w:line="282" w:lineRule="auto"/>
        <w:tabs>
          <w:tab w:leader="none" w:pos="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third-party supply and manufacturing partners for drug supplies for our late-stage clinical activities and may do the same for any commercial supplies of our product candidates.</w:t>
      </w:r>
    </w:p>
    <w:p>
      <w:pPr>
        <w:spacing w:after="0" w:line="53" w:lineRule="exact"/>
        <w:rPr>
          <w:rFonts w:ascii="Times New Roman" w:cs="Times New Roman" w:eastAsia="Times New Roman" w:hAnsi="Times New Roman"/>
          <w:sz w:val="18"/>
          <w:szCs w:val="18"/>
          <w:color w:val="auto"/>
        </w:rPr>
      </w:pPr>
    </w:p>
    <w:p>
      <w:pPr>
        <w:ind w:left="500" w:right="400" w:hanging="493"/>
        <w:spacing w:after="0" w:line="282" w:lineRule="auto"/>
        <w:tabs>
          <w:tab w:leader="none" w:pos="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attempt to form collaborations in the future with respect to our product candidates, but we may not be able to do so, which may cause us to alter our development and commercialization plans.</w:t>
      </w:r>
    </w:p>
    <w:p>
      <w:pPr>
        <w:spacing w:after="0" w:line="53" w:lineRule="exact"/>
        <w:rPr>
          <w:rFonts w:ascii="Times New Roman" w:cs="Times New Roman" w:eastAsia="Times New Roman" w:hAnsi="Times New Roman"/>
          <w:sz w:val="18"/>
          <w:szCs w:val="18"/>
          <w:color w:val="auto"/>
        </w:rPr>
      </w:pPr>
    </w:p>
    <w:p>
      <w:pPr>
        <w:ind w:left="500" w:right="100" w:hanging="493"/>
        <w:spacing w:after="0" w:line="289" w:lineRule="auto"/>
        <w:tabs>
          <w:tab w:leader="none" w:pos="5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market opportunities for our product candidates are smaller than we believe they are, we may not meet our revenue expectations and, assuming approval of a product candidate, our business may suffer. Because the patient populations in the market for our product candidates may be small, we must be able to successfully identify patients and acquire a significant market share to achieve profitability and growth.</w:t>
      </w:r>
    </w:p>
    <w:p>
      <w:pPr>
        <w:spacing w:after="0" w:line="49" w:lineRule="exact"/>
        <w:rPr>
          <w:rFonts w:ascii="Times New Roman" w:cs="Times New Roman" w:eastAsia="Times New Roman" w:hAnsi="Times New Roman"/>
          <w:sz w:val="17"/>
          <w:szCs w:val="17"/>
          <w:color w:val="auto"/>
        </w:rPr>
      </w:pPr>
    </w:p>
    <w:p>
      <w:pPr>
        <w:ind w:left="500" w:hanging="493"/>
        <w:spacing w:after="0"/>
        <w:tabs>
          <w:tab w:leader="none" w:pos="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substantial competition, and our competitors may discover, develop or commercialize products faster or more successfully than us.</w:t>
      </w:r>
    </w:p>
    <w:p>
      <w:pPr>
        <w:spacing w:after="0" w:line="117" w:lineRule="exact"/>
        <w:rPr>
          <w:rFonts w:ascii="Times New Roman" w:cs="Times New Roman" w:eastAsia="Times New Roman" w:hAnsi="Times New Roman"/>
          <w:sz w:val="18"/>
          <w:szCs w:val="18"/>
          <w:color w:val="auto"/>
        </w:rPr>
      </w:pPr>
    </w:p>
    <w:p>
      <w:pPr>
        <w:ind w:left="500" w:right="300" w:hanging="493"/>
        <w:spacing w:after="0" w:line="282" w:lineRule="auto"/>
        <w:tabs>
          <w:tab w:leader="none" w:pos="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employees, independent contractors, principal investigators, CROs, consultants and collaborators may engage in misconduct or other improper activities, including noncompliance with regulatory standards and requirements and insider trading.</w:t>
      </w:r>
    </w:p>
    <w:p>
      <w:pPr>
        <w:spacing w:after="0" w:line="53" w:lineRule="exact"/>
        <w:rPr>
          <w:rFonts w:ascii="Times New Roman" w:cs="Times New Roman" w:eastAsia="Times New Roman" w:hAnsi="Times New Roman"/>
          <w:sz w:val="18"/>
          <w:szCs w:val="18"/>
          <w:color w:val="auto"/>
        </w:rPr>
      </w:pPr>
    </w:p>
    <w:p>
      <w:pPr>
        <w:ind w:left="500" w:right="20" w:hanging="493"/>
        <w:spacing w:after="0" w:line="282" w:lineRule="auto"/>
        <w:tabs>
          <w:tab w:leader="none" w:pos="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employment agreements with our executive officers may require us to pay severance benefits to any of those persons who are terminated in connection with a change of control, which could harm our business, financial condition or results of operations.</w:t>
      </w:r>
    </w:p>
    <w:p>
      <w:pPr>
        <w:spacing w:after="0" w:line="162"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820" w:top="364" w:right="379" w:bottom="1440" w:gutter="0" w:footer="0" w:header="0"/>
        </w:sectPr>
      </w:pPr>
    </w:p>
    <w:bookmarkStart w:id="27" w:name="page28"/>
    <w:bookmarkEnd w:id="27"/>
    <w:p>
      <w:pPr>
        <w:ind w:left="1000" w:right="220" w:hanging="493"/>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principal stockholders and management own a significant percentage of our stock and are able to exert significant control over matters subject to stockholder approval.</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common stock or securities convertible or exchangeable for our common stock may depress our stock price.</w:t>
      </w:r>
    </w:p>
    <w:p>
      <w:pPr>
        <w:spacing w:after="0" w:line="117" w:lineRule="exact"/>
        <w:rPr>
          <w:rFonts w:ascii="Times New Roman" w:cs="Times New Roman" w:eastAsia="Times New Roman" w:hAnsi="Times New Roman"/>
          <w:sz w:val="18"/>
          <w:szCs w:val="18"/>
          <w:color w:val="auto"/>
        </w:rPr>
      </w:pPr>
    </w:p>
    <w:p>
      <w:pPr>
        <w:ind w:left="1000" w:right="120" w:hanging="493"/>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of our charter documents or Delaware law could delay or prevent an acquisition of us, even if the acquisition would be beneficial to our stockholders and could make it more difficult for you to change management.</w:t>
      </w:r>
    </w:p>
    <w:p>
      <w:pPr>
        <w:spacing w:after="0" w:line="53" w:lineRule="exact"/>
        <w:rPr>
          <w:rFonts w:ascii="Times New Roman" w:cs="Times New Roman" w:eastAsia="Times New Roman" w:hAnsi="Times New Roman"/>
          <w:sz w:val="18"/>
          <w:szCs w:val="18"/>
          <w:color w:val="auto"/>
        </w:rPr>
      </w:pPr>
    </w:p>
    <w:p>
      <w:pPr>
        <w:ind w:left="1000" w:right="120" w:hanging="493"/>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anticipate paying any cash dividends on our common stock in the foreseeable future; therefore, capital appreciation, if any, of our common stock will be your sole source of gain for the foreseeable future.</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Condition, Capital Requirements and Operating Results</w:t>
      </w:r>
    </w:p>
    <w:p>
      <w:pPr>
        <w:spacing w:after="0" w:line="11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clinical-stage biopharmaceutical company with a history of losses, and we expect to continue to incur losses for the foreseeable future, and we may never achieve or maintain profitability.</w:t>
      </w:r>
    </w:p>
    <w:p>
      <w:pPr>
        <w:spacing w:after="0" w:line="51" w:lineRule="exact"/>
        <w:rPr>
          <w:sz w:val="20"/>
          <w:szCs w:val="20"/>
          <w:color w:val="auto"/>
        </w:rPr>
      </w:pPr>
    </w:p>
    <w:p>
      <w:pPr>
        <w:ind w:right="60" w:firstLine="510"/>
        <w:spacing w:after="0" w:line="256"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the development of Synthetic Biotics and we have incurred significant operating losses since our inception. Our net loss was approximately $15.7 million and $15.0 million for the three months ended March 31, 2022 and March 31, 2021, respectively. As of March 31, 2022, we had an accumulated deficit of approximately $306.6 million. To date, we have not generated any product revenue. Substantially all of our losses have resulted from expenses incurred in connection with our research and development programs and from general and administrative costs associated with our operations. We have no products on the market and expect that it will be many years, if ever, before we have a product candidate approved for commercialization.</w:t>
      </w:r>
    </w:p>
    <w:p>
      <w:pPr>
        <w:spacing w:after="0" w:line="187" w:lineRule="exact"/>
        <w:rPr>
          <w:sz w:val="20"/>
          <w:szCs w:val="20"/>
          <w:color w:val="auto"/>
        </w:rPr>
      </w:pPr>
    </w:p>
    <w:p>
      <w:pPr>
        <w:ind w:right="40" w:firstLine="510"/>
        <w:spacing w:after="0" w:line="253" w:lineRule="auto"/>
        <w:rPr>
          <w:sz w:val="20"/>
          <w:szCs w:val="20"/>
          <w:color w:val="auto"/>
        </w:rPr>
      </w:pPr>
      <w:r>
        <w:rPr>
          <w:rFonts w:ascii="Times New Roman" w:cs="Times New Roman" w:eastAsia="Times New Roman" w:hAnsi="Times New Roman"/>
          <w:sz w:val="18"/>
          <w:szCs w:val="18"/>
          <w:color w:val="auto"/>
        </w:rPr>
        <w:t>We have not generated, and do not expect to generate, any product revenue for the foreseeable future, and we expect to continue to incur significant operating losses for the foreseeable future due to the cost of research and development, preclinical studies and clinical trials, the regulatory review process for product candidates, and the development of manufacturing and marketing capabilities for any product candidates approved for commercial sale. The amount of our potential future losses is uncertain. To achieve profitability, we must successfully develop product candidates, obtain regulatory approvals to market and commercialize product candidates, manufacture any approved product candidates on commercially reasonable terms, establish a sales and marketing organization or suitable third-party alternatives for any approved product candidates and raise sufficient funds to finance our business activities. We may never succeed in these activities and, even if we do, may never generate revenues that are significant or large enough to achieve profitability. Even if we do achieve profitability, we may not be able to sustain or increase profitability on a quarterly or annual basis. Our failure to become and remain profitable would decrease our value and could impair our ability to raise capital, maintain our research and development efforts, expand our business or continue our operations. A decline in our value could also cause our stockholders to lose all or part of their investment.</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require substantial additional funding, which may not be available on acceptable terms, or at all.</w:t>
      </w:r>
    </w:p>
    <w:p>
      <w:pPr>
        <w:spacing w:after="0" w:line="121" w:lineRule="exact"/>
        <w:rPr>
          <w:sz w:val="20"/>
          <w:szCs w:val="20"/>
          <w:color w:val="auto"/>
        </w:rPr>
      </w:pPr>
    </w:p>
    <w:p>
      <w:pPr>
        <w:ind w:right="100" w:firstLine="510"/>
        <w:spacing w:after="0" w:line="255" w:lineRule="auto"/>
        <w:rPr>
          <w:sz w:val="20"/>
          <w:szCs w:val="20"/>
          <w:color w:val="auto"/>
        </w:rPr>
      </w:pPr>
      <w:r>
        <w:rPr>
          <w:rFonts w:ascii="Times New Roman" w:cs="Times New Roman" w:eastAsia="Times New Roman" w:hAnsi="Times New Roman"/>
          <w:sz w:val="18"/>
          <w:szCs w:val="18"/>
          <w:color w:val="auto"/>
        </w:rPr>
        <w:t>We have used substantial funds to discover and develop our programs and proprietary drug development platform in synthetic biology and will require substantial additional funds to conduct further research and development, including preclinical studies and clinical trials of our product candidates, seek regulatory approvals for our product candidates and manufacture and market any products that are approved for commercial sale. Our future capital requirements and the period for which we expect our existing resources to support our operations may vary significantly from what we expect. Our monthly spending levels vary based on new and ongoing research and development and corporate activities. Because we cannot be certain of the length of time or activities associated with successful development and commercialization of our product candidates, we are unable to estimate the actual funds we will require to develop and commercialize them.</w:t>
      </w:r>
    </w:p>
    <w:p>
      <w:pPr>
        <w:spacing w:after="0" w:line="189"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We do not expect to realize any appreciable revenue from product sales or royalties in the foreseeable future, if at all. Our revenue sources will remain very limited unless and until our product candidates complete clinical development and are approved for commercialization and successfully marketed or we enter into third-party arrangements with collaborators. To date, we have primarily financed our operations through sales of our securities, our third-party collaborations and the Merger. We intend to seek additional funding in the future through collaborations, equity or debt financings, credit or loan facilities or a combination of one or more of these financing sources. Our ability to raise additional funds will depend on financial, economic and other factors, many of which are beyond our control. Additional funds may not be available to us on acceptable terms or at all. If we raise additional funds by issuing equity or convertible debt securities, our stockholders will suffer dilution and the terms of any financing may adversely affect the rights of our stockholders. In addition, as a condition to providing additional funds to us, future investors may demand, and may be granted, rights superior to those of existing stockholders. Debt financing, if available, may involve restrictive covenants limiting our flexibility in conducting future business activities, and, in the event of insolvency, debt holders would be repaid before holders of equity securities received any distribution of corporate assets.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2" w:right="359" w:bottom="1440" w:gutter="0" w:footer="0" w:header="0"/>
        </w:sectPr>
      </w:pPr>
    </w:p>
    <w:bookmarkStart w:id="28" w:name="page29"/>
    <w:bookmarkEnd w:id="28"/>
    <w:p>
      <w:pPr>
        <w:ind w:right="400" w:firstLine="510"/>
        <w:spacing w:after="0" w:line="261" w:lineRule="auto"/>
        <w:rPr>
          <w:sz w:val="20"/>
          <w:szCs w:val="20"/>
          <w:color w:val="auto"/>
        </w:rPr>
      </w:pPr>
      <w:r>
        <w:rPr>
          <w:rFonts w:ascii="Times New Roman" w:cs="Times New Roman" w:eastAsia="Times New Roman" w:hAnsi="Times New Roman"/>
          <w:sz w:val="18"/>
          <w:szCs w:val="18"/>
          <w:color w:val="auto"/>
        </w:rPr>
        <w:t>If we are unable to obtain funding on a timely basis or on acceptable terms, or at all, we may have to delay, limit or terminate our research and development programs and preclinical studies or clinical trials, if any, limit strategic opportunities or undergo reductions in our workforce or other corporate restructuring activities. We also could be required to seek funds through arrangements with collaborators or others that may require us to relinquish rights to some of our product candidates or technologies that we would otherwise pursue on our own.</w:t>
      </w:r>
    </w:p>
    <w:p>
      <w:pPr>
        <w:spacing w:after="0" w:line="284"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quarterly and annual operating results may fluctuate in the future. As a result, we may fail to meet the expectations of research analysts or investors, which could cause our stock price to decline.</w:t>
      </w:r>
    </w:p>
    <w:p>
      <w:pPr>
        <w:spacing w:after="0" w:line="51" w:lineRule="exact"/>
        <w:rPr>
          <w:sz w:val="20"/>
          <w:szCs w:val="20"/>
          <w:color w:val="auto"/>
        </w:rPr>
      </w:pPr>
    </w:p>
    <w:p>
      <w:pPr>
        <w:ind w:firstLine="510"/>
        <w:spacing w:after="0" w:line="266" w:lineRule="auto"/>
        <w:rPr>
          <w:sz w:val="20"/>
          <w:szCs w:val="20"/>
          <w:color w:val="auto"/>
        </w:rPr>
      </w:pPr>
      <w:r>
        <w:rPr>
          <w:rFonts w:ascii="Times New Roman" w:cs="Times New Roman" w:eastAsia="Times New Roman" w:hAnsi="Times New Roman"/>
          <w:sz w:val="18"/>
          <w:szCs w:val="18"/>
          <w:color w:val="auto"/>
        </w:rPr>
        <w:t>Our financial condition and operating results may fluctuate from quarter to quarter and year to year in the future due to a variety of factors, many of which are beyond our control. Factors relating to our business that may contribute to these fluctuations include the following factors, as well as factors described elsewhere in this Quarterly Report on Form 10-Q and others:</w:t>
      </w:r>
    </w:p>
    <w:p>
      <w:pPr>
        <w:spacing w:after="0" w:line="68" w:lineRule="exact"/>
        <w:rPr>
          <w:sz w:val="20"/>
          <w:szCs w:val="20"/>
          <w:color w:val="auto"/>
        </w:rPr>
      </w:pPr>
    </w:p>
    <w:p>
      <w:pPr>
        <w:ind w:left="1000" w:hanging="493"/>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or maintain profitability;</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maintain Synthetic Biotic technologies;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growth;</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outcomes of research programs, clinical trials, or other product development and approval processes;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accurately report our financial results in a timely manner;</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and the need to attract and retain, key management and other personnel;</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protect and enforce our intellectual property rights;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prevent the theft or misappropriation of our intellectual property, know-how or technologies;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milestones with our collaborators, such as Roche;</w:t>
      </w:r>
    </w:p>
    <w:p>
      <w:pPr>
        <w:spacing w:after="0" w:line="117" w:lineRule="exact"/>
        <w:rPr>
          <w:rFonts w:ascii="Times New Roman" w:cs="Times New Roman" w:eastAsia="Times New Roman" w:hAnsi="Times New Roman"/>
          <w:sz w:val="18"/>
          <w:szCs w:val="18"/>
          <w:color w:val="auto"/>
        </w:rPr>
      </w:pPr>
    </w:p>
    <w:p>
      <w:pPr>
        <w:ind w:left="1000" w:right="140" w:hanging="493"/>
        <w:spacing w:after="0" w:line="282"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advantages that our competitors and potential competitors may have in securing funding or developing competing technologies or products; and</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capital that may be necessary to expand our business.</w:t>
      </w:r>
    </w:p>
    <w:p>
      <w:pPr>
        <w:spacing w:after="0" w:line="225" w:lineRule="exact"/>
        <w:rPr>
          <w:sz w:val="20"/>
          <w:szCs w:val="20"/>
          <w:color w:val="auto"/>
        </w:rPr>
      </w:pPr>
    </w:p>
    <w:p>
      <w:pPr>
        <w:ind w:right="60" w:firstLine="510"/>
        <w:spacing w:after="0" w:line="282" w:lineRule="auto"/>
        <w:rPr>
          <w:sz w:val="20"/>
          <w:szCs w:val="20"/>
          <w:color w:val="auto"/>
        </w:rPr>
      </w:pPr>
      <w:r>
        <w:rPr>
          <w:rFonts w:ascii="Times New Roman" w:cs="Times New Roman" w:eastAsia="Times New Roman" w:hAnsi="Times New Roman"/>
          <w:sz w:val="18"/>
          <w:szCs w:val="18"/>
          <w:color w:val="auto"/>
        </w:rPr>
        <w:t>Due to the various factors mentioned above, and others, the results of any prior quarterly or annual periods should not be relied upon as indications of our future operating performance.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is volatile, and our stockholders may not be able to resell shares of our common stock at or above the price they paid.</w:t>
      </w:r>
    </w:p>
    <w:p>
      <w:pPr>
        <w:spacing w:after="0" w:line="121"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The trading price of our common stock is highly volatile and could be subject to wide fluctuations in response to various factors, some of which are beyond our control, such as reports by industry analysts, investor perceptions, general industry trends or negative announcements by other companies involving similar technologies or diseases. These factors also include those discussed in this “Risk Factors” section of this Annual Report on Form 10-K and others such as:</w:t>
      </w:r>
    </w:p>
    <w:p>
      <w:pPr>
        <w:spacing w:after="0" w:line="72" w:lineRule="exact"/>
        <w:rPr>
          <w:sz w:val="20"/>
          <w:szCs w:val="20"/>
          <w:color w:val="auto"/>
        </w:rPr>
      </w:pPr>
    </w:p>
    <w:p>
      <w:pPr>
        <w:ind w:left="1000" w:right="540" w:hanging="493"/>
        <w:spacing w:after="0" w:line="282"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relating to collaborations that we may enter into with respect to the development or commercialization of our product candidates;</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relating to the receipt, modification or termination of government contracts or grants;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or delay of a development program;</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claims related to our clinical trials or product candidates;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prevailing economic conditions;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perspectives on synthetic biology and genetic engineering;</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disruptions caused by natural disasters;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concerning our intellectual property or other proprietary rights;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or other U.S. or foreign regulatory actions affecting us or our industry;</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80" w:right="419" w:bottom="1440" w:gutter="0" w:footer="0" w:header="0"/>
        </w:sectPr>
      </w:pPr>
    </w:p>
    <w:bookmarkStart w:id="29" w:name="page30"/>
    <w:bookmarkEnd w:id="29"/>
    <w:p>
      <w:pPr>
        <w:ind w:left="1000" w:hanging="493"/>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the company, our executive officers and directors or our stockholders in the future;</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or issuances of equity or debt securities by us;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an active, liquid and orderly market in our common stock;</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quarterly operating results; and</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new or changed securities analysts’ reports or recommendations regarding us.</w:t>
      </w:r>
    </w:p>
    <w:p>
      <w:pPr>
        <w:spacing w:after="0" w:line="225" w:lineRule="exact"/>
        <w:rPr>
          <w:sz w:val="20"/>
          <w:szCs w:val="20"/>
          <w:color w:val="auto"/>
        </w:rPr>
      </w:pPr>
    </w:p>
    <w:p>
      <w:pPr>
        <w:ind w:right="240" w:firstLine="510"/>
        <w:spacing w:after="0" w:line="258" w:lineRule="auto"/>
        <w:rPr>
          <w:sz w:val="20"/>
          <w:szCs w:val="20"/>
          <w:color w:val="auto"/>
        </w:rPr>
      </w:pPr>
      <w:r>
        <w:rPr>
          <w:rFonts w:ascii="Times New Roman" w:cs="Times New Roman" w:eastAsia="Times New Roman" w:hAnsi="Times New Roman"/>
          <w:sz w:val="18"/>
          <w:szCs w:val="18"/>
          <w:color w:val="auto"/>
        </w:rPr>
        <w:t>In addition, the stock markets in general, and the markets for pharmaceutical, biopharmaceutical and biotechnology stocks in particular, have experienced extreme volatility that have been often unrelated to the operating performance of the issuer. These broad market fluctuations may adversely affect the trading price or liquidity of our common stock. In the past, when the market price of a stock has been volatile, holders of that stock have sometimes instituted securities class action litigation against the issuer. If any of our stockholders were to bring such a lawsuit against us, we could incur substantial costs defending the lawsuit and the attention of our management would be diverted from the operation of our business.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short operating history may make it difficult for stockholders to evaluate the success of our business to date and to assess our future viability.</w:t>
      </w:r>
    </w:p>
    <w:p>
      <w:pPr>
        <w:spacing w:after="0" w:line="121" w:lineRule="exact"/>
        <w:rPr>
          <w:sz w:val="20"/>
          <w:szCs w:val="20"/>
          <w:color w:val="auto"/>
        </w:rPr>
      </w:pPr>
    </w:p>
    <w:p>
      <w:pPr>
        <w:ind w:firstLine="510"/>
        <w:spacing w:after="0" w:line="252" w:lineRule="auto"/>
        <w:rPr>
          <w:sz w:val="20"/>
          <w:szCs w:val="20"/>
          <w:color w:val="auto"/>
        </w:rPr>
      </w:pPr>
      <w:r>
        <w:rPr>
          <w:rFonts w:ascii="Times New Roman" w:cs="Times New Roman" w:eastAsia="Times New Roman" w:hAnsi="Times New Roman"/>
          <w:sz w:val="18"/>
          <w:szCs w:val="18"/>
          <w:color w:val="auto"/>
        </w:rPr>
        <w:t>We are a clinical-stage biopharmaceutical company with a limited operating history. We commenced active operations in 2014. Our operations to date have been limited to organizing and staffing our company, research and development activities, business planning and raising capital. In April 2018, we dosed our first subject in a Phase 1/2a clinical trial of SYNB1618 which is being developed for the treatment of patients with PKU. In January 2020, we announced that we had dosed the first subject in our Phase 1 clinical trial of SYNB1891 which is being developed for the treatment of patients with solid tumors and lymphoma. In November of 2020, we announced that we had initiated the Phase 2 clinical trial of SYNB1618, referred to as the SynPheny-1 clinical trial, and the Phase 1 clinical trial of SYNB8802. In the third quarter of 2021, we added an arm evaluating SYNB1934 to the ongoing SynPheny-1 clinical trial and in February 2022 we dosed our first subject. All of our other therapeutic programs are still in the preclinical or clinical development stage. We will need to transition from a company with a focus on research and clinical development to a company capable of commercial activities. We have not yet demonstrated our ability to successfully complete large-scale, pivotal clinical trials, obtain marketing approvals, manufacture a commercial-scale product, or arrange for a third-party to do so on our behalf, or conduct sales and marketing activities necessary for successful product commercialization. Typically, it takes many years to develop one new product candidate from the time it is discovered to the time that it becomes available for treating patients. We may encounter unforeseen expenses, difficulties, complications, delays and other known and unknown factors that may hinder our success in commercializing one or more of our product candidates. Further, drug development is a capital-intensive and highly speculative undertaking that involves a substantial degree of risk. You should consider our prospects in light of the costs, uncertainties, delays and difficulties frequently encountered by companies in the early stages of development and clinical trials. Any forward-looking statements regarding our future prospects, plans or viability may not be as accurate as they may be if we had a longer operating history or a history of successfully developing and commercializing pharmaceutical products.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Development of Our Product Candidates</w:t>
      </w:r>
    </w:p>
    <w:p>
      <w:pPr>
        <w:spacing w:after="0" w:line="117"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Clinical trials are costly, time consuming and inherently risky, and we may fail to demonstrate safety and efficacy to the satisfaction of applicable regulatory authorities.</w:t>
      </w:r>
    </w:p>
    <w:p>
      <w:pPr>
        <w:spacing w:after="0" w:line="51" w:lineRule="exact"/>
        <w:rPr>
          <w:sz w:val="20"/>
          <w:szCs w:val="20"/>
          <w:color w:val="auto"/>
        </w:rPr>
      </w:pPr>
    </w:p>
    <w:p>
      <w:pPr>
        <w:ind w:right="80" w:firstLine="510"/>
        <w:spacing w:after="0" w:line="289" w:lineRule="auto"/>
        <w:rPr>
          <w:sz w:val="20"/>
          <w:szCs w:val="20"/>
          <w:color w:val="auto"/>
        </w:rPr>
      </w:pPr>
      <w:r>
        <w:rPr>
          <w:rFonts w:ascii="Times New Roman" w:cs="Times New Roman" w:eastAsia="Times New Roman" w:hAnsi="Times New Roman"/>
          <w:sz w:val="17"/>
          <w:szCs w:val="17"/>
          <w:color w:val="auto"/>
        </w:rPr>
        <w:t>Clinical development of a product candidate is expensive, time consuming and involves significant risk. We cannot guarantee that any clinical trials we undertake to conduct will be conducted as planned or completed on schedule or at all. A failure of one or more clinical trials can occur at any stage of development. Events that may prevent successful or timely completion of clinical development of our product candidates include but are not limited to:</w:t>
      </w:r>
    </w:p>
    <w:p>
      <w:pPr>
        <w:spacing w:after="0" w:line="48" w:lineRule="exact"/>
        <w:rPr>
          <w:sz w:val="20"/>
          <w:szCs w:val="20"/>
          <w:color w:val="auto"/>
        </w:rPr>
      </w:pPr>
    </w:p>
    <w:p>
      <w:pPr>
        <w:ind w:left="1000" w:right="180" w:hanging="493"/>
        <w:spacing w:after="0" w:line="284"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inability to generate satisfactory preclinical or other nonclinical data, including, toxicology, or other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data or diagnostics to support the initiation or continuation of clinical trials;</w:t>
      </w:r>
    </w:p>
    <w:p>
      <w:pPr>
        <w:spacing w:after="0" w:line="52" w:lineRule="exact"/>
        <w:rPr>
          <w:rFonts w:ascii="Times New Roman" w:cs="Times New Roman" w:eastAsia="Times New Roman" w:hAnsi="Times New Roman"/>
          <w:sz w:val="18"/>
          <w:szCs w:val="18"/>
          <w:color w:val="auto"/>
        </w:rPr>
      </w:pPr>
    </w:p>
    <w:p>
      <w:pPr>
        <w:ind w:left="1000" w:right="820" w:hanging="493"/>
        <w:spacing w:after="0" w:line="282"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agreement on acceptable terms with CROs and clinical trial sites, the terms of which can be subject to extensive negotiation and may vary significantly among different CROs and clinical trial sites;</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obtaining required institutional review board approval at each clinical trial site;</w:t>
      </w:r>
    </w:p>
    <w:p>
      <w:pPr>
        <w:spacing w:after="0" w:line="117" w:lineRule="exact"/>
        <w:rPr>
          <w:rFonts w:ascii="Times New Roman" w:cs="Times New Roman" w:eastAsia="Times New Roman" w:hAnsi="Times New Roman"/>
          <w:sz w:val="18"/>
          <w:szCs w:val="18"/>
          <w:color w:val="auto"/>
        </w:rPr>
      </w:pPr>
    </w:p>
    <w:p>
      <w:pPr>
        <w:ind w:left="1000" w:right="400" w:hanging="493"/>
        <w:spacing w:after="0" w:line="282"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permit the conduct of a clinical trial by regulatory authorities, after review of an investigational new drug or equivalent foreign application or amendment;</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recruiting qualified patients in our clinical trials;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clinical sites or CROs or other third parties to adhere to clinical trial requirements;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0" w:name="page31"/>
    <w:bookmarkEnd w:id="30"/>
    <w:p>
      <w:pPr>
        <w:ind w:left="1000" w:right="120" w:hanging="493"/>
        <w:spacing w:after="0" w:line="282"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clinical sites, CROs or other third parties to perform in accordance with the good clinical practices requirements of the FDA or applicable foreign regulatory guidelines;</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dropping out of the clinical trials;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 of adverse events, unacceptable side effects or toxicity issues associated with our product candidates;</w:t>
      </w:r>
    </w:p>
    <w:p>
      <w:pPr>
        <w:spacing w:after="0" w:line="117" w:lineRule="exact"/>
        <w:rPr>
          <w:rFonts w:ascii="Times New Roman" w:cs="Times New Roman" w:eastAsia="Times New Roman" w:hAnsi="Times New Roman"/>
          <w:sz w:val="18"/>
          <w:szCs w:val="18"/>
          <w:color w:val="auto"/>
        </w:rPr>
      </w:pPr>
    </w:p>
    <w:p>
      <w:pPr>
        <w:ind w:left="1000" w:right="80" w:hanging="493"/>
        <w:spacing w:after="0" w:line="282"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by the FDA of a clinical hold or the requirement by other similar regulatory agencies that one or more clinical trials be delayed or halted;</w:t>
      </w:r>
    </w:p>
    <w:p>
      <w:pPr>
        <w:spacing w:after="0" w:line="53" w:lineRule="exact"/>
        <w:rPr>
          <w:rFonts w:ascii="Times New Roman" w:cs="Times New Roman" w:eastAsia="Times New Roman" w:hAnsi="Times New Roman"/>
          <w:sz w:val="18"/>
          <w:szCs w:val="18"/>
          <w:color w:val="auto"/>
        </w:rPr>
      </w:pPr>
    </w:p>
    <w:p>
      <w:pPr>
        <w:ind w:left="1000" w:right="620" w:hanging="493"/>
        <w:spacing w:after="0" w:line="282"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and guidance that require amending or submitting new clinical protocols or performing additional nonclinical studies;</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ultimate affordability of the cost of clinical trials of our product candidates;</w:t>
      </w:r>
    </w:p>
    <w:p>
      <w:pPr>
        <w:spacing w:after="0" w:line="117" w:lineRule="exact"/>
        <w:rPr>
          <w:rFonts w:ascii="Times New Roman" w:cs="Times New Roman" w:eastAsia="Times New Roman" w:hAnsi="Times New Roman"/>
          <w:sz w:val="18"/>
          <w:szCs w:val="18"/>
          <w:color w:val="auto"/>
        </w:rPr>
      </w:pPr>
    </w:p>
    <w:p>
      <w:pPr>
        <w:ind w:left="1000" w:right="40" w:hanging="493"/>
        <w:spacing w:after="0" w:line="266"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or inconclusive results from our clinical trials that may result in us deciding, or regulators requiring us, to conduct additional clinical trials or abandon such clinical trials and/or clinical trials or development programs in other ongoing or planned indications for a product candidate; and</w:t>
      </w:r>
    </w:p>
    <w:p>
      <w:pPr>
        <w:spacing w:after="0" w:line="67" w:lineRule="exact"/>
        <w:rPr>
          <w:rFonts w:ascii="Times New Roman" w:cs="Times New Roman" w:eastAsia="Times New Roman" w:hAnsi="Times New Roman"/>
          <w:sz w:val="18"/>
          <w:szCs w:val="18"/>
          <w:color w:val="auto"/>
        </w:rPr>
      </w:pPr>
    </w:p>
    <w:p>
      <w:pPr>
        <w:ind w:left="1000" w:right="180" w:hanging="493"/>
        <w:spacing w:after="0" w:line="266"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identifying or reaching agreement on acceptable terms with third-party manufacturers, delays in developing and transferring a reproducible, scalable manufacturing process, or delays or failure in manufacturing sufficient quantities of our product candidates for use in clinical trials.</w:t>
      </w:r>
    </w:p>
    <w:p>
      <w:pPr>
        <w:spacing w:after="0" w:line="176" w:lineRule="exact"/>
        <w:rPr>
          <w:sz w:val="20"/>
          <w:szCs w:val="20"/>
          <w:color w:val="auto"/>
        </w:rPr>
      </w:pPr>
    </w:p>
    <w:p>
      <w:pPr>
        <w:ind w:right="40" w:firstLine="510"/>
        <w:spacing w:after="0" w:line="256" w:lineRule="auto"/>
        <w:rPr>
          <w:sz w:val="20"/>
          <w:szCs w:val="20"/>
          <w:color w:val="auto"/>
        </w:rPr>
      </w:pPr>
      <w:r>
        <w:rPr>
          <w:rFonts w:ascii="Times New Roman" w:cs="Times New Roman" w:eastAsia="Times New Roman" w:hAnsi="Times New Roman"/>
          <w:sz w:val="18"/>
          <w:szCs w:val="18"/>
          <w:color w:val="auto"/>
        </w:rPr>
        <w:t>Any inability to successfully complete clinical development and obtain regulatory approval for our product candidates could result in additional costs to us or impair our ability to generate revenue. In addition, if we make manufacturing or formulation changes to our product candidates, we may need to conduct additional preclinical studies and/or clinical trials, or the results obtained from such new formulation may not be consistent with previous results obtained. Clinical trial delays could also shorten any anticipated periods of patent exclusivity for our product candidates and may allow competitors to develop and bring products to market before we do which could impair our ability to successfully commercialize our product candidates and may harm our business and results of operations.</w:t>
      </w:r>
    </w:p>
    <w:p>
      <w:pPr>
        <w:spacing w:after="0" w:line="291"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approach we are taking to discover and develop novel therapeutics using synthetic biology to create novel medicines is unproven and may never lead to marketable products.</w:t>
      </w:r>
    </w:p>
    <w:p>
      <w:pPr>
        <w:spacing w:after="0" w:line="51"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The scientific discoveries that form the basis for our efforts to generate and develop our product candidates are relatively recent. The scientific evidence to support the feasibility of developing drugs based on our approach is both preliminary and limited. Synthetic Biotics represent a novel therapeutic modality and their successful development by us may require additional studies and efforts to optimize their therapeutic potential. Any product candidates that we develop may not demonstrate in patients the therapeutic properties ascribed to them in laboratory and other preclinical studies, and they may interact with human biological systems in unforeseen, ineffective or even harmful ways. We have also not yet succeeded and may never succeed in demonstrating efficacy and safety for our current or any future product candidates in a pivotal clinical trial. If we are not able to successfully develop and commercialize product candidates based upon this technological approach, we may never become profitable, and the value of our capital stock may decline.</w:t>
      </w:r>
    </w:p>
    <w:p>
      <w:pPr>
        <w:spacing w:after="0" w:line="293"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Synthetic Biotic product candidates are based on a relatively novel technology, which makes it difficult to predict the time and cost of development and of subsequently obtaining regulatory approval, if at all.</w:t>
      </w:r>
    </w:p>
    <w:p>
      <w:pPr>
        <w:spacing w:after="0" w:line="51" w:lineRule="exact"/>
        <w:rPr>
          <w:sz w:val="20"/>
          <w:szCs w:val="20"/>
          <w:color w:val="auto"/>
        </w:rPr>
      </w:pPr>
    </w:p>
    <w:p>
      <w:pPr>
        <w:ind w:right="120" w:firstLine="510"/>
        <w:spacing w:after="0" w:line="258" w:lineRule="auto"/>
        <w:rPr>
          <w:sz w:val="20"/>
          <w:szCs w:val="20"/>
          <w:color w:val="auto"/>
        </w:rPr>
      </w:pPr>
      <w:r>
        <w:rPr>
          <w:rFonts w:ascii="Times New Roman" w:cs="Times New Roman" w:eastAsia="Times New Roman" w:hAnsi="Times New Roman"/>
          <w:sz w:val="18"/>
          <w:szCs w:val="18"/>
          <w:color w:val="auto"/>
        </w:rPr>
        <w:t>We have concentrated our research and development efforts to date on a limited number of product candidates based on our Synthetic Biotic therapeutic platform, including demonstrating proof of concept of our lead program in in phenylketonuria (PKU), proof of mechanism for enteric hyperoxaluria, and the initiation of IND-enabling for a potential treatment for homocystinuria (HCU). Our future success depends on our successful development of viable product candidates. There can be no assurance that we will not experience problems or delays in developing our product candidates and that such problems or delays will not cause unanticipated costs, or that any such development problems can be solved.</w:t>
      </w:r>
    </w:p>
    <w:p>
      <w:pPr>
        <w:spacing w:after="0" w:line="183"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The clinical trial and manufacturing requirements of the FDA, the European Medicines Agency and other regulatory authorities, and the criteria these regulators use to determine the safety and efficacy of a product candidate, vary substantially according to the type, complexity, novelty and intended use and market of the product candidate. The regulatory approval process for novel product candidates such as Synthetic Biotics may be more expensive and take longer than for other, better known or more extensively studied therapeutic modalities. It is difficult to determine how long it will take or how much it will cost to obtain regulatory approvals for our product candidates in either the United States or the European Union or how long it will take to commercialize our product candidates, even if approved for marketing. Approvals by the European Medicines Agency or national regulatory agencies may not be indicative of what the FDA, and vice versa, may require for approval and different or additional preclinical studies or clinical trials may be required to support regulatory approval in each respective jurisdiction. Delay or failure to obtain, or unexpected costs in obtaining, the regulatory approval necessary to bring a potential product candidate to market could decrease our ability to generate sufficient product revenue, and our business, financial condition, results of operations and prospects may be harmed.</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use and expand our development platform to build a pipeline of product candidates.</w:t>
      </w:r>
    </w:p>
    <w:p>
      <w:pPr>
        <w:spacing w:after="0" w:line="121"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A key element of our strategy is to use our targeted focus and experienced management and scientific team to create Synthetic Biotics that can be deployed against a broad range of human diseases in order to build a pipeline of product candidates. Although our research and development efforts to date have resulted in potential product candidates, we may not be able to continue to identify and develop additional product candidates. Even if we are successful in continuing to build our pipeline, the potential product candidates that we identify may not be suitable for clinical development. For example, these potential product candidates may be shown to have harmful side effects or other characteristics that indicate that they are unlikely to be drugs that will receive marketing approval and achieve market acceptance. If we do not successfully develop and commercialize product candidates based upon our approach, we will not be able to obtain product revenue in future periods, which likely would result in significant harm to our financial position. There is no assurance that we will be successful in our preclinical and clinical development, and the process of obtaining regulatory approvals will, in any event, require the expenditure of substantial time and financial resources.</w:t>
      </w:r>
    </w:p>
    <w:p>
      <w:pPr>
        <w:spacing w:after="0" w:line="292"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cause undesirable side effects or have other properties that could delay or prevent their regulatory approval, limit the commercial viability of an approved label, or result in significant negative consequences following marketing approval, if any.</w:t>
      </w:r>
    </w:p>
    <w:p>
      <w:pPr>
        <w:spacing w:after="0" w:line="51" w:lineRule="exact"/>
        <w:rPr>
          <w:sz w:val="20"/>
          <w:szCs w:val="20"/>
          <w:color w:val="auto"/>
        </w:rPr>
      </w:pPr>
    </w:p>
    <w:p>
      <w:pPr>
        <w:jc w:val="both"/>
        <w:ind w:right="100" w:firstLine="510"/>
        <w:spacing w:after="0" w:line="266" w:lineRule="auto"/>
        <w:rPr>
          <w:sz w:val="20"/>
          <w:szCs w:val="20"/>
          <w:color w:val="auto"/>
        </w:rPr>
      </w:pPr>
      <w:r>
        <w:rPr>
          <w:rFonts w:ascii="Times New Roman" w:cs="Times New Roman" w:eastAsia="Times New Roman" w:hAnsi="Times New Roman"/>
          <w:sz w:val="18"/>
          <w:szCs w:val="18"/>
          <w:color w:val="auto"/>
        </w:rPr>
        <w:t>Undesirable side effects caused by our product candidates could cause us or regulatory authorities to interrupt, delay or terminate our clinical trials or result in a restrictive label or delay regulatory approval by the FDA or comparable foreign authorities. Undesirable side effects and negative results for other indications may negatively impact the development and potential for approval of our product candidates for their proposed indications.</w:t>
      </w:r>
    </w:p>
    <w:p>
      <w:pPr>
        <w:spacing w:after="0" w:line="176" w:lineRule="exact"/>
        <w:rPr>
          <w:sz w:val="20"/>
          <w:szCs w:val="20"/>
          <w:color w:val="auto"/>
        </w:rPr>
      </w:pPr>
    </w:p>
    <w:p>
      <w:pPr>
        <w:ind w:right="320" w:firstLine="510"/>
        <w:spacing w:after="0" w:line="282" w:lineRule="auto"/>
        <w:rPr>
          <w:sz w:val="20"/>
          <w:szCs w:val="20"/>
          <w:color w:val="auto"/>
        </w:rPr>
      </w:pPr>
      <w:r>
        <w:rPr>
          <w:rFonts w:ascii="Times New Roman" w:cs="Times New Roman" w:eastAsia="Times New Roman" w:hAnsi="Times New Roman"/>
          <w:sz w:val="18"/>
          <w:szCs w:val="18"/>
          <w:color w:val="auto"/>
        </w:rPr>
        <w:t>Additionally, even if one or more of our product candidates receives marketing approval, and we or others later identify undesirable side effects caused by such products, potentially significant negative consequences could result, including but not limited to:</w:t>
      </w:r>
    </w:p>
    <w:p>
      <w:pPr>
        <w:spacing w:after="0" w:line="54" w:lineRule="exact"/>
        <w:rPr>
          <w:sz w:val="20"/>
          <w:szCs w:val="20"/>
          <w:color w:val="auto"/>
        </w:rPr>
      </w:pPr>
    </w:p>
    <w:p>
      <w:pPr>
        <w:ind w:left="1000" w:hanging="493"/>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approvals of or revoke licenses for such products;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labels of such products;</w:t>
      </w:r>
    </w:p>
    <w:p>
      <w:pPr>
        <w:spacing w:after="0" w:line="117" w:lineRule="exact"/>
        <w:rPr>
          <w:rFonts w:ascii="Times New Roman" w:cs="Times New Roman" w:eastAsia="Times New Roman" w:hAnsi="Times New Roman"/>
          <w:sz w:val="18"/>
          <w:szCs w:val="18"/>
          <w:color w:val="auto"/>
        </w:rPr>
      </w:pPr>
    </w:p>
    <w:p>
      <w:pPr>
        <w:ind w:left="1000" w:right="20" w:hanging="493"/>
        <w:spacing w:after="0" w:line="282"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 REMS plan, which could include a medication guide outlining the risks of such side effects for distribution to patients, a communication plan for healthcare providers, and/or other elements to assure safe use;</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conduct additional clinical trials or costly post-marketing testing and surveillance to monitor the safety of the product;</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 and</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25" w:lineRule="exact"/>
        <w:rPr>
          <w:sz w:val="20"/>
          <w:szCs w:val="20"/>
          <w:color w:val="auto"/>
        </w:rPr>
      </w:pPr>
    </w:p>
    <w:p>
      <w:pPr>
        <w:ind w:right="640" w:firstLine="510"/>
        <w:spacing w:after="0" w:line="282"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a product candidate, even if approved, and could significantly harm our business, results of operations, and prospects.</w:t>
      </w:r>
    </w:p>
    <w:p>
      <w:pPr>
        <w:spacing w:after="0" w:line="266"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product development program may not uncover all possible adverse events that patients who take our product candidates may experience. The number of subjects exposed to our product candidates during clinical trials and the average exposure time in the clinical development program may be inadequate to detect rare adverse events, or chance findings, that may only be detected once the product is administered to more patients and for greater periods of time.</w:t>
      </w:r>
    </w:p>
    <w:p>
      <w:pPr>
        <w:spacing w:after="0" w:line="72" w:lineRule="exact"/>
        <w:rPr>
          <w:sz w:val="20"/>
          <w:szCs w:val="20"/>
          <w:color w:val="auto"/>
        </w:rPr>
      </w:pPr>
    </w:p>
    <w:p>
      <w:pPr>
        <w:ind w:right="180" w:firstLine="510"/>
        <w:spacing w:after="0" w:line="256" w:lineRule="auto"/>
        <w:rPr>
          <w:sz w:val="20"/>
          <w:szCs w:val="20"/>
          <w:color w:val="auto"/>
        </w:rPr>
      </w:pPr>
      <w:r>
        <w:rPr>
          <w:rFonts w:ascii="Times New Roman" w:cs="Times New Roman" w:eastAsia="Times New Roman" w:hAnsi="Times New Roman"/>
          <w:sz w:val="18"/>
          <w:szCs w:val="18"/>
          <w:color w:val="auto"/>
        </w:rPr>
        <w:t>Clinical trials by their nature use a sample of the potential patient population. However, with a limited number of patients and limited duration of exposure, we cannot be fully assured that uncommon or severe side effects of our product candidates will be uncovered. Such side effects may only be uncovered with a significantly larger number of patients exposed to the drug. If such safety problems occur or are identified after a product candidate reaches the market, the FDA may require that we amend the labeling of the product or recall the product or may even withdraw approval for the product. Any of these events could prevent us from achieving or maintaining market acceptance of a product candidate, even if approved, and could significantly harm our business, results of operations, and prospects.</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84" w:right="399" w:bottom="1440" w:gutter="0" w:footer="0" w:header="0"/>
        </w:sectPr>
      </w:pPr>
    </w:p>
    <w:bookmarkStart w:id="32" w:name="page33"/>
    <w:bookmarkEnd w:id="32"/>
    <w:p>
      <w:pPr>
        <w:jc w:val="both"/>
        <w:ind w:right="1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heavily dependent on the success of our product candidates. Some of our product candidates have produced results in preclinical and clinical settings to date, but none of our product candidates has completed all required clinical trials, and we cannot give any assurance that we will generate data for any of our product candidates sufficient to receive regulatory approval in our planned indications, which will be required before they can be commercialized.</w:t>
      </w:r>
    </w:p>
    <w:p>
      <w:pPr>
        <w:spacing w:after="0" w:line="72" w:lineRule="exact"/>
        <w:rPr>
          <w:sz w:val="20"/>
          <w:szCs w:val="20"/>
          <w:color w:val="auto"/>
        </w:rPr>
      </w:pPr>
    </w:p>
    <w:p>
      <w:pPr>
        <w:ind w:right="320" w:firstLine="510"/>
        <w:spacing w:after="0" w:line="266" w:lineRule="auto"/>
        <w:rPr>
          <w:sz w:val="20"/>
          <w:szCs w:val="20"/>
          <w:color w:val="auto"/>
        </w:rPr>
      </w:pPr>
      <w:r>
        <w:rPr>
          <w:rFonts w:ascii="Times New Roman" w:cs="Times New Roman" w:eastAsia="Times New Roman" w:hAnsi="Times New Roman"/>
          <w:sz w:val="18"/>
          <w:szCs w:val="18"/>
          <w:color w:val="auto"/>
        </w:rPr>
        <w:t>We have invested substantially all of our efforts and financial resources to identify, acquire and develop our portfolio of product candidates. Our future success is dependent on our ability to successfully further develop, obtain regulatory approval for, and commercialize one or more product candidates. We currently generate no revenue from sales of any products, and we may never be able to develop or commercialize a product candidate.</w:t>
      </w:r>
    </w:p>
    <w:p>
      <w:pPr>
        <w:spacing w:after="0" w:line="176" w:lineRule="exact"/>
        <w:rPr>
          <w:sz w:val="20"/>
          <w:szCs w:val="20"/>
          <w:color w:val="auto"/>
        </w:rPr>
      </w:pPr>
    </w:p>
    <w:p>
      <w:pPr>
        <w:ind w:right="300" w:firstLine="510"/>
        <w:spacing w:after="0" w:line="258" w:lineRule="auto"/>
        <w:rPr>
          <w:sz w:val="20"/>
          <w:szCs w:val="20"/>
          <w:color w:val="auto"/>
        </w:rPr>
      </w:pPr>
      <w:r>
        <w:rPr>
          <w:rFonts w:ascii="Times New Roman" w:cs="Times New Roman" w:eastAsia="Times New Roman" w:hAnsi="Times New Roman"/>
          <w:sz w:val="18"/>
          <w:szCs w:val="18"/>
          <w:color w:val="auto"/>
        </w:rPr>
        <w:t>On August 20, 2019, we announced that we were discontinuing our first therapeutic program to enter clinical trials, SYNB1020, an early-stage clinical product candidate for the treatment of hyperammonemia. The decision to discontinue the program was based on top-line data from an interim analysis of a randomized, double-blind, placebo-controlled Phase 1b/2a clinical trial of the Synthetic Biotic medicine in 23 patients with cirrhosis and elevated blood ammonia. While SYNB1020 was well-tolerated in Phase 1b/2a clinical trial, the trial showed it did not lower blood ammonia in patients with cirrhosis. As a result, we have become more dependent on the success of our SYNB1618, SYNB1934, and SYNB8802 programs.</w:t>
      </w:r>
    </w:p>
    <w:p>
      <w:pPr>
        <w:spacing w:after="0" w:line="183" w:lineRule="exact"/>
        <w:rPr>
          <w:sz w:val="20"/>
          <w:szCs w:val="20"/>
          <w:color w:val="auto"/>
        </w:rPr>
      </w:pPr>
    </w:p>
    <w:p>
      <w:pPr>
        <w:ind w:right="60" w:firstLine="510"/>
        <w:spacing w:after="0" w:line="256" w:lineRule="auto"/>
        <w:rPr>
          <w:sz w:val="20"/>
          <w:szCs w:val="20"/>
          <w:color w:val="auto"/>
        </w:rPr>
      </w:pPr>
      <w:r>
        <w:rPr>
          <w:rFonts w:ascii="Times New Roman" w:cs="Times New Roman" w:eastAsia="Times New Roman" w:hAnsi="Times New Roman"/>
          <w:sz w:val="18"/>
          <w:szCs w:val="18"/>
          <w:color w:val="auto"/>
        </w:rPr>
        <w:t>In addition, none of our product candidates has advanced into any pivotal clinical trial for our proposed indications and it may be years before any pivotal clinical trials are initiated and completed, if at all. We are not permitted to market or promote any of our product candidates before we receive regulatory approval from the FDA or comparable foreign regulatory authorities, and we may never receive such regulatory approval for any of our product candidates. We cannot be certain that any of our product candidates will be successful in clinical trials or receive regulatory approval. Further, our product candidates may not receive regulatory approval even if they are successful in clinical trials. If we do not receive regulatory approvals for our product candidates, we may not be able to continue our operations.</w:t>
      </w:r>
    </w:p>
    <w:p>
      <w:pPr>
        <w:spacing w:after="0" w:line="291"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obtain or maintain orphan drug exclusivity for some of our products, our competitors may obtain approval to sell competing drugs to treat the same conditions and our revenues will be reduced.</w:t>
      </w:r>
    </w:p>
    <w:p>
      <w:pPr>
        <w:spacing w:after="0" w:line="51"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As part of our business strategy, we have developed and may in the future develop product candidates that may be eligible for FDA and European Commission orphan drug designation. In October 2017, the FDA granted orphan drug designation to SYNB1618 for the treatment of PKU. Under the Orphan Drug Act, the FDA may designate a product as an orphan drug if it is intended to treat, diagnose or prevent rare diseases or conditions that affect fewer than 200,000 people in the United States. In the EU, orphan drug designation may be granted to drugs intended to treat, diagnose or prevent a life-threatening or chronically debilitating disease having a prevalence of no more than five in 10,000 people in the EU. The company that first obtains FDA approval for a designated orphan drug for the associated rare disease receives marketing exclusivity for use of that drug for the stated condition for a period of seven years. Orphan drug exclusive marketing rights may be lost under several circumstances, including a later determination by the FDA that the request for designation was materially defective or if the manufacturer is unable to assure sufficient quantity of the drug. Similar regulations are in effect in the EU with a ten-year period of market exclusivity.</w:t>
      </w:r>
    </w:p>
    <w:p>
      <w:pPr>
        <w:spacing w:after="0" w:line="188"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Because the extent and scope of patent protection for some of our product candidates may be limited, obtaining orphan drug designation is especially important for any product candidates that may be eligible for orphan drug designation. For eligible products, we plan to rely on the exclusivity period under the Orphan Drug Act to maintain a competitive position. If we do not obtain orphan drug designation for our product candidates that do not have broad patent protection, our competitors may then seek to sell a competing drug to treat the same condition and our revenues, if any, may be adversely affected thereby.</w:t>
      </w:r>
    </w:p>
    <w:p>
      <w:pPr>
        <w:spacing w:after="0" w:line="183"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Even though we have obtained orphan drug designation for one of our product candidates and intend to seek orphan drug designation for other product candidates, there is no assurance that we will be the first to obtain marketing approval for any particular rare indication. Further, even though we have obtained orphan drug designation for certain of our product candidates, or even if we obtain orphan drug designation for other potential product candidates, such designation may not effectively protect us from competition because different drugs can be approved for the same condition and the same drug can be approved for different conditions and potentially used off-label in the orphan indication. Even after an orphan drug is approved, the FDA can subsequently approve a competing drug for the same condition for several reasons, including, if the FDA concludes that the later drug is safer or more effective or makes a major contribution to patient care. Orphan drug designation neither shortens the development time or regulatory review time of a drug, nor gives the drug any advantage in the regulatory review or approval process.</w:t>
      </w:r>
    </w:p>
    <w:p>
      <w:pPr>
        <w:spacing w:after="0" w:line="296"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development involves a lengthy and expensive process with an uncertain outcome, and results of earlier preclinical studies and clinical trials may not be predictive of future clinical trial results.</w:t>
      </w:r>
    </w:p>
    <w:p>
      <w:pPr>
        <w:spacing w:after="0" w:line="51" w:lineRule="exact"/>
        <w:rPr>
          <w:sz w:val="20"/>
          <w:szCs w:val="20"/>
          <w:color w:val="auto"/>
        </w:rPr>
      </w:pPr>
    </w:p>
    <w:p>
      <w:pPr>
        <w:jc w:val="both"/>
        <w:ind w:right="440" w:firstLine="510"/>
        <w:spacing w:after="0" w:line="266" w:lineRule="auto"/>
        <w:rPr>
          <w:sz w:val="20"/>
          <w:szCs w:val="20"/>
          <w:color w:val="auto"/>
        </w:rPr>
      </w:pPr>
      <w:r>
        <w:rPr>
          <w:rFonts w:ascii="Times New Roman" w:cs="Times New Roman" w:eastAsia="Times New Roman" w:hAnsi="Times New Roman"/>
          <w:sz w:val="18"/>
          <w:szCs w:val="18"/>
          <w:color w:val="auto"/>
        </w:rPr>
        <w:t>The results from preclinical studies or early clinical trials of a product candidate may not predict the results that will be obtained in subsequent subjects or in later stage clinical trials of that product candidate or any other product candidate. Flaws in the design of a clinical trial may not become apparent until the clinical trial is well advanced. We have limited experience in designing clinical trials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84" w:right="359" w:bottom="1440" w:gutter="0" w:footer="0" w:header="0"/>
        </w:sectPr>
      </w:pPr>
    </w:p>
    <w:bookmarkStart w:id="33" w:name="page34"/>
    <w:bookmarkEnd w:id="33"/>
    <w:p>
      <w:pPr>
        <w:ind w:right="60"/>
        <w:spacing w:after="0" w:line="254" w:lineRule="auto"/>
        <w:rPr>
          <w:sz w:val="20"/>
          <w:szCs w:val="20"/>
          <w:color w:val="auto"/>
        </w:rPr>
      </w:pPr>
      <w:r>
        <w:rPr>
          <w:rFonts w:ascii="Times New Roman" w:cs="Times New Roman" w:eastAsia="Times New Roman" w:hAnsi="Times New Roman"/>
          <w:sz w:val="18"/>
          <w:szCs w:val="18"/>
          <w:color w:val="auto"/>
        </w:rPr>
        <w:t>and we may be unable to design and execute clinical trials to support regulatory approval of our product candidates. In addition, preclinical study and clinical trial data are often susceptible to varying interpretations and analyses, and many companies that believed their product candidates performed satisfactorily in preclinical studies and clinical trials nonetheless failed to obtain regulatory authority approval. Product candidates that seemingly perform satisfactorily in preclinical studies and clinical trials may nonetheless fail to obtain regulatory approval. There is a high failure rate for drugs proceeding through clinical trials. Many companies in the pharmaceutical and biotechnology industries have suffered significant setbacks in clinical development even after achieving promising results in earlier studies. These setbacks have been caused by, among other things, preclinical findings made while clinical trials were underway, or safety or efficacy observations made in preclinical studies and clinical trials, including previously unreported adverse events. Any such setbacks in our clinical development could negatively affect our business and operating results.</w:t>
      </w:r>
    </w:p>
    <w:p>
      <w:pPr>
        <w:spacing w:after="0" w:line="296"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enrollment of patients in clinical trials, our costs might be higher than expected and our receipt of necessary regulatory approvals could be delayed or prevented.</w:t>
      </w:r>
    </w:p>
    <w:p>
      <w:pPr>
        <w:spacing w:after="0" w:line="51"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Clinical trials of a new product candidate require the enrollment of a sufficient number of healthy volunteers or patients suffering from the disease or condition the product candidate is intended to treat and who meet other eligibility criteria. The timing of our clinical trials depends on our ability to recruit eligible subjects to participate as well as the completion of required follow-up evaluations. Patients and healthy volunteers may be unwilling to participate in our clinical trials because of negative publicity from adverse events related to novel therapeutic approaches, competitive clinical trials for similar patient populations, the existence of current treatments or for other reasons including due to concerns posed by the COVID-19 pandemic. Rates of patient enrollment are affected by many factors, including the size of the potential patient population, the age and condition of the patients, the stage and severity of disease or condition, the nature and requirements of the protocol, the proximity of patients to clinical sites, the availability of effective treatments for the relevant disease or condition, the perceived risks, the clinical trial administration practices of the CRO or clinical trial sites, benefits and convenience of administration of the product candidate being studied, the patient referral practices of physicians, the amount of attention provided to our trial by clinical trial sites, our efforts and CRO efforts to facilitate timely enrollment in clinical trials, and the eligibility criteria for the clinical trial. Delays or difficulties in patient enrollment or difficulties retaining trial participants, including as a result of the availability of existing or other investigational treatments, can result in increased costs, longer development times or termination of a clinical trial.</w:t>
      </w:r>
    </w:p>
    <w:p>
      <w:pPr>
        <w:spacing w:after="0" w:line="190" w:lineRule="exact"/>
        <w:rPr>
          <w:sz w:val="20"/>
          <w:szCs w:val="20"/>
          <w:color w:val="auto"/>
        </w:rPr>
      </w:pPr>
    </w:p>
    <w:p>
      <w:pPr>
        <w:ind w:right="100" w:firstLine="510"/>
        <w:spacing w:after="0" w:line="256" w:lineRule="auto"/>
        <w:rPr>
          <w:sz w:val="20"/>
          <w:szCs w:val="20"/>
          <w:color w:val="auto"/>
        </w:rPr>
      </w:pPr>
      <w:r>
        <w:rPr>
          <w:rFonts w:ascii="Times New Roman" w:cs="Times New Roman" w:eastAsia="Times New Roman" w:hAnsi="Times New Roman"/>
          <w:sz w:val="18"/>
          <w:szCs w:val="18"/>
          <w:color w:val="auto"/>
        </w:rPr>
        <w:t>In addition, our success may depend, in part, on our ability to identify patients who qualify for our clinical trials or are likely to benefit from any product candidate that we may develop, which will require those potential patients to undergo a screening assay for the presence or absence of a particular genetic sequence or clinical trait. Genetically defined diseases generally, and especially those for which our current product candidates are targeted, may have relatively low prevalence. For example, we estimate there are approximately 16,500 patients that may be diagnosed with PKU in the United States. If we, or any third parties that we engage to assist us, are unable to successfully identify patients with these diseases, or experience delays in doing so, then we may not realize the full commercial potential of any product candidate we develop.</w:t>
      </w:r>
    </w:p>
    <w:p>
      <w:pPr>
        <w:spacing w:after="0" w:line="291"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may face potential product liability claims, and, if successful claims are brought against us, we may incur substantial liability and costs. If the use or misuse of our product candidates harms patients or is perceived to harm patients even when such harm is unrelated to our product candidates, our regulatory approvals, if any, could be revoked or otherwise negatively impacted and we could be subject to costly and damaging product liability claims. If we are unable to obtain adequate insurance or are required to pay for liabilities resulting from a claim excluded from, or beyond the limits of, our insurance coverage, such liability could adversely affect our financial condition.</w:t>
      </w:r>
    </w:p>
    <w:p>
      <w:pPr>
        <w:spacing w:after="0" w:line="75" w:lineRule="exact"/>
        <w:rPr>
          <w:sz w:val="20"/>
          <w:szCs w:val="20"/>
          <w:color w:val="auto"/>
        </w:rPr>
      </w:pPr>
    </w:p>
    <w:p>
      <w:pPr>
        <w:ind w:right="20" w:firstLine="510"/>
        <w:spacing w:after="0" w:line="253" w:lineRule="auto"/>
        <w:rPr>
          <w:sz w:val="20"/>
          <w:szCs w:val="20"/>
          <w:color w:val="auto"/>
        </w:rPr>
      </w:pPr>
      <w:r>
        <w:rPr>
          <w:rFonts w:ascii="Times New Roman" w:cs="Times New Roman" w:eastAsia="Times New Roman" w:hAnsi="Times New Roman"/>
          <w:sz w:val="18"/>
          <w:szCs w:val="18"/>
          <w:color w:val="auto"/>
        </w:rPr>
        <w:t>The use or misuse of our product candidates in clinical trials and the sale of any products for which we may obtain marketing approval exposes us to the risk of potential product liability claims. Product liability claims might be brought against us by consumers, healthcare providers, pharmaceutical companies or others selling or otherwise coming into contact with our product candidates and approved products, if any. There is a risk that our product candidates may induce adverse events. If we cannot successfully defend against product liability claims, we could incur substantial liability and costs. Patients with the diseases targeted by our product candidates may already be in severe and advanced stages of disease and have both known and unknown significant pre-existing and potentially life-threatening health risks. During the course of treatment, patients may suffer adverse events, including death, for reasons that may be related to our product candidates. Such events could subject us to costly litigation, require us to pay substantial amounts of money to injured patients, delay, negatively impact or end our opportunity to receive or maintain regulatory approval to market our products, or require us to suspend or abandon our commercialization efforts. Even in a circumstance in which an adverse event is unrelated to our product candidates, the investigation into the circumstance may be time-consuming or inconclusive. These investigations may delay our regulatory approval process or impact and limit the type of regulatory approvals our product candidates receive or maintain. As a result of these factors, a product liability claim, even if successfully defended, could have a material adverse effect on our business, financial condition or results of operations.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34" w:name="page35"/>
    <w:bookmarkEnd w:id="34"/>
    <w:p>
      <w:pPr>
        <w:ind w:firstLine="510"/>
        <w:spacing w:after="0" w:line="253" w:lineRule="auto"/>
        <w:rPr>
          <w:sz w:val="20"/>
          <w:szCs w:val="20"/>
          <w:color w:val="auto"/>
        </w:rPr>
      </w:pPr>
      <w:r>
        <w:rPr>
          <w:rFonts w:ascii="Times New Roman" w:cs="Times New Roman" w:eastAsia="Times New Roman" w:hAnsi="Times New Roman"/>
          <w:sz w:val="18"/>
          <w:szCs w:val="18"/>
          <w:color w:val="auto"/>
        </w:rPr>
        <w:t>Although we have product liability insurance, which covers any clinical trial we may conduct in the United States, our insurance may be insufficient to reimburse us for any expenses or losses we may suffer. We will also likely be required to increase our product liability insurance coverage for the advanced clinical trials that we plan to initiate. If we obtain marketing approval for any of our product candidates, we will need to expand our insurance coverage to include the sale of commercial products. There is no way to know if we will be able to continue to obtain product liability coverage and obtain expanded coverage we may require, in sufficient amounts to protect us against losses due to liability, on acceptable terms, or at all. We may not have sufficient resources to pay for any liabilities resulting from a claim excluded from, or beyond the limits of, our insurance coverage. Where we have provided indemnities in favor of third parties under our agreements with them, there is also a risk that these third parties could incur liability and bring a claim under such indemnities. An individual may bring a product liability claim against us alleging that one of our product candidates or products causes, or is claimed to have caused, an injury or is found to be unsuitable for consumer use.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Any product liability claim brought against us, with or without merit, could result in:</w:t>
      </w:r>
    </w:p>
    <w:p>
      <w:pPr>
        <w:spacing w:after="0" w:line="84" w:lineRule="exact"/>
        <w:rPr>
          <w:sz w:val="20"/>
          <w:szCs w:val="20"/>
          <w:color w:val="auto"/>
        </w:rPr>
      </w:pPr>
    </w:p>
    <w:p>
      <w:pPr>
        <w:ind w:left="1000" w:hanging="493"/>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volunteers, investigators, patients or trial sites or limitations on approved indications;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or if commercialized, decreased demand for, our product candidates;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commercialized, product recalls, withdrawals of labeling, marketing or promotional restrictions or the need for product modification;</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investigations by regulators;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costs of litigation, including monetary awards to patients or other claimants;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that substantially exceed our product liability insurance, which we would then be required to pay ourselves;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our product liability insurance rates or the inability to maintain insurance coverage in the future on acceptable terms, if at all;</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management’s attention from our business;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key employees; and</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reputation and the reputation of our products and our technology.</w:t>
      </w:r>
    </w:p>
    <w:p>
      <w:pPr>
        <w:spacing w:after="0" w:line="225" w:lineRule="exact"/>
        <w:rPr>
          <w:sz w:val="20"/>
          <w:szCs w:val="20"/>
          <w:color w:val="auto"/>
        </w:rPr>
      </w:pPr>
    </w:p>
    <w:p>
      <w:pPr>
        <w:ind w:right="580" w:firstLine="510"/>
        <w:spacing w:after="0" w:line="282" w:lineRule="auto"/>
        <w:rPr>
          <w:sz w:val="20"/>
          <w:szCs w:val="20"/>
          <w:color w:val="auto"/>
        </w:rPr>
      </w:pPr>
      <w:r>
        <w:rPr>
          <w:rFonts w:ascii="Times New Roman" w:cs="Times New Roman" w:eastAsia="Times New Roman" w:hAnsi="Times New Roman"/>
          <w:sz w:val="18"/>
          <w:szCs w:val="18"/>
          <w:color w:val="auto"/>
        </w:rPr>
        <w:t>Product liability claims may subject us to the foregoing and other risks, which could have a material adverse effect on our business, financial condition or results of operations.</w:t>
      </w:r>
    </w:p>
    <w:p>
      <w:pPr>
        <w:spacing w:after="0" w:line="266"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the third parties upon which we depend may be adversely affected by natural disasters and our business continuity and disaster recovery plans may not adequately protect us from a serious disaster.</w:t>
      </w:r>
    </w:p>
    <w:p>
      <w:pPr>
        <w:spacing w:after="0" w:line="51" w:lineRule="exact"/>
        <w:rPr>
          <w:sz w:val="20"/>
          <w:szCs w:val="20"/>
          <w:color w:val="auto"/>
        </w:rPr>
      </w:pPr>
    </w:p>
    <w:p>
      <w:pPr>
        <w:ind w:right="40" w:firstLine="510"/>
        <w:spacing w:after="0" w:line="256" w:lineRule="auto"/>
        <w:rPr>
          <w:sz w:val="20"/>
          <w:szCs w:val="20"/>
          <w:color w:val="auto"/>
        </w:rPr>
      </w:pPr>
      <w:r>
        <w:rPr>
          <w:rFonts w:ascii="Times New Roman" w:cs="Times New Roman" w:eastAsia="Times New Roman" w:hAnsi="Times New Roman"/>
          <w:sz w:val="18"/>
          <w:szCs w:val="18"/>
          <w:color w:val="auto"/>
        </w:rPr>
        <w:t>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spacing w:after="0" w:line="291"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212529"/>
        </w:rPr>
        <w:t>A pandemic, epidemic, or outbreak of an infectious disease, such as COVID-19, may materially and adversely affect our business and our financial results.</w:t>
      </w:r>
    </w:p>
    <w:p>
      <w:pPr>
        <w:spacing w:after="0" w:line="51" w:lineRule="exact"/>
        <w:rPr>
          <w:sz w:val="20"/>
          <w:szCs w:val="20"/>
          <w:color w:val="auto"/>
        </w:rPr>
      </w:pPr>
    </w:p>
    <w:p>
      <w:pPr>
        <w:ind w:right="160" w:firstLine="510"/>
        <w:spacing w:after="0" w:line="253" w:lineRule="auto"/>
        <w:rPr>
          <w:sz w:val="20"/>
          <w:szCs w:val="20"/>
          <w:color w:val="auto"/>
        </w:rPr>
      </w:pPr>
      <w:r>
        <w:rPr>
          <w:rFonts w:ascii="Times New Roman" w:cs="Times New Roman" w:eastAsia="Times New Roman" w:hAnsi="Times New Roman"/>
          <w:sz w:val="18"/>
          <w:szCs w:val="18"/>
          <w:color w:val="212529"/>
        </w:rPr>
        <w:t>The coronavirus outbreak has affected segments of the global economy and may materially affect our operations, including potentially significant interruption of our clinical trial activities. The continued spread of the coronavirus may result in a period of business disruption, including material delays in our clinical trials. In addition, there could be a potential effect of COVID-19 to the business at FDA or other health authorities, which could result in delays of reviews and approvals, including with respect to our product candidates. For example, in 2021, we experienced delays with the FDA that we believe were related to COVID-19. In addition, clinical site initiation and patient enrollment may be delayed due to prioritization of healthcare system resources toward the COVID-19 pandemic. For example, in 2021, the ability of site IRBs to meet and review protocol amendments were delayed due to COVID-19. Sites were also unable at times to schedule in-person screening visits with potential patients during certain times in 2021. Some patients may not be able to comply with clinical trial protocols if quarantines or their concerns about COVID-19 impede patient movement or interrupt healthcare services. Similarly, the ability to recruit and retain patients and principal investigators and site staff who, as healthcare providers, may have heightened exposure to COVID-19 has adversely impacted our clinical trial operations.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5" w:name="page36"/>
    <w:bookmarkEnd w:id="35"/>
    <w:p>
      <w:pPr>
        <w:jc w:val="both"/>
        <w:ind w:right="20" w:firstLine="510"/>
        <w:spacing w:after="0" w:line="266" w:lineRule="auto"/>
        <w:rPr>
          <w:sz w:val="20"/>
          <w:szCs w:val="20"/>
          <w:color w:val="auto"/>
        </w:rPr>
      </w:pPr>
      <w:r>
        <w:rPr>
          <w:rFonts w:ascii="Times New Roman" w:cs="Times New Roman" w:eastAsia="Times New Roman" w:hAnsi="Times New Roman"/>
          <w:sz w:val="18"/>
          <w:szCs w:val="18"/>
          <w:color w:val="auto"/>
        </w:rPr>
        <w:t>The continued spread globally could also have a material adverse effect on our clinical trial operations in the United States and elsewhere, including our ability to recruit and retain patients and principal investigators and site staff who, as healthcare providers, may have heightened exposure to COVID-19 if an outbreak occurs in their geography.</w:t>
      </w:r>
    </w:p>
    <w:p>
      <w:pPr>
        <w:spacing w:after="0" w:line="176" w:lineRule="exact"/>
        <w:rPr>
          <w:sz w:val="20"/>
          <w:szCs w:val="20"/>
          <w:color w:val="auto"/>
        </w:rPr>
      </w:pPr>
    </w:p>
    <w:p>
      <w:pPr>
        <w:ind w:right="120" w:firstLine="510"/>
        <w:spacing w:after="0" w:line="258" w:lineRule="auto"/>
        <w:rPr>
          <w:sz w:val="20"/>
          <w:szCs w:val="20"/>
          <w:color w:val="auto"/>
        </w:rPr>
      </w:pPr>
      <w:r>
        <w:rPr>
          <w:rFonts w:ascii="Times New Roman" w:cs="Times New Roman" w:eastAsia="Times New Roman" w:hAnsi="Times New Roman"/>
          <w:sz w:val="18"/>
          <w:szCs w:val="18"/>
          <w:color w:val="auto"/>
        </w:rPr>
        <w:t>We continue to monitor the potential impact of the coronavirus outbreak, and any associated restrictions on travel and work that have been implemented, on our business and pre-clinical and clinical trials. The extent to which the coronavirus impacts us will depend on future developments, which are highly uncertain and cannot be predicted, including new information which may emerge concerning the severity of the coronavirus and the actions to contain the coronavirus or treat its impact, among others. We will continue to carefully monitor the situation with respect to each of our clinical trials and follow guidance from local and federal health authorities.</w:t>
      </w:r>
    </w:p>
    <w:p>
      <w:pPr>
        <w:spacing w:after="0" w:line="183" w:lineRule="exact"/>
        <w:rPr>
          <w:sz w:val="20"/>
          <w:szCs w:val="20"/>
          <w:color w:val="auto"/>
        </w:rPr>
      </w:pPr>
    </w:p>
    <w:p>
      <w:pPr>
        <w:ind w:right="220" w:firstLine="510"/>
        <w:spacing w:after="0" w:line="257" w:lineRule="auto"/>
        <w:rPr>
          <w:sz w:val="20"/>
          <w:szCs w:val="20"/>
          <w:color w:val="auto"/>
        </w:rPr>
      </w:pPr>
      <w:r>
        <w:rPr>
          <w:rFonts w:ascii="Times New Roman" w:cs="Times New Roman" w:eastAsia="Times New Roman" w:hAnsi="Times New Roman"/>
          <w:sz w:val="18"/>
          <w:szCs w:val="18"/>
          <w:color w:val="auto"/>
        </w:rPr>
        <w:t>COVID-19 may also affect employees of third-party contract research organizations and contract manufacturing organizations located in affected geographies that we rely upon to carry out our clinical trials. For example, there were delays in laboratory analyses of patient samples due to pandemic related staffing issues at our contract research organizations. In addition, we have taken precautionary measures, and may take additional</w:t>
      </w:r>
    </w:p>
    <w:p>
      <w:pPr>
        <w:spacing w:after="0" w:line="1"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measures, intended to help minimize the risk of the virus to our employees. These have included mandating vaccines and mask use, temporarily requiring all non-essential employees to work remotely, suspending all non-essential travel worldwide for our employees, and discouraging employee attendance at industry events and in-person work-related meetings, which could negatively affect our business. We are adjusting and will adjust these measures as necessary and as we are able in the future to balance the needs of the business with the safety of our employees.</w:t>
      </w:r>
    </w:p>
    <w:p>
      <w:pPr>
        <w:spacing w:after="0" w:line="189"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We cannot presently predict the extent to which current or future business shutdowns and disruptions may impact or limit our ability or the ability of any of the third parties with which we engage to conduct business in the manner and on the timelines presently planned. Any such impacts or limitations could have a material adverse impact on our business and our results of operation and financial condition. While the potential economic impact brought by and the duration of the coronavirus outbreak may be difficult to assess or predict, a widespread pandemic could result in significant disruption of global financial markets, potentially reducing our ability to access capital, which could in the future negatively affect our liquidity. In addition, a recession or market correction resulting from the spread of COVID-19 could materially affect our business and the price of our common stock.</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Approval of Our Product Candidates and Other Legal Compliance Matters</w:t>
      </w:r>
    </w:p>
    <w:p>
      <w:pPr>
        <w:spacing w:after="0" w:line="117" w:lineRule="exact"/>
        <w:rPr>
          <w:sz w:val="20"/>
          <w:szCs w:val="20"/>
          <w:color w:val="auto"/>
        </w:rPr>
      </w:pPr>
    </w:p>
    <w:p>
      <w:pPr>
        <w:ind w:right="3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The regulatory approval processes of the FDA and other comparable foreign regulatory authorities are lengthy, time consuming and inherently unpredictable, and if we are ultimately unable to obtain regulatory approval for our product candidates, our business will be substantially harmed.</w:t>
      </w:r>
    </w:p>
    <w:p>
      <w:pPr>
        <w:spacing w:after="0" w:line="28" w:lineRule="exact"/>
        <w:rPr>
          <w:sz w:val="20"/>
          <w:szCs w:val="20"/>
          <w:color w:val="auto"/>
        </w:rPr>
      </w:pPr>
    </w:p>
    <w:p>
      <w:pPr>
        <w:ind w:right="20" w:firstLine="510"/>
        <w:spacing w:after="0" w:line="256" w:lineRule="auto"/>
        <w:rPr>
          <w:sz w:val="20"/>
          <w:szCs w:val="20"/>
          <w:color w:val="auto"/>
        </w:rPr>
      </w:pPr>
      <w:r>
        <w:rPr>
          <w:rFonts w:ascii="Times New Roman" w:cs="Times New Roman" w:eastAsia="Times New Roman" w:hAnsi="Times New Roman"/>
          <w:sz w:val="18"/>
          <w:szCs w:val="18"/>
          <w:color w:val="auto"/>
        </w:rPr>
        <w:t>The time required to obtain marketing approval for a novel therapeutic product from the FDA and other comparable foreign regulatory authorities is unpredictable but typically takes many years following the commencement of clinical trials and depends upon numerous factors, including the substantial discretion of the regulatory authorities. In addition, approval policies, laws or regulations, or the type and amount of clinical data necessary to gain approval may change during the course of a product candidate’s clinical development and may vary among jurisdictions. We have not obtained regulatory approval for commercialization, of any product candidate and it is possible that none of our existing product candidates or any product candidates we may seek to develop in the future will ever obtain that approval.</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product candidates could fail to receive regulatory approval for many reasons, including the following:</w:t>
      </w:r>
    </w:p>
    <w:p>
      <w:pPr>
        <w:spacing w:after="0" w:line="117" w:lineRule="exact"/>
        <w:rPr>
          <w:sz w:val="20"/>
          <w:szCs w:val="20"/>
          <w:color w:val="auto"/>
        </w:rPr>
      </w:pPr>
    </w:p>
    <w:p>
      <w:pPr>
        <w:ind w:left="1000" w:hanging="493"/>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the design or implementation of our clinical trials;</w:t>
      </w:r>
    </w:p>
    <w:p>
      <w:pPr>
        <w:spacing w:after="0" w:line="117" w:lineRule="exact"/>
        <w:rPr>
          <w:rFonts w:ascii="Times New Roman" w:cs="Times New Roman" w:eastAsia="Times New Roman" w:hAnsi="Times New Roman"/>
          <w:sz w:val="18"/>
          <w:szCs w:val="18"/>
          <w:color w:val="auto"/>
        </w:rPr>
      </w:pPr>
    </w:p>
    <w:p>
      <w:pPr>
        <w:ind w:left="1000" w:right="760" w:hanging="493"/>
        <w:spacing w:after="0" w:line="282"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or other comparable foreign regulatory authorities that our product candidates are safe, pure and potent or effective for their proposed indications;</w:t>
      </w:r>
    </w:p>
    <w:p>
      <w:pPr>
        <w:spacing w:after="0" w:line="53" w:lineRule="exact"/>
        <w:rPr>
          <w:rFonts w:ascii="Times New Roman" w:cs="Times New Roman" w:eastAsia="Times New Roman" w:hAnsi="Times New Roman"/>
          <w:sz w:val="18"/>
          <w:szCs w:val="18"/>
          <w:color w:val="auto"/>
        </w:rPr>
      </w:pPr>
    </w:p>
    <w:p>
      <w:pPr>
        <w:ind w:left="1000" w:right="380" w:hanging="493"/>
        <w:spacing w:after="0" w:line="282"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or other comparable foreign regulatory authorities in order to support approval;</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product candidate’s clinical and other benefits outweigh its safety risks;</w:t>
      </w:r>
    </w:p>
    <w:p>
      <w:pPr>
        <w:spacing w:after="0" w:line="117" w:lineRule="exact"/>
        <w:rPr>
          <w:rFonts w:ascii="Times New Roman" w:cs="Times New Roman" w:eastAsia="Times New Roman" w:hAnsi="Times New Roman"/>
          <w:sz w:val="18"/>
          <w:szCs w:val="18"/>
          <w:color w:val="auto"/>
        </w:rPr>
      </w:pPr>
    </w:p>
    <w:p>
      <w:pPr>
        <w:ind w:left="1000" w:right="200" w:hanging="493"/>
        <w:spacing w:after="0" w:line="282"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comparable foreign regulatory authorities may disagree with our interpretation of data from preclinical studies or clinical trials;</w:t>
      </w:r>
    </w:p>
    <w:p>
      <w:pPr>
        <w:spacing w:after="0" w:line="53" w:lineRule="exact"/>
        <w:rPr>
          <w:rFonts w:ascii="Times New Roman" w:cs="Times New Roman" w:eastAsia="Times New Roman" w:hAnsi="Times New Roman"/>
          <w:sz w:val="18"/>
          <w:szCs w:val="18"/>
          <w:color w:val="auto"/>
        </w:rPr>
      </w:pPr>
    </w:p>
    <w:p>
      <w:pPr>
        <w:ind w:left="1000" w:hanging="493"/>
        <w:spacing w:after="0" w:line="282"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product candidates may not be sufficient to support the submission of a BLA, to the FDA or other equivalent marketing authorization application submissions to obtain regulatory approval in the United States or elsewhere;</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36" w:name="page37"/>
    <w:bookmarkEnd w:id="36"/>
    <w:p>
      <w:pPr>
        <w:ind w:left="1000" w:right="400" w:hanging="493"/>
        <w:spacing w:after="0" w:line="282"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review of our clinical trial sites and data, the FDA or comparable foreign regulatory authorities may find our record keeping or the record keeping of our clinical trial sites or investigators to be inadequate;</w:t>
      </w:r>
    </w:p>
    <w:p>
      <w:pPr>
        <w:spacing w:after="0" w:line="53" w:lineRule="exact"/>
        <w:rPr>
          <w:rFonts w:ascii="Times New Roman" w:cs="Times New Roman" w:eastAsia="Times New Roman" w:hAnsi="Times New Roman"/>
          <w:sz w:val="18"/>
          <w:szCs w:val="18"/>
          <w:color w:val="auto"/>
        </w:rPr>
      </w:pPr>
    </w:p>
    <w:p>
      <w:pPr>
        <w:ind w:left="1000" w:right="380" w:hanging="493"/>
        <w:spacing w:after="0" w:line="282"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comparable foreign regulatory authorities may find deficiencies with or fail to approve the manufacturing processes or facilities of third-party manufacturers with which we contract for clinical and commercial supplies; and</w:t>
      </w:r>
    </w:p>
    <w:p>
      <w:pPr>
        <w:spacing w:after="0" w:line="53" w:lineRule="exact"/>
        <w:rPr>
          <w:rFonts w:ascii="Times New Roman" w:cs="Times New Roman" w:eastAsia="Times New Roman" w:hAnsi="Times New Roman"/>
          <w:sz w:val="18"/>
          <w:szCs w:val="18"/>
          <w:color w:val="auto"/>
        </w:rPr>
      </w:pPr>
    </w:p>
    <w:p>
      <w:pPr>
        <w:ind w:left="1000" w:right="80" w:hanging="493"/>
        <w:spacing w:after="0" w:line="282"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other comparable foreign regulatory authorities or the laws they enforce may significantly change in a manner rendering our clinical data insufficient for approval.</w:t>
      </w:r>
    </w:p>
    <w:p>
      <w:pPr>
        <w:spacing w:after="0" w:line="162"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This lengthy approval process as well as the unpredictability of future clinical trial results may result in our failing to obtain regulatory approval to market any of our product candidates, which would significantly harm our business, financial condition and results of operations. The FDA and other comparable foreign regulatory authorities have substantial discretion in the approval process and determining when or whether to grant regulatory approval will be obtained for any of our product candidates, and whether to impose any conditions on such marketing approvals as described below. Even if we believe the data collected from clinical trials of our product candidates are promising, such data may not be sufficient to support approval by the FDA or other comparable foreign regulatory authorities.</w:t>
      </w:r>
    </w:p>
    <w:p>
      <w:pPr>
        <w:spacing w:after="0" w:line="187" w:lineRule="exact"/>
        <w:rPr>
          <w:sz w:val="20"/>
          <w:szCs w:val="20"/>
          <w:color w:val="auto"/>
        </w:rPr>
      </w:pPr>
    </w:p>
    <w:p>
      <w:pPr>
        <w:ind w:right="140" w:firstLine="510"/>
        <w:spacing w:after="0" w:line="258" w:lineRule="auto"/>
        <w:rPr>
          <w:sz w:val="20"/>
          <w:szCs w:val="20"/>
          <w:color w:val="auto"/>
        </w:rPr>
      </w:pPr>
      <w:r>
        <w:rPr>
          <w:rFonts w:ascii="Times New Roman" w:cs="Times New Roman" w:eastAsia="Times New Roman" w:hAnsi="Times New Roman"/>
          <w:sz w:val="18"/>
          <w:szCs w:val="18"/>
          <w:color w:val="auto"/>
        </w:rPr>
        <w:t>In addition, even if we were to obtain approval, regulatory authorities may approve any of our product candidates for fewer or more limited indications than we request, if any, they may grant approval contingent on the performance of costly post-marketing clinical trials, or they may approve a product candidate with a label that does not include the labeling claims necessary or desirable for the successful commercialization of that product candidate or with restrictive risk mitigation measures or warning language or contraindications that make the approved product more difficult or costly to commercialize. Any of the foregoing scenarios could materially harm the commercial prospects for our product candidates.</w:t>
      </w:r>
    </w:p>
    <w:p>
      <w:pPr>
        <w:spacing w:after="0" w:line="328"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seek breakthrough therapy designation for one or more of our product candidates, but we might not receive such designation, and even if we do, such designation may not lead to a faster development or regulatory review or approval process, and it does not increase the likelihood that our product candidates will receive marketing approval.</w:t>
      </w:r>
    </w:p>
    <w:p>
      <w:pPr>
        <w:spacing w:after="0" w:line="67" w:lineRule="exact"/>
        <w:rPr>
          <w:sz w:val="20"/>
          <w:szCs w:val="20"/>
          <w:color w:val="auto"/>
        </w:rPr>
      </w:pPr>
    </w:p>
    <w:p>
      <w:pPr>
        <w:jc w:val="both"/>
        <w:ind w:right="40" w:firstLine="510"/>
        <w:spacing w:after="0" w:line="256" w:lineRule="auto"/>
        <w:rPr>
          <w:sz w:val="20"/>
          <w:szCs w:val="20"/>
          <w:color w:val="auto"/>
        </w:rPr>
      </w:pPr>
      <w:r>
        <w:rPr>
          <w:rFonts w:ascii="Times New Roman" w:cs="Times New Roman" w:eastAsia="Times New Roman" w:hAnsi="Times New Roman"/>
          <w:sz w:val="18"/>
          <w:szCs w:val="18"/>
          <w:color w:val="auto"/>
        </w:rPr>
        <w:t>We may seek a breakthrough therapy designation from the FDA for some of our product candidates. A breakthrough therapy is defined as a drug or biological product that is intended, alone or in combination with one or more other drugs, to treat a serious or life-threatening disease or condition, and for which preliminary clinical evidence indicates that the drug or biological product may demonstrate substantial improvement over existing therapies on one or more clinically significant endpoints, such as substantial treatment effects observed early in clinical development. For drugs or biological products that have been designated as breakthrough therapies, interaction and communication between the FDA and the sponsor of the trial can help to identify the most efficient path for clinical development. Drugs designated as breakthrough therapies by the FDA could also be eligible for accelerated approval.</w:t>
      </w:r>
    </w:p>
    <w:p>
      <w:pPr>
        <w:spacing w:after="0" w:line="187" w:lineRule="exact"/>
        <w:rPr>
          <w:sz w:val="20"/>
          <w:szCs w:val="20"/>
          <w:color w:val="auto"/>
        </w:rPr>
      </w:pPr>
    </w:p>
    <w:p>
      <w:pPr>
        <w:ind w:right="20" w:firstLine="510"/>
        <w:spacing w:after="0" w:line="256" w:lineRule="auto"/>
        <w:rPr>
          <w:sz w:val="20"/>
          <w:szCs w:val="20"/>
          <w:color w:val="auto"/>
        </w:rPr>
      </w:pPr>
      <w:r>
        <w:rPr>
          <w:rFonts w:ascii="Times New Roman" w:cs="Times New Roman" w:eastAsia="Times New Roman" w:hAnsi="Times New Roman"/>
          <w:sz w:val="18"/>
          <w:szCs w:val="18"/>
          <w:color w:val="auto"/>
        </w:rPr>
        <w:t>Designation as a breakthrough therapy is within the discretion of the FDA. Accordingly, even if we believe one of our product candidates meets the criteria for designation as a breakthrough therapy, the FDA may disagree and instead determine not to grant such designation. In any event, the receipt of a breakthrough therapy designation for a product candidate may not result in a faster development process, review or approval compared to drugs considered for approval under conventional FDA procedures and does not assure ultimate approval by the FDA. In addition, even if one or more of our product candidates qualify and are designated as breakthrough therapies, the FDA may later decide that the drugs or biological products no longer meet the conditions for designation and the designation may be rescinded.</w:t>
      </w:r>
    </w:p>
    <w:p>
      <w:pPr>
        <w:spacing w:after="0" w:line="291"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received Fast Track designation for one of our product candidates and may seek such designation for one or more of our other product candidates, but we might not receive such designation, and even if we do, such designation may not actually lead to a faster development or regulatory review or approval process.</w:t>
      </w:r>
    </w:p>
    <w:p>
      <w:pPr>
        <w:spacing w:after="0" w:line="67" w:lineRule="exact"/>
        <w:rPr>
          <w:sz w:val="20"/>
          <w:szCs w:val="20"/>
          <w:color w:val="auto"/>
        </w:rPr>
      </w:pPr>
    </w:p>
    <w:p>
      <w:pPr>
        <w:ind w:right="40" w:firstLine="510"/>
        <w:spacing w:after="0" w:line="255" w:lineRule="auto"/>
        <w:rPr>
          <w:sz w:val="20"/>
          <w:szCs w:val="20"/>
          <w:color w:val="auto"/>
        </w:rPr>
      </w:pPr>
      <w:r>
        <w:rPr>
          <w:rFonts w:ascii="Times New Roman" w:cs="Times New Roman" w:eastAsia="Times New Roman" w:hAnsi="Times New Roman"/>
          <w:sz w:val="18"/>
          <w:szCs w:val="18"/>
          <w:color w:val="auto"/>
        </w:rPr>
        <w:t>If a product candidate is intended for the treatment of a serious condition and nonclinical or clinical data demonstrate the potential to address unmet medical need for the condition, a product sponsor may apply for FDA Fast Track designation. We were awarded Fast Track designation for SYNB1618 in April 2018. Fast Track designation does not ensure that we will receive marketing approval for the product candidate or that approval will be granted within any particular timeframe. We may not experience a faster development or regulatory review or approval process with Fast Track designation compared to conventional FDA procedures. In addition,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2" w:right="3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i w:val="1"/>
          <w:iCs w:val="1"/>
          <w:color w:val="auto"/>
        </w:rPr>
        <w:t>Even if we obtain regulatory approval for a product candidate, we will remain subject to ongoing regulatory requirements.</w:t>
      </w:r>
    </w:p>
    <w:p>
      <w:pPr>
        <w:spacing w:after="0" w:line="121" w:lineRule="exact"/>
        <w:rPr>
          <w:sz w:val="20"/>
          <w:szCs w:val="20"/>
          <w:color w:val="auto"/>
        </w:rPr>
      </w:pPr>
    </w:p>
    <w:p>
      <w:pPr>
        <w:ind w:right="20" w:firstLine="510"/>
        <w:spacing w:after="0" w:line="261" w:lineRule="auto"/>
        <w:rPr>
          <w:sz w:val="20"/>
          <w:szCs w:val="20"/>
          <w:color w:val="auto"/>
        </w:rPr>
      </w:pPr>
      <w:r>
        <w:rPr>
          <w:rFonts w:ascii="Times New Roman" w:cs="Times New Roman" w:eastAsia="Times New Roman" w:hAnsi="Times New Roman"/>
          <w:sz w:val="18"/>
          <w:szCs w:val="18"/>
          <w:color w:val="auto"/>
        </w:rPr>
        <w:t>If any of our product candidates are approved for marketing, we will be subject to ongoing regulatory requirements, including with respect to manufacturing, labeling, packaging, storage, advertising, promotion, sampling, record-keeping, conduct of post-marketing clinical trials, and submission of safety, efficacy and other post-approval information, including both federal and state requirements in the United States and requirements of comparable foreign regulatory authorities.</w:t>
      </w:r>
    </w:p>
    <w:p>
      <w:pPr>
        <w:spacing w:after="0" w:line="180" w:lineRule="exact"/>
        <w:rPr>
          <w:sz w:val="20"/>
          <w:szCs w:val="20"/>
          <w:color w:val="auto"/>
        </w:rPr>
      </w:pPr>
    </w:p>
    <w:p>
      <w:pPr>
        <w:ind w:right="140" w:firstLine="510"/>
        <w:spacing w:after="0" w:line="261" w:lineRule="auto"/>
        <w:rPr>
          <w:sz w:val="20"/>
          <w:szCs w:val="20"/>
          <w:color w:val="auto"/>
        </w:rPr>
      </w:pPr>
      <w:r>
        <w:rPr>
          <w:rFonts w:ascii="Times New Roman" w:cs="Times New Roman" w:eastAsia="Times New Roman" w:hAnsi="Times New Roman"/>
          <w:sz w:val="18"/>
          <w:szCs w:val="18"/>
          <w:color w:val="auto"/>
        </w:rPr>
        <w:t>Manufacturers and manufacturers’ facilities are required to continuously comply with FDA and comparable foreign regulatory authority requirements, including ensuring that quality control and manufacturing procedures conform to current good manufacturing practices (cGMP) regulations and corresponding foreign regulatory manufacturing requirements. As such, we and our contract manufacturers will be subject to continual review and inspections to assess compliance with cGMP and adherence to commitments made in any BLA or marketing authorization application.</w:t>
      </w:r>
    </w:p>
    <w:p>
      <w:pPr>
        <w:spacing w:after="0" w:line="180" w:lineRule="exact"/>
        <w:rPr>
          <w:sz w:val="20"/>
          <w:szCs w:val="20"/>
          <w:color w:val="auto"/>
        </w:rPr>
      </w:pPr>
    </w:p>
    <w:p>
      <w:pPr>
        <w:ind w:right="100" w:firstLine="510"/>
        <w:spacing w:after="0" w:line="261" w:lineRule="auto"/>
        <w:rPr>
          <w:sz w:val="20"/>
          <w:szCs w:val="20"/>
          <w:color w:val="auto"/>
        </w:rPr>
      </w:pPr>
      <w:r>
        <w:rPr>
          <w:rFonts w:ascii="Times New Roman" w:cs="Times New Roman" w:eastAsia="Times New Roman" w:hAnsi="Times New Roman"/>
          <w:sz w:val="18"/>
          <w:szCs w:val="18"/>
          <w:color w:val="auto"/>
        </w:rPr>
        <w:t>Any regulatory approvals that we receive for our product candidates may be subject to limitations on the approved indicated uses for which the product candidate may be marketed or to the conditions of approval, or contain requirements for potentially costly post-marketing testing, including Phase</w:t>
      </w:r>
    </w:p>
    <w:p>
      <w:pPr>
        <w:spacing w:after="0" w:line="252" w:lineRule="auto"/>
        <w:rPr>
          <w:sz w:val="20"/>
          <w:szCs w:val="20"/>
          <w:color w:val="auto"/>
        </w:rPr>
      </w:pPr>
      <w:r>
        <w:rPr>
          <w:rFonts w:ascii="Times New Roman" w:cs="Times New Roman" w:eastAsia="Times New Roman" w:hAnsi="Times New Roman"/>
          <w:sz w:val="18"/>
          <w:szCs w:val="18"/>
          <w:color w:val="auto"/>
        </w:rPr>
        <w:t>4 clinical trials, and surveillance to monitor the safety and efficacy of the product candidate. We will be required to report adverse reactions and production problems, if any, to the FDA and comparable foreign regulatory authorities. Any new legislation addressing drug safety issues could result in delays in product development or commercialization, or increased costs to assure compliance. If our original marketing approval for a product candidate was obtained through an accelerated approval pathway, we could be required to conduct a successful post-marketing clinical trial in order to confirm the clinical benefit for our products. An unsuccessful post-marketing clinical trial or failure to complete such a trial could result in the withdrawal of marketing approval.</w:t>
      </w:r>
    </w:p>
    <w:p>
      <w:pPr>
        <w:spacing w:after="0" w:line="190" w:lineRule="exact"/>
        <w:rPr>
          <w:sz w:val="20"/>
          <w:szCs w:val="20"/>
          <w:color w:val="auto"/>
        </w:rPr>
      </w:pPr>
    </w:p>
    <w:p>
      <w:pPr>
        <w:ind w:right="240" w:firstLine="510"/>
        <w:spacing w:after="0" w:line="261" w:lineRule="auto"/>
        <w:rPr>
          <w:sz w:val="20"/>
          <w:szCs w:val="20"/>
          <w:color w:val="auto"/>
        </w:rPr>
      </w:pPr>
      <w:r>
        <w:rPr>
          <w:rFonts w:ascii="Times New Roman" w:cs="Times New Roman" w:eastAsia="Times New Roman" w:hAnsi="Times New Roman"/>
          <w:sz w:val="18"/>
          <w:szCs w:val="18"/>
          <w:color w:val="auto"/>
        </w:rPr>
        <w:t>If a regulatory agency discovers previously unknown problems with a product, such as adverse events of unanticipated severity or frequency, or problems with the facility where the product is manufactured, or disagrees with the promotion, marketing or labeling of a product, the regulatory agency may impose restrictions on that product or us, including requiring withdrawal of the product from the market. If we fail to comply with applicable regulatory requirements, a regulatory agency or enforcement authority may, among other things:</w:t>
      </w:r>
    </w:p>
    <w:p>
      <w:pPr>
        <w:spacing w:after="0" w:line="72" w:lineRule="exact"/>
        <w:rPr>
          <w:sz w:val="20"/>
          <w:szCs w:val="20"/>
          <w:color w:val="auto"/>
        </w:rPr>
      </w:pPr>
    </w:p>
    <w:p>
      <w:pPr>
        <w:ind w:left="1000" w:hanging="493"/>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untitled or warning letters;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civil or criminal penalties;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or withdraw regulatory approval or revoke a license;</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any of our ongoing clinical trials;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approve pending applications or supplements to approved applications submitted by us;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restrictions on our operations, including closing our contract manufacturers’ facilities; or</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 product recall.</w:t>
      </w:r>
    </w:p>
    <w:p>
      <w:pPr>
        <w:spacing w:after="0" w:line="225" w:lineRule="exact"/>
        <w:rPr>
          <w:sz w:val="20"/>
          <w:szCs w:val="20"/>
          <w:color w:val="auto"/>
        </w:rPr>
      </w:pPr>
    </w:p>
    <w:p>
      <w:pPr>
        <w:jc w:val="both"/>
        <w:ind w:right="40" w:firstLine="510"/>
        <w:spacing w:after="0" w:line="266" w:lineRule="auto"/>
        <w:rPr>
          <w:sz w:val="20"/>
          <w:szCs w:val="20"/>
          <w:color w:val="auto"/>
        </w:rPr>
      </w:pPr>
      <w:r>
        <w:rPr>
          <w:rFonts w:ascii="Times New Roman" w:cs="Times New Roman" w:eastAsia="Times New Roman" w:hAnsi="Times New Roman"/>
          <w:sz w:val="18"/>
          <w:szCs w:val="18"/>
          <w:color w:val="auto"/>
        </w:rPr>
        <w:t>Any government investigation of alleged violations of law would be expected to require us to expend significant time and resources in response and could generate adverse publicity. Any failure to comply with ongoing regulatory requirements may significantly and adversely affect our ability to develop and commercialize our products and our value and operating results would be adversely affected.</w:t>
      </w:r>
    </w:p>
    <w:p>
      <w:pPr>
        <w:spacing w:after="0" w:line="280"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marketing approval of our current and future product candidates in one jurisdiction does not mean that we will be successful in obtaining marketing approval of our current and future therapeutic product candidates in other jurisdictions.</w:t>
      </w:r>
    </w:p>
    <w:p>
      <w:pPr>
        <w:spacing w:after="0" w:line="51" w:lineRule="exact"/>
        <w:rPr>
          <w:sz w:val="20"/>
          <w:szCs w:val="20"/>
          <w:color w:val="auto"/>
        </w:rPr>
      </w:pPr>
    </w:p>
    <w:p>
      <w:pPr>
        <w:ind w:right="80" w:firstLine="510"/>
        <w:spacing w:after="0" w:line="254" w:lineRule="auto"/>
        <w:rPr>
          <w:sz w:val="20"/>
          <w:szCs w:val="20"/>
          <w:color w:val="auto"/>
        </w:rPr>
      </w:pPr>
      <w:r>
        <w:rPr>
          <w:rFonts w:ascii="Times New Roman" w:cs="Times New Roman" w:eastAsia="Times New Roman" w:hAnsi="Times New Roman"/>
          <w:sz w:val="18"/>
          <w:szCs w:val="18"/>
          <w:color w:val="auto"/>
        </w:rPr>
        <w:t>Obtaining and maintaining marketing approval of our current and future product candidates in one jurisdiction does not guarantee that we will be able to obtain or maintain marketing approval in any other jurisdiction, while a failure or delay in obtaining marketing approval in one jurisdiction may have a negative effect on the marketing approval process in others. For example, even if the FDA grants marketing approval of a product candidate, comparable foreign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studies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future products will also be subject to approval.</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84" w:right="359" w:bottom="1440" w:gutter="0" w:footer="0" w:header="0"/>
        </w:sectPr>
      </w:pPr>
    </w:p>
    <w:bookmarkStart w:id="38" w:name="page39"/>
    <w:bookmarkEnd w:id="38"/>
    <w:p>
      <w:pPr>
        <w:ind w:firstLine="510"/>
        <w:spacing w:after="0" w:line="256" w:lineRule="auto"/>
        <w:rPr>
          <w:sz w:val="20"/>
          <w:szCs w:val="20"/>
          <w:color w:val="auto"/>
        </w:rPr>
      </w:pPr>
      <w:r>
        <w:rPr>
          <w:rFonts w:ascii="Times New Roman" w:cs="Times New Roman" w:eastAsia="Times New Roman" w:hAnsi="Times New Roman"/>
          <w:sz w:val="18"/>
          <w:szCs w:val="18"/>
          <w:color w:val="auto"/>
        </w:rPr>
        <w:t>We may submit marketing applications in other countries in addition to the United States. Regulatory authorities in jurisdictions outside of the United States have requirements for approval of product candidates with which we must comply prior to marketing in those jurisdictions. Obtaining foreign marketing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marketing approvals, our target market will be reduced and our ability to realize the full market potential of our product candidates will be harmed.</w:t>
      </w:r>
    </w:p>
    <w:p>
      <w:pPr>
        <w:spacing w:after="0" w:line="291"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Inadequate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67"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80" w:lineRule="exact"/>
        <w:rPr>
          <w:sz w:val="20"/>
          <w:szCs w:val="20"/>
          <w:color w:val="auto"/>
        </w:rPr>
      </w:pPr>
    </w:p>
    <w:p>
      <w:pPr>
        <w:ind w:right="260" w:firstLine="510"/>
        <w:spacing w:after="0" w:line="256" w:lineRule="auto"/>
        <w:rPr>
          <w:sz w:val="20"/>
          <w:szCs w:val="20"/>
          <w:color w:val="auto"/>
        </w:rPr>
      </w:pPr>
      <w:r>
        <w:rPr>
          <w:rFonts w:ascii="Times New Roman" w:cs="Times New Roman" w:eastAsia="Times New Roman" w:hAnsi="Times New Roman"/>
          <w:sz w:val="18"/>
          <w:szCs w:val="18"/>
          <w:color w:val="auto"/>
        </w:rPr>
        <w:t>Disruptions at the FDA and other agencies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legislative reform measures may have a material adverse effect on our business, financial condition or results of operations.</w:t>
      </w:r>
    </w:p>
    <w:p>
      <w:pPr>
        <w:spacing w:after="0" w:line="121" w:lineRule="exact"/>
        <w:rPr>
          <w:sz w:val="20"/>
          <w:szCs w:val="20"/>
          <w:color w:val="auto"/>
        </w:rPr>
      </w:pPr>
    </w:p>
    <w:p>
      <w:pPr>
        <w:ind w:right="40" w:firstLine="510"/>
        <w:spacing w:after="0" w:line="253" w:lineRule="auto"/>
        <w:rPr>
          <w:sz w:val="20"/>
          <w:szCs w:val="20"/>
          <w:color w:val="auto"/>
        </w:rPr>
      </w:pPr>
      <w:r>
        <w:rPr>
          <w:rFonts w:ascii="Times New Roman" w:cs="Times New Roman" w:eastAsia="Times New Roman" w:hAnsi="Times New Roman"/>
          <w:sz w:val="18"/>
          <w:szCs w:val="18"/>
          <w:color w:val="auto"/>
        </w:rPr>
        <w:t>In the United States, there have been and continue to be a number of legislative initiatives to contain healthcare costs. For example, in March 2010, the Patient Protection and Affordable Care Act, as amended by the Health Care and Education Reconciliation Act of 2010 (collectively, the “ACA”), was passed, which substantially changed the way healthcare is financed by both governmental and private insurers, and significantly impacted the U.S. pharmaceutical industry. The ACA, among other things, subjected biological products to potential competition by lower-cost biosimilars, addressed a new methodology by which rebates owed by manufacturers under the Medicaid Drug Rebate Program are calculated for drugs and biologics that are inhaled, infused, instilled, implanted or injected,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biologics, and created a new Medicare Part D coverage gap discount program, in which manufacturers must agree to offer 70% (increased from 50% pursuant to the Bipartisan Budget Act of 2018, effective as of 2019) point-of-sale discounts off negotiated prices of applicable brand drugs and biologics to eligible beneficiaries during their coverage gap period, as a condition for the manufacturer’s outpatient drugs or biologics to be covered under Medicare Part D.</w:t>
      </w:r>
    </w:p>
    <w:p>
      <w:pPr>
        <w:spacing w:after="0" w:line="192"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Since its enactment, there have been judicial and Congressional challenges to certain aspects of the ACA, and as a result, certain sections of the ACA have not been fully implemented or have been effectively repealed through Executive Orders and/or executive agency actions. However, following several years of litigation in the federal courts, in June 2021, the U.S. Supreme Court upheld the ACA when it dismissed a legal challenge to the ACA’s constitutionality. Prior to the Supreme Court’s decision, President Biden issued an executive order to initiate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w:t>
      </w:r>
    </w:p>
    <w:p>
      <w:pPr>
        <w:spacing w:after="0" w:line="192" w:lineRule="exact"/>
        <w:rPr>
          <w:sz w:val="20"/>
          <w:szCs w:val="20"/>
          <w:color w:val="auto"/>
        </w:rPr>
      </w:pPr>
    </w:p>
    <w:p>
      <w:pPr>
        <w:ind w:right="260" w:firstLine="510"/>
        <w:spacing w:after="0" w:line="256" w:lineRule="auto"/>
        <w:rPr>
          <w:sz w:val="20"/>
          <w:szCs w:val="20"/>
          <w:color w:val="auto"/>
        </w:rPr>
      </w:pPr>
      <w:r>
        <w:rPr>
          <w:rFonts w:ascii="Times New Roman" w:cs="Times New Roman" w:eastAsia="Times New Roman" w:hAnsi="Times New Roman"/>
          <w:sz w:val="18"/>
          <w:szCs w:val="18"/>
          <w:color w:val="auto"/>
        </w:rPr>
        <w:t>Further legislative and regulatory changes under the ACA remain possible, although the new federal administration under President Biden has signaled that it plans to build on the ACA and expand the number of people who are eligible for health insurance subsidies under it. It is unknown what form any such changes or any law would take, and how or whether it may affect the biopharmaceutical industry as a whole or our business in the future. We expect that changes or additions to the ACA, the Medicare and Medicaid programs, such as changes allowing the federal government to directly negotiate drug prices, and changes stemming from other healthcare reform measures, especially with regard to healthcare access, financing or other legislation in individual states, could have a material adverse effect on the health care industry in the US.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39" w:name="page40"/>
    <w:bookmarkEnd w:id="39"/>
    <w:p>
      <w:pPr>
        <w:ind w:right="100" w:firstLine="510"/>
        <w:spacing w:after="0" w:line="253"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ACA was enacted. On August 2, 2011, the Budget Control Act of 2011 was signed into law, which, among other things, resulted in reductions to Medicare payments to providers of 2% per fiscal year, which went into effect on April 1, 2013 and, due to subsequent legislative amendments to the statute, will remain in effect through 2030, with the exception of a temporary suspension from May 1, 2020 through June 30, 2022 (a 1% sequester will apply from April 1, 2022 through June 30, 2022) due to the COVID-19 pandemic, unless additional Congressional action is taken. On January 2, 2013, the American Taxpayer Relief Act of 2012 was signed into law, which, among other things, reduced Medicare payments to several providers, including hospitals and cancer treatment centers, and increased the statute of limitations period for the government to recover overpayments to providers from three to five years. As another example, the 2021 Consolidated Appropriations Act signed into law on December 27, 2020, incorporated extensive healthcare provisions and amendments to existing laws, including a requirement that all manufacturers of drugs and biological products covered under Medicare Part B report the product’s average sales price, or ASP, to HHS beginning on January 1, 2022, subject to enforcement via civil money penalties.</w:t>
      </w:r>
    </w:p>
    <w:p>
      <w:pPr>
        <w:spacing w:after="0" w:line="194" w:lineRule="exact"/>
        <w:rPr>
          <w:sz w:val="20"/>
          <w:szCs w:val="20"/>
          <w:color w:val="auto"/>
        </w:rPr>
      </w:pPr>
    </w:p>
    <w:p>
      <w:pPr>
        <w:ind w:right="20" w:firstLine="510"/>
        <w:spacing w:after="0" w:line="253" w:lineRule="auto"/>
        <w:rPr>
          <w:sz w:val="20"/>
          <w:szCs w:val="20"/>
          <w:color w:val="auto"/>
        </w:rPr>
      </w:pPr>
      <w:r>
        <w:rPr>
          <w:rFonts w:ascii="Times New Roman" w:cs="Times New Roman" w:eastAsia="Times New Roman" w:hAnsi="Times New Roman"/>
          <w:sz w:val="18"/>
          <w:szCs w:val="18"/>
          <w:color w:val="auto"/>
        </w:rPr>
        <w:t>In the United States and in some other jurisdictions, there have been a number of legislative and regulatory changes and proposed changes regarding the health care system that could prevent or delay marketing approval of our drug candidates, restrict or regulate post-approval activities, or affect our ability to profitably sell any drug candidates for which we obtain marketing approval, if any. For example, in December 2016, the 21st Century Cures Act, or Cures Act, was signed into law. The Cures Act, among other things, was intended to modernize the regulation of drugs and devices and to spur innovation, but its ultimate implementation is uncertain. Legislative proposals continue to be discussed in the U.S. Congress as potentially leading to a future “Cures 2.0” bill that is expected to have bipartisan support. In addition, in August 2017, the FDA Reauthorization Act was signed into law, which reauthorized the FDA’s user fee programs and included additional drug and biological product provisions. The next legislative reauthorization must be completed in 2022, which has the potential to make further changes to FDA authorities or policies pertaining to biopharmaceutical products. We cannot be sure whether additional legislative changes will be enacted, or whether FDA regulations, guidance or interpretations will be changed, or what the impact of such changes on the marketing approvals, if any, of our drug candidates, may be or whether such changes will have any other impacts on our business. In addition, increased scrutiny by the U.S. Congress of the FDA’s approval process may significantly delay or prevent marketing approval, as well as subject us to more stringent product labeling and post-marketing conditions and other requirements.</w:t>
      </w:r>
    </w:p>
    <w:p>
      <w:pPr>
        <w:spacing w:after="0" w:line="190" w:lineRule="exact"/>
        <w:rPr>
          <w:sz w:val="20"/>
          <w:szCs w:val="20"/>
          <w:color w:val="auto"/>
        </w:rPr>
      </w:pPr>
    </w:p>
    <w:p>
      <w:pPr>
        <w:ind w:firstLine="510"/>
        <w:spacing w:after="0" w:line="252" w:lineRule="auto"/>
        <w:rPr>
          <w:sz w:val="20"/>
          <w:szCs w:val="20"/>
          <w:color w:val="auto"/>
        </w:rPr>
      </w:pPr>
      <w:r>
        <w:rPr>
          <w:rFonts w:ascii="Times New Roman" w:cs="Times New Roman" w:eastAsia="Times New Roman" w:hAnsi="Times New Roman"/>
          <w:sz w:val="18"/>
          <w:szCs w:val="18"/>
          <w:color w:val="auto"/>
        </w:rPr>
        <w:t>Further, over the past several years there has been heightened governmental scrutiny over the manner in which biopharmaceutical manufacturers set prices for their marketed products, which has resulted in several U.S.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The probability of success of these newly announced policies, many of which have been subjected to legal challenge in the federal court system, and their potential impact on the U.S. prescription drug marketplace is unknown. There are likely to be continued political and legal challenges associated with implementing these reforms as they are currently envisioned, and the recent transition to a new Democrat-led presidential administration created further uncertainty in the health care and biopharmaceutical industries. For example, in July 2021, President Biden issued a sweeping executive order on promoting competition in the American economy that includes several mandates pertaining to the pharmaceutical and health care insurance industries. Among other things, the executive order directs the FDA to work towards implementing a system for importing drugs from Canada (following on a Trump administration notice-and-comment rulemaking on Canadian drug importation that was finalized in October 2020). The Biden order also called on HHS to release a comprehensive plan to combat high prescription drug prices, and it includes several directives regarding the Federal Trade Commission’s oversight of potentially anticompetitive practices within the pharmaceutical industry. The drug pricing plan released by HHS in September 2021 in response to the executive order makes clear that the Biden Administration supports aggressive action to address rising drug prices, including allowing HHS to negotiate the cost of Medicare Part B and D drugs, but such significant changes will require either new legislation to be passed by Congress or time-consuming administrative actions. Accordingly, there remains a large amount of uncertainty regarding the federal government’s approach to making pharmaceutical treatment costs more affordable for patients.</w:t>
      </w:r>
    </w:p>
    <w:p>
      <w:pPr>
        <w:spacing w:after="0" w:line="195" w:lineRule="exact"/>
        <w:rPr>
          <w:sz w:val="20"/>
          <w:szCs w:val="20"/>
          <w:color w:val="auto"/>
        </w:rPr>
      </w:pPr>
    </w:p>
    <w:p>
      <w:pPr>
        <w:ind w:right="20" w:firstLine="510"/>
        <w:spacing w:after="0" w:line="253" w:lineRule="auto"/>
        <w:rPr>
          <w:sz w:val="20"/>
          <w:szCs w:val="20"/>
          <w:color w:val="auto"/>
        </w:rPr>
      </w:pPr>
      <w:r>
        <w:rPr>
          <w:rFonts w:ascii="Times New Roman" w:cs="Times New Roman" w:eastAsia="Times New Roman" w:hAnsi="Times New Roman"/>
          <w:sz w:val="18"/>
          <w:szCs w:val="18"/>
          <w:color w:val="auto"/>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California requires pharmaceutical manufacturers to notify certain purchasers, including health insurers and government health plans at least 60 days before any scheduled increase in the wholesale acquisition cost (WAC), of their product if the increase exceeds 16%, and further requires pharmaceutical manufacturers to explain whether a change or improvement in the product necessitates such an increase. Similarly, Vermont requires pharmaceutical manufacturers to disclose price information on certain prescription drugs, and to provide notification to the state if introducing a new drug with a WAC in excess of the Medicare Part D specialty drug threshold. In December 2020, the U.S. Supreme Court also held unanimously that federal law does not preempt the states’ ability to regulate pharmaceutical benefit managers, or PBMs, and other members of the healthcare and pharmaceutical supply chain, an important decision that may lead to further and more aggressive efforts by states in this area. Legally mandated price controls on payment amounts by third-party payors or other restrictions could harm our business, results of</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40" w:name="page41"/>
    <w:bookmarkEnd w:id="40"/>
    <w:p>
      <w:pPr>
        <w:ind w:right="20"/>
        <w:spacing w:after="0" w:line="261" w:lineRule="auto"/>
        <w:rPr>
          <w:sz w:val="20"/>
          <w:szCs w:val="20"/>
          <w:color w:val="auto"/>
        </w:rPr>
      </w:pPr>
      <w:r>
        <w:rPr>
          <w:rFonts w:ascii="Times New Roman" w:cs="Times New Roman" w:eastAsia="Times New Roman" w:hAnsi="Times New Roman"/>
          <w:sz w:val="18"/>
          <w:szCs w:val="18"/>
          <w:color w:val="auto"/>
        </w:rPr>
        <w:t>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 candidates, if approved, or put pressure on our product pricing, which could negatively affect our business, results of operations, financial condition and prospects.</w:t>
      </w:r>
    </w:p>
    <w:p>
      <w:pPr>
        <w:spacing w:after="0" w:line="180" w:lineRule="exact"/>
        <w:rPr>
          <w:sz w:val="20"/>
          <w:szCs w:val="20"/>
          <w:color w:val="auto"/>
        </w:rPr>
      </w:pPr>
    </w:p>
    <w:p>
      <w:pPr>
        <w:ind w:right="80" w:firstLine="510"/>
        <w:spacing w:after="0" w:line="266" w:lineRule="auto"/>
        <w:rPr>
          <w:sz w:val="20"/>
          <w:szCs w:val="20"/>
          <w:color w:val="auto"/>
        </w:rPr>
      </w:pPr>
      <w:r>
        <w:rPr>
          <w:rFonts w:ascii="Times New Roman" w:cs="Times New Roman" w:eastAsia="Times New Roman" w:hAnsi="Times New Roman"/>
          <w:sz w:val="18"/>
          <w:szCs w:val="18"/>
          <w:color w:val="auto"/>
        </w:rPr>
        <w:t>In the European Union, similar political, economic and regulatory developments may affect our ability to profitably commercialize our products. In addition to continuing pressure on prices and cost containment measures, legislative developments at the European Union or EU member state level may result in significant additional requirements or obstacles that may increase our operating costs.</w:t>
      </w:r>
    </w:p>
    <w:p>
      <w:pPr>
        <w:spacing w:after="0" w:line="176" w:lineRule="exact"/>
        <w:rPr>
          <w:sz w:val="20"/>
          <w:szCs w:val="20"/>
          <w:color w:val="auto"/>
        </w:rPr>
      </w:pPr>
    </w:p>
    <w:p>
      <w:pPr>
        <w:ind w:right="340" w:firstLine="510"/>
        <w:spacing w:after="0" w:line="261" w:lineRule="auto"/>
        <w:rPr>
          <w:sz w:val="20"/>
          <w:szCs w:val="20"/>
          <w:color w:val="auto"/>
        </w:rPr>
      </w:pPr>
      <w:r>
        <w:rPr>
          <w:rFonts w:ascii="Times New Roman" w:cs="Times New Roman" w:eastAsia="Times New Roman" w:hAnsi="Times New Roman"/>
          <w:sz w:val="18"/>
          <w:szCs w:val="18"/>
          <w:color w:val="auto"/>
        </w:rPr>
        <w:t>We cannot predict the likelihood, nature or extent of government regulation that may arise from future legislation or administrative or executive action. We expect that additional federal and state health care reform measures will be adopted in the future, any of which could limit the amounts that federal and state governments will pay for health care products and services, which could result in limited coverage and reimbursement and reduced demand for our products, once approved, or additional pricing pressures.</w:t>
      </w:r>
    </w:p>
    <w:p>
      <w:pPr>
        <w:spacing w:after="0" w:line="284"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directly or indirectly, to federal and state healthcare fraud and abuse laws, false claims laws, and health information privacy and security laws. If we are unable to comply, or have not fully complied, with such laws, we could face substantial penalties.</w:t>
      </w:r>
    </w:p>
    <w:p>
      <w:pPr>
        <w:spacing w:after="0" w:line="51"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If we obtain FDA approval for any of our product candidates and begin commercializing those products in the United States, our operations may be subject to various federal and state fraud and abuse laws, including, without limitation, the federal Anti-Kickback Statute, the federal False Claims Act, and physician sunshine laws and regulations. These laws may impact, among other things, our proposed sales, marketing, and education programs. In addition, we may be subject to patient privacy regulation by both the federal government and the states in which we conduct our business. The laws that may affect our ability to operate include:</w:t>
      </w:r>
    </w:p>
    <w:p>
      <w:pPr>
        <w:spacing w:after="0" w:line="75" w:lineRule="exact"/>
        <w:rPr>
          <w:sz w:val="20"/>
          <w:szCs w:val="20"/>
          <w:color w:val="auto"/>
        </w:rPr>
      </w:pPr>
    </w:p>
    <w:p>
      <w:pPr>
        <w:jc w:val="both"/>
        <w:ind w:left="1000" w:right="120" w:hanging="493"/>
        <w:spacing w:after="0" w:line="266"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persons from knowingly and willfully soliciting, receiving, offering or paying remuneration, directly or indirectly, to induce, or in return for, the purchase or recommendation of an item or service reimbursable under a federal healthcare program, such as the Medicare and Medicaid programs;</w:t>
      </w:r>
    </w:p>
    <w:p>
      <w:pPr>
        <w:spacing w:after="0" w:line="67" w:lineRule="exact"/>
        <w:rPr>
          <w:rFonts w:ascii="Times New Roman" w:cs="Times New Roman" w:eastAsia="Times New Roman" w:hAnsi="Times New Roman"/>
          <w:sz w:val="18"/>
          <w:szCs w:val="18"/>
          <w:color w:val="auto"/>
        </w:rPr>
      </w:pPr>
    </w:p>
    <w:p>
      <w:pPr>
        <w:jc w:val="both"/>
        <w:ind w:left="1000" w:right="120" w:hanging="493"/>
        <w:spacing w:after="0" w:line="266"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civil and criminal false claims laws and civil monetary penalty laws, which prohibit, among other things, individuals or entities from knowingly presenting, or causing to be presented, claims for payment from Medicare, Medicaid, or other third-party payors that are false or fraudulent;</w:t>
      </w:r>
    </w:p>
    <w:p>
      <w:pPr>
        <w:spacing w:after="0" w:line="67" w:lineRule="exact"/>
        <w:rPr>
          <w:rFonts w:ascii="Times New Roman" w:cs="Times New Roman" w:eastAsia="Times New Roman" w:hAnsi="Times New Roman"/>
          <w:sz w:val="18"/>
          <w:szCs w:val="18"/>
          <w:color w:val="auto"/>
        </w:rPr>
      </w:pPr>
    </w:p>
    <w:p>
      <w:pPr>
        <w:ind w:left="1000" w:right="220" w:hanging="493"/>
        <w:spacing w:after="0" w:line="282"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(HIPAA), which created new federal criminal statutes that prohibit executing a scheme to defraud any healthcare benefit program and making false statements relating to healthcare matters;</w:t>
      </w:r>
    </w:p>
    <w:p>
      <w:pPr>
        <w:spacing w:after="0" w:line="53" w:lineRule="exact"/>
        <w:rPr>
          <w:rFonts w:ascii="Times New Roman" w:cs="Times New Roman" w:eastAsia="Times New Roman" w:hAnsi="Times New Roman"/>
          <w:sz w:val="18"/>
          <w:szCs w:val="18"/>
          <w:color w:val="auto"/>
        </w:rPr>
      </w:pPr>
    </w:p>
    <w:p>
      <w:pPr>
        <w:ind w:left="1000" w:right="560" w:hanging="493"/>
        <w:spacing w:after="0" w:line="282"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and Clinical Health Act, and its implementing regulations, which imposes specified requirements relating to the privacy, security, and transmission of individually identifiable health information;</w:t>
      </w:r>
    </w:p>
    <w:p>
      <w:pPr>
        <w:spacing w:after="0" w:line="53" w:lineRule="exact"/>
        <w:rPr>
          <w:rFonts w:ascii="Times New Roman" w:cs="Times New Roman" w:eastAsia="Times New Roman" w:hAnsi="Times New Roman"/>
          <w:sz w:val="18"/>
          <w:szCs w:val="18"/>
          <w:color w:val="auto"/>
        </w:rPr>
      </w:pPr>
    </w:p>
    <w:p>
      <w:pPr>
        <w:ind w:left="1000" w:right="80" w:hanging="493"/>
        <w:spacing w:after="0" w:line="261"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requirements under the ACA require manufacturers of drugs, devices, biologics, and medical supplies to report annually to the HHS information related to payments and other transfers of value to physicians, other healthcare providers, and teaching hospitals, and ownership and investment interests held by physicians and other healthcare providers and their immediate family members and applicable group purchasing organizations; and</w:t>
      </w:r>
    </w:p>
    <w:p>
      <w:pPr>
        <w:spacing w:after="0" w:line="71" w:lineRule="exact"/>
        <w:rPr>
          <w:rFonts w:ascii="Times New Roman" w:cs="Times New Roman" w:eastAsia="Times New Roman" w:hAnsi="Times New Roman"/>
          <w:sz w:val="18"/>
          <w:szCs w:val="18"/>
          <w:color w:val="auto"/>
        </w:rPr>
      </w:pPr>
    </w:p>
    <w:p>
      <w:pPr>
        <w:ind w:left="1000" w:right="20" w:hanging="493"/>
        <w:spacing w:after="0" w:line="255"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 equivalents of each of the above federal laws, such as anti-kickback and false claims laws that may apply to items or services reimbursed by any third-party payor, including governmental and private payors, to comply with the pharmaceutical industry’s voluntary compliance guidelines and the relevant compliance guidance promulgated by the federal government, or otherwise restrict payments that may be made to healthcare providers and other potential referral sources; state laws that require drug manufacturers to report information related to payments and other transfers of value to physicians and other healthcare providers or marketing expenditures, and state laws governing the privacy and security of health information in specified circumstances, many of which differ from each other in significant ways and may not have the same effect, thus complicating compliance efforts.</w:t>
      </w:r>
    </w:p>
    <w:p>
      <w:pPr>
        <w:spacing w:after="0" w:line="189" w:lineRule="exact"/>
        <w:rPr>
          <w:sz w:val="20"/>
          <w:szCs w:val="20"/>
          <w:color w:val="auto"/>
        </w:rPr>
      </w:pPr>
    </w:p>
    <w:p>
      <w:pPr>
        <w:ind w:right="240" w:firstLine="510"/>
        <w:spacing w:after="0" w:line="261"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and safe harbors available, it is possible that some of our business activities could be subject to challenge under one or more of such laws. In addition, recent health care reform legislation has strengthened these laws. For example, the ACA, among other things, amends the intent requirement of the federal anti-kickback and criminal healthcare fraud statutes. A person or entity no longer needs to have actual knowledge of this statute or specific</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41" w:name="page42"/>
    <w:bookmarkEnd w:id="41"/>
    <w:p>
      <w:pPr>
        <w:ind w:right="160"/>
        <w:spacing w:after="0" w:line="282" w:lineRule="auto"/>
        <w:rPr>
          <w:sz w:val="20"/>
          <w:szCs w:val="20"/>
          <w:color w:val="auto"/>
        </w:rPr>
      </w:pPr>
      <w:r>
        <w:rPr>
          <w:rFonts w:ascii="Times New Roman" w:cs="Times New Roman" w:eastAsia="Times New Roman" w:hAnsi="Times New Roman"/>
          <w:sz w:val="18"/>
          <w:szCs w:val="18"/>
          <w:color w:val="auto"/>
        </w:rPr>
        <w:t>intent to violate it. Moreover, the ACA provides that the U.S. government may assert that a claim including items or services resulting from a violation of the federal anti-kickback statute constitutes a false or fraudulent claim for purposes of the False Claims Act.</w:t>
      </w:r>
    </w:p>
    <w:p>
      <w:pPr>
        <w:spacing w:after="0" w:line="162"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If our operations are found to be in violation of any of the laws described above or any other governmental regulations that apply to us, we may be subject to penalties, including civil and criminal penalties, damages, fines, exclusion from participation in government health care programs, such as Medicare and Medicaid, imprisonment, and the curtailment or restructuring of our operations, any of which could adversely affect our ability to operate our business and our results of operations.</w:t>
      </w:r>
    </w:p>
    <w:p>
      <w:pPr>
        <w:spacing w:after="0" w:line="284"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or may in the future become subject to, U.S. federal and state, and foreign laws and regulations imposing obligations on how we collect, use, disclose, store and process personal information. Our actual or perceived failure to comply with such obligations could result in liability or reputational harm and could harm our business. Ensuring compliance with such laws could also impair our efforts to maintain and expand our customer base, and thereby decrease our revenue.</w:t>
      </w:r>
    </w:p>
    <w:p>
      <w:pPr>
        <w:spacing w:after="0" w:line="72" w:lineRule="exact"/>
        <w:rPr>
          <w:sz w:val="20"/>
          <w:szCs w:val="20"/>
          <w:color w:val="auto"/>
        </w:rPr>
      </w:pPr>
    </w:p>
    <w:p>
      <w:pPr>
        <w:ind w:right="40" w:firstLine="510"/>
        <w:spacing w:after="0" w:line="252" w:lineRule="auto"/>
        <w:rPr>
          <w:sz w:val="20"/>
          <w:szCs w:val="20"/>
          <w:color w:val="auto"/>
        </w:rPr>
      </w:pPr>
      <w:r>
        <w:rPr>
          <w:rFonts w:ascii="Times New Roman" w:cs="Times New Roman" w:eastAsia="Times New Roman" w:hAnsi="Times New Roman"/>
          <w:sz w:val="18"/>
          <w:szCs w:val="18"/>
          <w:color w:val="auto"/>
        </w:rPr>
        <w:t>In many activities, including the conduct of clinical trials, we are subject to laws and regulations governing data privacy and the protection of health-related and other personal information. These laws and regulations govern our processing of personal data, including the collection, access, use, analysis, modification, storage, transfer, security breach notification, destruction and disposal of personal data. We must comply with laws and regulations associated with the international transfer of personal data based on the location in which the personal data originates and the location in which it is processed. Although there are legal mechanisms to facilitate the transfer of personal data from the European Economic Area (EEA), and Switzerland to the United States, the decision of the European Court of Justice that invalidated the safe harbor framework has increased uncertainty around compliance with EU privacy law requirements. As a result of the decision, it was no longer possible to rely on safe harbor certification as a legal basis for the transfer of personal data from the European Union to entities in the United States. In February 2016, the European Commission announced an agreement with the Department of Commerce, or DOC, to replace the invalidated safe harbor framework with a new EU-U.S. “Privacy Shield.” However, in July 2020, the Court of Justice of the EU (CJEU) limited how organizations could lawfully transfer personal data from the EEA to the United States by invalidating the EU-US Privacy Shield for purposes of international transfers and imposing further restrictions on use of the standard contractual clauses (SCCs) including, a requirement for companies to carry out a transfer privacy impact assessment, which among other things, assesses laws governing access to personal data in the recipient country and considers whether supplementary measures that provide privacy protections additional to those provided under SCCs will need to be implemented to ensure an essentially equivalent level of data protection to that afforded in the EEA. The European Commission subsequently issued new SCCs in June 2021 to account for the decision of the CJEU and recommendations made by the European Data Protection Board, and which are in turn relatively more onerous.</w:t>
      </w:r>
    </w:p>
    <w:p>
      <w:pPr>
        <w:spacing w:after="0" w:line="195" w:lineRule="exact"/>
        <w:rPr>
          <w:sz w:val="20"/>
          <w:szCs w:val="20"/>
          <w:color w:val="auto"/>
        </w:rPr>
      </w:pPr>
    </w:p>
    <w:p>
      <w:pPr>
        <w:ind w:right="320" w:firstLine="510"/>
        <w:spacing w:after="0" w:line="261" w:lineRule="auto"/>
        <w:rPr>
          <w:sz w:val="20"/>
          <w:szCs w:val="20"/>
          <w:color w:val="auto"/>
        </w:rPr>
      </w:pPr>
      <w:r>
        <w:rPr>
          <w:rFonts w:ascii="Times New Roman" w:cs="Times New Roman" w:eastAsia="Times New Roman" w:hAnsi="Times New Roman"/>
          <w:sz w:val="18"/>
          <w:szCs w:val="18"/>
          <w:color w:val="auto"/>
        </w:rPr>
        <w:t>The privacy and security of personally identifiable information stored, maintained, received or transmitted, including electronically, is subject to significant regulation in the United States and abroad. While we strive to comply with all applicable privacy and security laws and regulations, legal standards for privacy continue to evolve and any failure or perceived failure to comply may result in proceedings or actions against us by government entities or others, or could cause reputational harm, which could have a material adverse effect on our business.</w:t>
      </w:r>
    </w:p>
    <w:p>
      <w:pPr>
        <w:spacing w:after="0" w:line="180" w:lineRule="exact"/>
        <w:rPr>
          <w:sz w:val="20"/>
          <w:szCs w:val="20"/>
          <w:color w:val="auto"/>
        </w:rPr>
      </w:pPr>
    </w:p>
    <w:p>
      <w:pPr>
        <w:jc w:val="both"/>
        <w:ind w:right="60" w:firstLine="510"/>
        <w:spacing w:after="0" w:line="261" w:lineRule="auto"/>
        <w:rPr>
          <w:sz w:val="20"/>
          <w:szCs w:val="20"/>
          <w:color w:val="auto"/>
        </w:rPr>
      </w:pPr>
      <w:r>
        <w:rPr>
          <w:rFonts w:ascii="Times New Roman" w:cs="Times New Roman" w:eastAsia="Times New Roman" w:hAnsi="Times New Roman"/>
          <w:sz w:val="18"/>
          <w:szCs w:val="18"/>
          <w:color w:val="auto"/>
        </w:rPr>
        <w:t>Numerous foreign, federal and state laws and regulations govern collection, dissemination, use and confidentiality of personally identifiable health information, including state privacy and confidentiality laws (including state laws requiring disclosure of breaches); federal and state consumer protection and employment laws; HIPAA; and European and other foreign data protection laws. These laws and regulations are increasing in complexity and number, may change frequently and sometimes conflict.</w:t>
      </w:r>
    </w:p>
    <w:p>
      <w:pPr>
        <w:spacing w:after="0" w:line="180" w:lineRule="exact"/>
        <w:rPr>
          <w:sz w:val="20"/>
          <w:szCs w:val="20"/>
          <w:color w:val="auto"/>
        </w:rPr>
      </w:pPr>
    </w:p>
    <w:p>
      <w:pPr>
        <w:ind w:right="40" w:firstLine="510"/>
        <w:spacing w:after="0" w:line="254" w:lineRule="auto"/>
        <w:rPr>
          <w:sz w:val="20"/>
          <w:szCs w:val="20"/>
          <w:color w:val="auto"/>
        </w:rPr>
      </w:pPr>
      <w:r>
        <w:rPr>
          <w:rFonts w:ascii="Times New Roman" w:cs="Times New Roman" w:eastAsia="Times New Roman" w:hAnsi="Times New Roman"/>
          <w:sz w:val="18"/>
          <w:szCs w:val="18"/>
          <w:color w:val="auto"/>
        </w:rPr>
        <w:t>HIPAA establishes a set of national privacy and security standards for the protection of individually identifiable health information, including protected health information, or PHI, by health plans, certain healthcare clearinghouses and healthcare providers that submit certain covered transactions electronically, or covered entities, and their ‘‘business associates,’’ which are persons or entities that perform certain services for, or on behalf of, a covered entity that involve creating, receiving, maintaining or transmitting PHI. While we are not currently a covered entity or business associate under HIPAA, we may receive identifiable information from these entities. Failure to receive this information properly could subject us to HIPAA’s criminal penalties, which may include fines up to $50,000 per violation and/or imprisonment. In addition, responding to government investigations regarding alleged violations of these and other laws and regulations, even if ultimately concluded with no findings of violations or no penalties imposed, can consume company resources and impact our business and, if public, harm our reputation.</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addition, various states, such as California and Massachusetts, have implemented similar privacy laws and regulations, such as the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Confidentiality of Medical Information Act, that impose restrictive requirements regulating the use and disclosure of health information and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personally identifiable information. In addition to fines and penalties imposed upon violators, some of these state laws also afford private rights of action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individuals who believe their personal information has been misused. California’s patient privacy laws, for example, provide for penalties of up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$250,000 and permit injured parties to sue for damages. In addition, California enacted the California Consumer Privacy Act (the CCPA), which took effect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January 1, 2020, became</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42" w:name="page43"/>
    <w:bookmarkEnd w:id="42"/>
    <w:p>
      <w:pPr>
        <w:ind w:right="60"/>
        <w:spacing w:after="0" w:line="253" w:lineRule="auto"/>
        <w:rPr>
          <w:sz w:val="20"/>
          <w:szCs w:val="20"/>
          <w:color w:val="auto"/>
        </w:rPr>
      </w:pPr>
      <w:r>
        <w:rPr>
          <w:rFonts w:ascii="Times New Roman" w:cs="Times New Roman" w:eastAsia="Times New Roman" w:hAnsi="Times New Roman"/>
          <w:sz w:val="18"/>
          <w:szCs w:val="18"/>
          <w:color w:val="auto"/>
        </w:rPr>
        <w:t>enforceable by the California Attorney General on July 1, 2020, and has been dubbed the first “GDPR-like” law in the United States. The CCPA gives California residents expanded rights to access and delete their personal information, opt out of certain personal information sharing and receive detailed information about how their personal information is used by requiring covered companies to provide new disclosures to California consumers (as that term is broadly defined) and provide such consumers new ways to opt-out of certain sales of personal information. The CCPA provides for civil penalties for violations, as well as a private right of action for data breaches that is expected to increase data breach litigation. Further, the California Privacy Rights Act (the CPRA) recently passed in California. The CPRA will impose additional data protection obligations on companies doing business in California,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 majority of the provisions will go into effect on January 1, 2023, and additional compliance investment and potential business process changes may be required. Although the CCPA currently exempts certain health-related information, including clinical trial data, the CCPA and the CPRA may increase our compliance costs and potential liability. Similar laws have been adopted in other states (for example Nevada, Virginia and Colorado) or proposed in other states and at the federal level, and if passed, such laws may have potentially conflicting requirements that would make compliance challenging.</w:t>
      </w:r>
    </w:p>
    <w:p>
      <w:pPr>
        <w:spacing w:after="0" w:line="187"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The interplay of federal and state laws may be subject to varying interpretations by courts and government agencies, creating complex compliance issues for us and our clients and potentially exposing us to additional expense, adverse publicity and liability. Further, as regulatory focus on privacy issues continues to increase and laws and regulations concerning the protection of personal information expand and become more complex, these potential risks to our business could intensify.</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addition, the interpretation and application of consumer, health-related, and data protection laws are often uncertain, contradictory, and in flux.</w:t>
      </w:r>
    </w:p>
    <w:p>
      <w:pPr>
        <w:spacing w:after="0" w:line="225" w:lineRule="exact"/>
        <w:rPr>
          <w:sz w:val="20"/>
          <w:szCs w:val="20"/>
          <w:color w:val="auto"/>
        </w:rPr>
      </w:pPr>
    </w:p>
    <w:p>
      <w:pPr>
        <w:ind w:right="100" w:firstLine="510"/>
        <w:spacing w:after="0" w:line="261" w:lineRule="auto"/>
        <w:rPr>
          <w:sz w:val="20"/>
          <w:szCs w:val="20"/>
          <w:color w:val="auto"/>
        </w:rPr>
      </w:pPr>
      <w:r>
        <w:rPr>
          <w:rFonts w:ascii="Times New Roman" w:cs="Times New Roman" w:eastAsia="Times New Roman" w:hAnsi="Times New Roman"/>
          <w:sz w:val="18"/>
          <w:szCs w:val="18"/>
          <w:color w:val="auto"/>
        </w:rPr>
        <w:t>The legislative and regulatory landscape for privacy and data security continues to evolve, and there has been an increasing focus on privacy and data security issues which may affect our business. Failure to comply with current and future laws and regulations could result in government enforcement actions (including the imposition of significant penalties), criminal and civil liability for us and our officers and directors, private litigation and/or adverse publicity that negatively affects our business.</w:t>
      </w:r>
    </w:p>
    <w:p>
      <w:pPr>
        <w:spacing w:after="0" w:line="284"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have a material adverse effect on our business, financial condition or results of operations.</w:t>
      </w:r>
    </w:p>
    <w:p>
      <w:pPr>
        <w:spacing w:after="0" w:line="51" w:lineRule="exact"/>
        <w:rPr>
          <w:sz w:val="20"/>
          <w:szCs w:val="20"/>
          <w:color w:val="auto"/>
        </w:rPr>
      </w:pPr>
    </w:p>
    <w:p>
      <w:pPr>
        <w:ind w:right="20" w:firstLine="510"/>
        <w:spacing w:after="0" w:line="253" w:lineRule="auto"/>
        <w:rPr>
          <w:sz w:val="20"/>
          <w:szCs w:val="20"/>
          <w:color w:val="auto"/>
        </w:rPr>
      </w:pPr>
      <w:r>
        <w:rPr>
          <w:rFonts w:ascii="Times New Roman" w:cs="Times New Roman" w:eastAsia="Times New Roman" w:hAnsi="Times New Roman"/>
          <w:sz w:val="18"/>
          <w:szCs w:val="18"/>
          <w:color w:val="auto"/>
        </w:rPr>
        <w:t>Our research and development activities and our third-party manufacturers’ and suppliers’ activities involve the controlled storage, use, and disposal of hazardous materials, including the components of our product candidates and other hazardous compounds. We and our manufacturers and suppliers are subject to laws and regulations governing the use, manufacture, storage, handling, and disposal of these hazardous materials. In some cases, these hazardous materials and various wastes resulting from their use are stored at our and our manufacturers’ facilities pending their use and disposal. We cannot eliminate the risk of contamination, which could cause an interruption of our research and development efforts, commercialization efforts and business operations and environmental damage resulting in costly clean-up and liabilities under applicable laws and regulations governing the use, storage, handling, and disposal of these materials and specified waste products. Although we believe that the safety procedures utilized by us and our third-party manufacturers for handling and disposing of these materials generally comply with the standards prescribed by these laws and regulations, we cannot guarantee that this is the case or eliminate the risk of accidental contamination or injury from these materials. In such an event, we may be held liable for any resulting damages and such liability could exceed our resources and state or federal or other applicable authorities may curtail our use of specified materials and/or interrupt our business operations. Furthermore, environmental laws and regulations are complex, change frequently, and have tended to become more stringent. We cannot predict the impact of such changes and cannot be certain of our future compliance. Given the nature of the research and development work conducted by us, we do not currently carry biological or hazardous waste insurance coverage.</w:t>
      </w:r>
    </w:p>
    <w:p>
      <w:pPr>
        <w:spacing w:after="0" w:line="291"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Laws and regulations governing international operations may preclude us from developing, manufacturing and selling certain products outside of the United States and require us to develop, implement and maintain costly compliance programs.</w:t>
      </w:r>
    </w:p>
    <w:p>
      <w:pPr>
        <w:spacing w:after="0" w:line="51"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To develop, manufacture and sell certain products outside the United States, we must dedicate resources to comply with numerous laws and regulations in each jurisdiction in which we operate. The Foreign Corrupt Practices Act (FCPA), prohibits any United States individual or business from paying, offering, authorizing payment or offering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3" w:name="page44"/>
    <w:bookmarkEnd w:id="43"/>
    <w:p>
      <w:pPr>
        <w:ind w:right="60" w:firstLine="510"/>
        <w:spacing w:after="0" w:line="261" w:lineRule="auto"/>
        <w:rPr>
          <w:sz w:val="20"/>
          <w:szCs w:val="20"/>
          <w:color w:val="auto"/>
        </w:rPr>
      </w:pPr>
      <w:r>
        <w:rPr>
          <w:rFonts w:ascii="Times New Roman" w:cs="Times New Roman" w:eastAsia="Times New Roman" w:hAnsi="Times New Roman"/>
          <w:sz w:val="18"/>
          <w:szCs w:val="18"/>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may be considered government employees or foreign officials. In other circumstances, certain payments to hospitals in connection with clinical trials and other work have been deemed to be improper payments to government officials and have led to FCPA enforcement actions.</w:t>
      </w:r>
    </w:p>
    <w:p>
      <w:pPr>
        <w:spacing w:after="0" w:line="180" w:lineRule="exact"/>
        <w:rPr>
          <w:sz w:val="20"/>
          <w:szCs w:val="20"/>
          <w:color w:val="auto"/>
        </w:rPr>
      </w:pPr>
    </w:p>
    <w:p>
      <w:pPr>
        <w:ind w:right="120" w:firstLine="510"/>
        <w:spacing w:after="0" w:line="261" w:lineRule="auto"/>
        <w:rPr>
          <w:sz w:val="20"/>
          <w:szCs w:val="20"/>
          <w:color w:val="auto"/>
        </w:rPr>
      </w:pPr>
      <w:r>
        <w:rPr>
          <w:rFonts w:ascii="Times New Roman" w:cs="Times New Roman" w:eastAsia="Times New Roman" w:hAnsi="Times New Roman"/>
          <w:sz w:val="18"/>
          <w:szCs w:val="18"/>
          <w:color w:val="auto"/>
        </w:rPr>
        <w:t>Various laws, regulations and executive orders also restrict the use and dissemination outside of the United States, or the sharing with certain non-United States nationals, of information classified for national security purposes, as well as certain products and technical data relating to those products. These laws may preclude us from developing, manufacturing, or selling certain products and product candidates outside of the U.S., which could limit our growth potential and increase our development costs.</w:t>
      </w:r>
    </w:p>
    <w:p>
      <w:pPr>
        <w:spacing w:after="0" w:line="180" w:lineRule="exact"/>
        <w:rPr>
          <w:sz w:val="20"/>
          <w:szCs w:val="20"/>
          <w:color w:val="auto"/>
        </w:rPr>
      </w:pPr>
    </w:p>
    <w:p>
      <w:pPr>
        <w:jc w:val="both"/>
        <w:ind w:right="140" w:firstLine="510"/>
        <w:spacing w:after="0" w:line="266" w:lineRule="auto"/>
        <w:rPr>
          <w:sz w:val="20"/>
          <w:szCs w:val="20"/>
          <w:color w:val="auto"/>
        </w:rPr>
      </w:pPr>
      <w:r>
        <w:rPr>
          <w:rFonts w:ascii="Times New Roman" w:cs="Times New Roman" w:eastAsia="Times New Roman" w:hAnsi="Times New Roman"/>
          <w:sz w:val="18"/>
          <w:szCs w:val="18"/>
          <w:color w:val="auto"/>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 and export control laws.</w:t>
      </w:r>
    </w:p>
    <w:p>
      <w:pPr>
        <w:spacing w:after="0" w:line="280"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internal computer systems, or those of our collaborators or other contractors or consultants, may fail or suffer security breaches, which could result in a material disruption of our product development programs.</w:t>
      </w:r>
    </w:p>
    <w:p>
      <w:pPr>
        <w:spacing w:after="0" w:line="51" w:lineRule="exact"/>
        <w:rPr>
          <w:sz w:val="20"/>
          <w:szCs w:val="20"/>
          <w:color w:val="auto"/>
        </w:rPr>
      </w:pPr>
    </w:p>
    <w:p>
      <w:pPr>
        <w:ind w:right="60" w:firstLine="510"/>
        <w:spacing w:after="0" w:line="253" w:lineRule="auto"/>
        <w:rPr>
          <w:sz w:val="20"/>
          <w:szCs w:val="20"/>
          <w:color w:val="auto"/>
        </w:rPr>
      </w:pPr>
      <w:r>
        <w:rPr>
          <w:rFonts w:ascii="Times New Roman" w:cs="Times New Roman" w:eastAsia="Times New Roman" w:hAnsi="Times New Roman"/>
          <w:sz w:val="18"/>
          <w:szCs w:val="18"/>
          <w:color w:val="auto"/>
        </w:rPr>
        <w:t>Our internal computer systems and those of our current and any future collaborators and other contractors or consultants are vulnerable to damage from cyber-attacks, computer viruses, unauthorized access, natural disasters, terrorism, war and telecommunication and electrical failures. Cyber-attacks are increasing in their frequency, sophistication and intensity, and have become increasingly difficult to detect. Cyber-attacks could include the deployment of harmful malware, ransomware, denial-of-service attacks, unauthorized access to or deletion of files, social engineering and other means to affect service reliability and threaten the confidentiality, integrity and availability of information. If any of the above events were to occur and cause interruptions in our operations, it could result in a material disruption of our development programs and our business operations, whether due to a loss of our trade secrets or other proprietary information or other similar disruptions. For example, the loss of preclinical or clinical trial data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delayed.</w:t>
      </w:r>
    </w:p>
    <w:p>
      <w:pPr>
        <w:spacing w:after="0" w:line="298"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Ethical, legal and social concerns about synthetic biology and genetic engineering could limit or prevent the use of our technologies and limit our revenues.</w:t>
      </w:r>
    </w:p>
    <w:p>
      <w:pPr>
        <w:spacing w:after="0" w:line="51"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Our technologies involve the use of synthetic biology and genetic engineering. Public perception about the safety and environmental hazards of, and ethical concerns over, synthetic biology and genetic engineering could influence public acceptance of our technologies, product candidates and processes. If we and our collaborators are not able to overcome the ethical, legal and social concerns relating to synthetic biology and genetic engineering, our technologies, product candidates and processes may not be accepted. These concerns could result in increased expenses, regulatory scrutiny and increased regulation, trade restrictions on imports of Synthetic Biotics, delays or other impediments to our programs or the public acceptance and commercialization of Synthetic Biotics. Further, there is a risk that Synthetic Biotics made using our technologies could result in adverse health effects or other adverse events, which could also lead to negative publicity. We design and produce product candidates with characteristics comparable or disadvantaged to those found in naturally occurring organisms or enzymes in a controlled laboratory; however, the release of such organisms into uncontrolled environments could have unintended consequences. Any adverse effect resulting from such a release could have a material adverse effect on our business, financial condition or results of operations and we may have exposure to liability for any resulting harm.</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obtaining or maintaining necessary rights to Synthetic Biotics, product candidates and processes for our development pipeline through acquisitions and in-licenses.</w:t>
      </w:r>
    </w:p>
    <w:p>
      <w:pPr>
        <w:spacing w:after="0" w:line="51" w:lineRule="exact"/>
        <w:rPr>
          <w:sz w:val="20"/>
          <w:szCs w:val="20"/>
          <w:color w:val="auto"/>
        </w:rPr>
      </w:pPr>
    </w:p>
    <w:p>
      <w:pPr>
        <w:ind w:right="60" w:firstLine="510"/>
        <w:spacing w:after="0" w:line="256" w:lineRule="auto"/>
        <w:rPr>
          <w:sz w:val="20"/>
          <w:szCs w:val="20"/>
          <w:color w:val="auto"/>
        </w:rPr>
      </w:pPr>
      <w:r>
        <w:rPr>
          <w:rFonts w:ascii="Times New Roman" w:cs="Times New Roman" w:eastAsia="Times New Roman" w:hAnsi="Times New Roman"/>
          <w:sz w:val="18"/>
          <w:szCs w:val="18"/>
          <w:color w:val="auto"/>
        </w:rPr>
        <w:t>Presently, we have rights to certain intellectual property, through licenses from third parties and under patents and patent applications owned by us. The growth of our business will likely depend in part on our ability to obtain, maintain or enforce our and our licensors’ intellectual property rights and to acquire or in-license additional proprietary rights. For example, our programs may involve additional product candidates or delivery systems that may require the use of additional proprietary rights held by third parties. Our ultimate product candidates may also require specific formulations to work effectively and efficiently. These formulations may be covered by intellectual property rights held by others. We may be unable to acquire or in-license any relevant third-party intellectual property rights that we identify as necessary or important to our business operations.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4" w:name="page45"/>
    <w:bookmarkEnd w:id="44"/>
    <w:p>
      <w:pPr>
        <w:ind w:firstLine="510"/>
        <w:spacing w:after="0" w:line="258" w:lineRule="auto"/>
        <w:rPr>
          <w:sz w:val="20"/>
          <w:szCs w:val="20"/>
          <w:color w:val="auto"/>
        </w:rPr>
      </w:pPr>
      <w:r>
        <w:rPr>
          <w:rFonts w:ascii="Times New Roman" w:cs="Times New Roman" w:eastAsia="Times New Roman" w:hAnsi="Times New Roman"/>
          <w:sz w:val="18"/>
          <w:szCs w:val="18"/>
          <w:color w:val="auto"/>
        </w:rPr>
        <w:t>In addition, our product candidates may require specific formulations to work effectively and efficiently, and these rights may be held by other third parties. We may be unable to develop, acquire or in-license compositions, methods of use, processes or other third-party intellectual property rights from third parties that we identify. The licensing and acquisition of third-party intellectual property rights is a competitive area, and a number of other companies may also be pursuing strategies to license or acquire third-party intellectual property rights that we may consider attractive. These companies could have a competitive advantage over us due to their size, cash resources and greater clinical development and commercialization capabilities.</w:t>
      </w:r>
    </w:p>
    <w:p>
      <w:pPr>
        <w:spacing w:after="0" w:line="183" w:lineRule="exact"/>
        <w:rPr>
          <w:sz w:val="20"/>
          <w:szCs w:val="20"/>
          <w:color w:val="auto"/>
        </w:rPr>
      </w:pPr>
    </w:p>
    <w:p>
      <w:pPr>
        <w:ind w:right="60" w:firstLine="510"/>
        <w:spacing w:after="0" w:line="258" w:lineRule="auto"/>
        <w:rPr>
          <w:sz w:val="20"/>
          <w:szCs w:val="20"/>
          <w:color w:val="auto"/>
        </w:rPr>
      </w:pPr>
      <w:r>
        <w:rPr>
          <w:rFonts w:ascii="Times New Roman" w:cs="Times New Roman" w:eastAsia="Times New Roman" w:hAnsi="Times New Roman"/>
          <w:sz w:val="18"/>
          <w:szCs w:val="18"/>
          <w:color w:val="auto"/>
        </w:rPr>
        <w:t>For example, we have previously and may continue to collaborate with academic institutions to accelerate our preclinical research or development under written agreements with these institutions. Typically, these institutions provide an option to negotiate a license to any of the institution’s rights in technology resulting from the collaboration. Regardless of such right of first negotiation for intellectual property, we may be unable to negotiate a license within the specified time frame or under terms that are acceptable to it. If we are unable to do so, the institution may offer the intellectual property rights to other parties, potentially blocking our ability to pursue our program.</w:t>
      </w:r>
    </w:p>
    <w:p>
      <w:pPr>
        <w:spacing w:after="0" w:line="183" w:lineRule="exact"/>
        <w:rPr>
          <w:sz w:val="20"/>
          <w:szCs w:val="20"/>
          <w:color w:val="auto"/>
        </w:rPr>
      </w:pPr>
    </w:p>
    <w:p>
      <w:pPr>
        <w:ind w:right="280" w:firstLine="510"/>
        <w:spacing w:after="0" w:line="266" w:lineRule="auto"/>
        <w:rPr>
          <w:sz w:val="20"/>
          <w:szCs w:val="20"/>
          <w:color w:val="auto"/>
        </w:rPr>
      </w:pPr>
      <w:r>
        <w:rPr>
          <w:rFonts w:ascii="Times New Roman" w:cs="Times New Roman" w:eastAsia="Times New Roman" w:hAnsi="Times New Roman"/>
          <w:sz w:val="18"/>
          <w:szCs w:val="18"/>
          <w:color w:val="auto"/>
        </w:rPr>
        <w:t>In addition, companies that perceive us to be a competitor may be unwilling to assign or license rights to us. We also may be unable to license or acquire third-party intellectual property rights on terms that would allow us to make an appropriate return on our investment. If we are unable to successfully obtain rights to third-party intellectual property rights, our business, financial condition and prospects for growth could suffer.</w:t>
      </w:r>
    </w:p>
    <w:p>
      <w:pPr>
        <w:spacing w:after="0" w:line="280"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intend to rely on patent rights and the status of our product candidates, if approved, as biologics eligible for exclusivity under the Biologics Price Competition and Innovation Act (BPCIA). If Synlogic is unable to obtain or maintain exclusivity from the combination of these approaches, Synlogic may not be able to compete effectively in our markets.</w:t>
      </w:r>
    </w:p>
    <w:p>
      <w:pPr>
        <w:spacing w:after="0" w:line="67"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We rely or will rely upon a combination of patents, trade secret protection, and confidentiality agreements to protect the intellectual property related to our technologies and product candidates. Our success depends in large part on our and our licensors’ ability to obtain regulatory exclusivity and maintain patent and other intellectual property protection in the United States and in other countries with respect to our proprietary technology and products.</w:t>
      </w:r>
    </w:p>
    <w:p>
      <w:pPr>
        <w:spacing w:after="0" w:line="176"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We have sought to protect our proprietary position by filing patent applications in the United States and abroad related to our product candidates that are important to our business. This process is expensive and time 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w:t>
      </w:r>
    </w:p>
    <w:p>
      <w:pPr>
        <w:spacing w:after="0" w:line="180"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and involves complex legal and factual questions for which legal principles remain unsolved. The patent applications that we own, or in-license may fail to result in issued patents with claims that cover our product candidates in the United States or in other foreign countries. There is no assurance that all potentially relevant prior art relating to our patents and patent applications has been found, which can invalidate a patent or prevent a patent from issuing from a pending patent application. Even if patents do successfully issue, and even if such patents cover our product candidates, third parties may challenge their validity, enforceability, or scope, which may result in such patents being narrowed, found unenforceable or invalidated. Furthermore, even if they are unchallenged, our patents and patent applications may not adequately protect our intellectual property, provide exclusivity for our product candidates, or prevent others from designing around our claims. Any of these outcomes could impair our ability to prevent competition from third parties, which may have an adverse impact on our business.</w:t>
      </w:r>
    </w:p>
    <w:p>
      <w:pPr>
        <w:spacing w:after="0" w:line="192" w:lineRule="exact"/>
        <w:rPr>
          <w:sz w:val="20"/>
          <w:szCs w:val="20"/>
          <w:color w:val="auto"/>
        </w:rPr>
      </w:pPr>
    </w:p>
    <w:p>
      <w:pPr>
        <w:ind w:right="20" w:firstLine="510"/>
        <w:spacing w:after="0" w:line="256" w:lineRule="auto"/>
        <w:rPr>
          <w:sz w:val="20"/>
          <w:szCs w:val="20"/>
          <w:color w:val="auto"/>
        </w:rPr>
      </w:pPr>
      <w:r>
        <w:rPr>
          <w:rFonts w:ascii="Times New Roman" w:cs="Times New Roman" w:eastAsia="Times New Roman" w:hAnsi="Times New Roman"/>
          <w:sz w:val="18"/>
          <w:szCs w:val="18"/>
          <w:color w:val="auto"/>
        </w:rPr>
        <w:t>We, independently or together with our licensors or collaborators, have filed several patent applications covering various aspects of our product candidates. We cannot offer any assurances about which, if any, patents will issue, the breadth of any such patent or whether any issued patents will be found invalid and unenforceable or will be threatened by third parties. Any successful opposition to these patents or any other patents owned by or licensed to us after patent issuance could deprive us of rights necessary for the successful commercialization of any product candidates that we may develop. Further, if we encounter delays in regulatory approvals, the period of time during which we could market a product candidate under patent protection could be reduced.</w:t>
      </w:r>
    </w:p>
    <w:p>
      <w:pPr>
        <w:spacing w:after="0" w:line="187" w:lineRule="exact"/>
        <w:rPr>
          <w:sz w:val="20"/>
          <w:szCs w:val="20"/>
          <w:color w:val="auto"/>
        </w:rPr>
      </w:pPr>
    </w:p>
    <w:p>
      <w:pPr>
        <w:ind w:right="220" w:firstLine="510"/>
        <w:spacing w:after="0" w:line="273" w:lineRule="auto"/>
        <w:rPr>
          <w:sz w:val="20"/>
          <w:szCs w:val="20"/>
          <w:color w:val="auto"/>
        </w:rPr>
      </w:pPr>
      <w:r>
        <w:rPr>
          <w:rFonts w:ascii="Times New Roman" w:cs="Times New Roman" w:eastAsia="Times New Roman" w:hAnsi="Times New Roman"/>
          <w:sz w:val="17"/>
          <w:szCs w:val="17"/>
          <w:color w:val="auto"/>
        </w:rPr>
        <w:t>Even if we cannot obtain and maintain effective protection of exclusivity from our regulatory efforts and intellectual property rights, including patent protection, data exclusivity or orphan drug exclusivity, for our product candidates, we believe that our product candidates will be protected by exclusivity that prevents approval of a biosimilar in the United States for a period of twelve years from the time the product to which it claims similarity was first approved. However, The Biologics Price Competition and Innovation Act of 2009, Title VII, Subtitle A of the Patent Protection and Affordable Care Act, Pub.L.No.111-148, 124 Stat.119, Sections 7001-02 signed into law March 23, 2010, and codified in 42 U.S.C. §262 (the BPCIA), created an elaborate and complex patent dispute resolution mechanism for biosimilars that could prevent us from launching our product candidates in the United States or could substantially delay such launches. Current biosimilars litigation are addressing certain requirements of the BPCIA which is creating</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45" w:name="page46"/>
    <w:bookmarkEnd w:id="45"/>
    <w:p>
      <w:pPr>
        <w:ind w:right="40"/>
        <w:spacing w:after="0" w:line="261" w:lineRule="auto"/>
        <w:rPr>
          <w:sz w:val="20"/>
          <w:szCs w:val="20"/>
          <w:color w:val="auto"/>
        </w:rPr>
      </w:pPr>
      <w:r>
        <w:rPr>
          <w:rFonts w:ascii="Times New Roman" w:cs="Times New Roman" w:eastAsia="Times New Roman" w:hAnsi="Times New Roman"/>
          <w:sz w:val="18"/>
          <w:szCs w:val="18"/>
          <w:color w:val="auto"/>
        </w:rPr>
        <w:t>uncertainty over how certain terms of the BPCIA should be construed and this, presents uncertainty for both the biologics innovator and biosimilar party. The BPCIA mechanism required for biosimilar applicants may pose greater risk that patent infringement litigation will disrupt our activities and add increased expenses as well as divert management’s attention. If a biosimilar version of one of our product candidates were approved in the United States, it could have a negative effect on our business.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have sufficient patent term protections for our product candidates to effectively protect our business.</w:t>
      </w:r>
    </w:p>
    <w:p>
      <w:pPr>
        <w:spacing w:after="0" w:line="121" w:lineRule="exact"/>
        <w:rPr>
          <w:sz w:val="20"/>
          <w:szCs w:val="20"/>
          <w:color w:val="auto"/>
        </w:rPr>
      </w:pPr>
    </w:p>
    <w:p>
      <w:pPr>
        <w:ind w:right="60" w:firstLine="510"/>
        <w:spacing w:after="0" w:line="261" w:lineRule="auto"/>
        <w:rPr>
          <w:sz w:val="20"/>
          <w:szCs w:val="20"/>
          <w:color w:val="auto"/>
        </w:rPr>
      </w:pPr>
      <w:r>
        <w:rPr>
          <w:rFonts w:ascii="Times New Roman" w:cs="Times New Roman" w:eastAsia="Times New Roman" w:hAnsi="Times New Roman"/>
          <w:sz w:val="18"/>
          <w:szCs w:val="18"/>
          <w:color w:val="auto"/>
        </w:rPr>
        <w:t>Patents have a limited term. In the United States, the statutory expiration of a patent is generally 20 years after it is filed. Although various extensions may be available, the life of a patent, and the protection it affords, is limited. Even if patents covering our product candidates are obtained, once the patent life has expired for a product candidate, we may be open to competition. In addition, upon issuance in the United States any patent term can be adjusted based on specified delays caused by the applicant(s) or the USPTO.</w:t>
      </w:r>
    </w:p>
    <w:p>
      <w:pPr>
        <w:spacing w:after="0" w:line="180" w:lineRule="exact"/>
        <w:rPr>
          <w:sz w:val="20"/>
          <w:szCs w:val="20"/>
          <w:color w:val="auto"/>
        </w:rPr>
      </w:pPr>
    </w:p>
    <w:p>
      <w:pPr>
        <w:ind w:right="200" w:firstLine="510"/>
        <w:spacing w:after="0" w:line="256" w:lineRule="auto"/>
        <w:rPr>
          <w:sz w:val="20"/>
          <w:szCs w:val="20"/>
          <w:color w:val="auto"/>
        </w:rPr>
      </w:pPr>
      <w:r>
        <w:rPr>
          <w:rFonts w:ascii="Times New Roman" w:cs="Times New Roman" w:eastAsia="Times New Roman" w:hAnsi="Times New Roman"/>
          <w:sz w:val="18"/>
          <w:szCs w:val="18"/>
          <w:color w:val="auto"/>
        </w:rPr>
        <w:t>Patent term extensions under the Hatch-Waxman Act in the United States and under supplementary protection certificates in Europe may be available to extend the patent or data exclusivity terms of our product candidates. We will likely seek patent term extensions, and we cannot provide any assurances that any such patent term extensions will be obtained and, if so, for how long. As a result, we may not be able to maintain exclusivity for our product candidates for an extended period after regulatory approval, if any, which would negatively impact our business, financial condition, results of operations and prospects. If we do not have sufficient patent terms or regulatory exclusivity to protect our product candidates, our business and results of operations will be adversely affected.</w:t>
      </w:r>
    </w:p>
    <w:p>
      <w:pPr>
        <w:spacing w:after="0" w:line="291"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Changes in U.S. patent law could diminish the value of patents in general, thereby impairing our ability to protect our products, and recent patent reform legislation could increase the uncertainties and costs surrounding the prosecution of our patent applications and the enforcement or defense of our issued patents.</w:t>
      </w:r>
    </w:p>
    <w:p>
      <w:pPr>
        <w:spacing w:after="0" w:line="67"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As is the case with other biotechnology companies, our success is heavily dependent on patents. Obtaining and enforcing patents in the biotechnology industry involves both technological and legal complexity, and is therefore costly, time-consuming and inherently uncertain. In addition, the United States has recently enacted and is currently implementing wide-ranging patent reform legislation. Recent U.S. Supreme Court rulings have narrowed the scope of patent protection available in specified circumstances and weakened the rights of patent owners in specified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w:t>
      </w:r>
    </w:p>
    <w:p>
      <w:pPr>
        <w:spacing w:after="0" w:line="296"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maintain effective proprietary rights for our product candidates or any future product candidates, we may not be able to compete effectively in our proposed markets.</w:t>
      </w:r>
    </w:p>
    <w:p>
      <w:pPr>
        <w:spacing w:after="0" w:line="51"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In addition to the protection afforded by patents, we rely on trade secret protection and confidentiality agreements to protect proprietary know-how that is not patentable or that we elect not to patent. We also utilize processes for which patents are difficult to enforce. In addition, other elements of our products, and many elements of our product candidate discovery and development processes involve proprietary know-how, information or technology that is not covered by patents. Trade secrets may be difficult to protect. We seek to protect our proprietary technology and processes, in part, by entering into confidentiality agreements with our employees, consultants, collaborators, advisors, independent contractors or other third parties. We also seek to preserve the integrity and confidentiality of our data and trade secrets, including by maintaining physical and electronic security of our premises and our information technology systems. While we have confidence in these individuals, organizations and systems, agreements or security measures may be breached, and we may not have adequate remedies for any breach. In addition, competitors may otherwise gain access to our trade secrets or independently develop substantially equivalent information and techniques. Furthermore,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unauthorized material disclosure of our intellectual property to third parties, or misappropriation of our intellectual property by third parties, we may not be able to establish or maintain a competitive advantage in our market, which could materially adversely affect our business, operating results, and financial condition.</w:t>
      </w:r>
    </w:p>
    <w:p>
      <w:pPr>
        <w:spacing w:after="0" w:line="187" w:lineRule="exact"/>
        <w:rPr>
          <w:sz w:val="20"/>
          <w:szCs w:val="20"/>
          <w:color w:val="auto"/>
        </w:rPr>
      </w:pPr>
    </w:p>
    <w:p>
      <w:pPr>
        <w:ind w:right="20" w:firstLine="510"/>
        <w:spacing w:after="0" w:line="255" w:lineRule="auto"/>
        <w:rPr>
          <w:sz w:val="20"/>
          <w:szCs w:val="20"/>
          <w:color w:val="auto"/>
        </w:rPr>
      </w:pPr>
      <w:r>
        <w:rPr>
          <w:rFonts w:ascii="Times New Roman" w:cs="Times New Roman" w:eastAsia="Times New Roman" w:hAnsi="Times New Roman"/>
          <w:sz w:val="18"/>
          <w:szCs w:val="18"/>
          <w:color w:val="auto"/>
        </w:rPr>
        <w:t>Although we expect all of our employees and consultants to assign their inventions to us, and all of our employees, consultants, collaborators, advisors, independent contractors and any third parties who have access to our proprietary know-how, information, or technology to enter into confidentiality agreements, we cannot provide any assurances that all such agreements have been duly executed or that our trade secrets and other confidential proprietary information will not be disclosed or that competitors will not otherwise gain access to our trade secrets or independently develop substantially equivalent information and techniques. Misappropriation or unauthorized disclosure of our trade secrets could impair our competitive position and may have a material adverse effect on our business, financial condition or results of operations. Additionally, if the steps taken to maintain our trade secrets are deemed inadequate, we may have insufficient recourse against third parties for misappropriating the trade secret.</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i w:val="1"/>
          <w:iCs w:val="1"/>
          <w:color w:val="auto"/>
        </w:rPr>
        <w:t>Third-party claims of intellectual property infringement may prevent or delay our development and commercialization efforts.</w:t>
      </w:r>
    </w:p>
    <w:p>
      <w:pPr>
        <w:spacing w:after="0" w:line="121"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Our commercial success depends in part on our ability to develop, manufacture, market and sell our product candidates and use our proprietary technology without infringing the patent rights of third parties. Numerous third-party U.S. and non-U.S. issued patents and pending applications exist in the area of Synthetic Biotics. We are aware of U.S. and foreign patents and pending patent applications owned by third parties that cover similar therapeutic uses as the product candidates we are developing. We are currently monitoring these patents and patent applications. We may in the future pursue available proceedings in the U.S. and foreign patent offices to challenge the validity of these patents and patent applications. In addition, or alternatively, we may consider whether to seek to negotiate a license of rights to technology covered by one or more of such patents and patent applications. If any patents or patent applications cover our product candidates or technologies, we may not be free to manufacture or market our product candidates as planned, absent such a license, which may not be available to us on commercially reasonable terms, or at all.</w:t>
      </w:r>
    </w:p>
    <w:p>
      <w:pPr>
        <w:spacing w:after="0" w:line="192"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It is also possible that we have failed to identify relevant third-party patents or applications. For example, applications filed before November 29, 2000 and applications filed after that date that will not be filed outside the United States remain confidential until patents issue. Moreover, it is difficult for industry participants, including us, to identify all third-party patent rights that may be relevant to our product candidates and technologies because patent searching is imperfect due to differences in terminology among patents, incomplete databases and the difficulty in assessing the meaning of patent claims. We may fail to identify relevant patents or patent applications or may identify pending patent applications of potential interest but incorrectly predict the likelihood that such patents may issue with claims of relevance to our technology. In addition, we may be unaware of one or more issued patents that would be infringed by the manufacture, sale or use of a current or future product candidate, or we may incorrectly conclude that a third-party patent is invalid, unenforceable or not infringed by our activities. Additionally, pending patent applications that have been published can, subject to specified limitations, be later amended in a manner that could cover our technologies, our product candidates or the use of our product candidates.</w:t>
      </w:r>
    </w:p>
    <w:p>
      <w:pPr>
        <w:spacing w:after="0" w:line="188" w:lineRule="exact"/>
        <w:rPr>
          <w:sz w:val="20"/>
          <w:szCs w:val="20"/>
          <w:color w:val="auto"/>
        </w:rPr>
      </w:pPr>
    </w:p>
    <w:p>
      <w:pPr>
        <w:ind w:right="20" w:firstLine="510"/>
        <w:spacing w:after="0" w:line="256" w:lineRule="auto"/>
        <w:rPr>
          <w:sz w:val="20"/>
          <w:szCs w:val="20"/>
          <w:color w:val="auto"/>
        </w:rPr>
      </w:pPr>
      <w:r>
        <w:rPr>
          <w:rFonts w:ascii="Times New Roman" w:cs="Times New Roman" w:eastAsia="Times New Roman" w:hAnsi="Times New Roman"/>
          <w:sz w:val="18"/>
          <w:szCs w:val="18"/>
          <w:color w:val="auto"/>
        </w:rPr>
        <w:t>There have been many lawsuits and other proceedings filed by third parties involving patent and other intellectual property rights in the biotechnology and pharmaceutical industries, including patent infringement lawsuits, interferences, oppositions, and reexamination, post-grant review and equivalent proceedings before the USPTO and corresponding foreign patent offices. Numerous U.S. and foreign issued patents and pending patent applications, which are owned by third parties, exist in the fields in which we are developing product candidates. As the biotechnology and pharmaceutical industries expand and more patents are issued, the risk increases that our product candidates may be subject to claims of infringement of the patent rights of third parties.</w:t>
      </w:r>
    </w:p>
    <w:p>
      <w:pPr>
        <w:spacing w:after="0" w:line="187"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Parties making claims against us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redesign our infringing products or obtain one or more licenses from third parties, which may be impossible or require substantial time and monetary expenditure.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in part, on our licensors to file, prosecute, maintain, defend and enforce patents and patent applications that are material to our business.</w:t>
      </w:r>
    </w:p>
    <w:p>
      <w:pPr>
        <w:spacing w:after="0" w:line="121" w:lineRule="exact"/>
        <w:rPr>
          <w:sz w:val="20"/>
          <w:szCs w:val="20"/>
          <w:color w:val="auto"/>
        </w:rPr>
      </w:pPr>
    </w:p>
    <w:p>
      <w:pPr>
        <w:ind w:right="80" w:firstLine="510"/>
        <w:spacing w:after="0" w:line="255" w:lineRule="auto"/>
        <w:rPr>
          <w:sz w:val="20"/>
          <w:szCs w:val="20"/>
          <w:color w:val="auto"/>
        </w:rPr>
      </w:pPr>
      <w:r>
        <w:rPr>
          <w:rFonts w:ascii="Times New Roman" w:cs="Times New Roman" w:eastAsia="Times New Roman" w:hAnsi="Times New Roman"/>
          <w:sz w:val="18"/>
          <w:szCs w:val="18"/>
          <w:color w:val="auto"/>
        </w:rPr>
        <w:t>While we normally seek and gain the right to fully prosecute the patent applications relating to our product candidates, there may be times when the patent applications enabling our product candidates are controlled by our licensors. If any of our existing or future licensors fail to appropriately and broadly prosecute and maintain patent protection for patents covering any of our product candidates, our ability to develop and commercialize those product candidates may be adversely affected and we may not be able to prevent competitors from making, using, importing, and selling competing products. In addition, even where we now have the right to control patent prosecution of patents and patent applications we have licensed from third parties, we may still be adversely affected or prejudiced by actions or inactions of our licensors in effect from actions prior to us assuming control over patent prosecution.</w:t>
      </w:r>
    </w:p>
    <w:p>
      <w:pPr>
        <w:spacing w:after="0" w:line="293"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obligations in the agreements under which we license intellectual property and other rights from third parties or otherwise experience disruptions to our business relationships with our licensors, we could lose license rights that are important to our business.</w:t>
      </w:r>
    </w:p>
    <w:p>
      <w:pPr>
        <w:spacing w:after="0" w:line="51" w:lineRule="exact"/>
        <w:rPr>
          <w:sz w:val="20"/>
          <w:szCs w:val="20"/>
          <w:color w:val="auto"/>
        </w:rPr>
      </w:pPr>
    </w:p>
    <w:p>
      <w:pPr>
        <w:ind w:right="80" w:firstLine="510"/>
        <w:spacing w:after="0" w:line="255" w:lineRule="auto"/>
        <w:rPr>
          <w:sz w:val="20"/>
          <w:szCs w:val="20"/>
          <w:color w:val="auto"/>
        </w:rPr>
      </w:pPr>
      <w:r>
        <w:rPr>
          <w:rFonts w:ascii="Times New Roman" w:cs="Times New Roman" w:eastAsia="Times New Roman" w:hAnsi="Times New Roman"/>
          <w:sz w:val="18"/>
          <w:szCs w:val="18"/>
          <w:color w:val="auto"/>
        </w:rPr>
        <w:t>We are a party to certain intellectual property license agreements and expect to enter into additional license agreements in the future. Our existing agreements impose, and future license agreements may impose, certain obligations, including the payment of milestones and royalties based on revenues from sales of our products utilizing the technologies licensed from our licensors, and such obligations could adversely affect the overall profitability for us of any products that we may seek to commercialize. In addition, we will need to outsource and rely on third parties for many aspects of the clinical development, sales and marketing of our product candidates covered under our license agreements. Delay or failure by these third parties could adversely affect the continuation of our license agreements with our third-party licensors. If we fail to comply with our obligations under these agreements, or we are subject to a bankruptcy, these agreements may be subject to termination by the licensor which could have a material adverse effect on our business.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7" w:name="page48"/>
    <w:bookmarkEnd w:id="47"/>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patents or the patents of our licensors, which could be expensive, time consuming, and unsuccessful.</w:t>
      </w:r>
    </w:p>
    <w:p>
      <w:pPr>
        <w:spacing w:after="0" w:line="51" w:lineRule="exact"/>
        <w:rPr>
          <w:sz w:val="20"/>
          <w:szCs w:val="20"/>
          <w:color w:val="auto"/>
        </w:rPr>
      </w:pPr>
    </w:p>
    <w:p>
      <w:pPr>
        <w:ind w:right="80" w:firstLine="510"/>
        <w:spacing w:after="0" w:line="255" w:lineRule="auto"/>
        <w:rPr>
          <w:sz w:val="20"/>
          <w:szCs w:val="20"/>
          <w:color w:val="auto"/>
        </w:rPr>
      </w:pPr>
      <w:r>
        <w:rPr>
          <w:rFonts w:ascii="Times New Roman" w:cs="Times New Roman" w:eastAsia="Times New Roman" w:hAnsi="Times New Roman"/>
          <w:sz w:val="18"/>
          <w:szCs w:val="18"/>
          <w:color w:val="auto"/>
        </w:rPr>
        <w:t>Competitors may infringe our patents or the patents of our licensors. To cease such infringement or unauthorized use, we or one of our licensing partners may be required to file patent infringement claims against a third-party to enforce one of our patents which can be expensive, time-consuming and unpredictable. In addition, in an infringement proceeding or a declaratory judgment action against us, a court may decide that one or more of our patents is not valid or is unenforceable or may refuse to stop the other party from using the technology at issue on the grounds that our patents do not cover the technology in question. An adverse result in any litigation or defense proceeding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w:t>
      </w:r>
    </w:p>
    <w:p>
      <w:pPr>
        <w:spacing w:after="0" w:line="189" w:lineRule="exact"/>
        <w:rPr>
          <w:sz w:val="20"/>
          <w:szCs w:val="20"/>
          <w:color w:val="auto"/>
        </w:rPr>
      </w:pPr>
    </w:p>
    <w:p>
      <w:pPr>
        <w:ind w:right="60" w:firstLine="510"/>
        <w:spacing w:after="0" w:line="253" w:lineRule="auto"/>
        <w:rPr>
          <w:sz w:val="20"/>
          <w:szCs w:val="20"/>
          <w:color w:val="auto"/>
        </w:rPr>
      </w:pPr>
      <w:r>
        <w:rPr>
          <w:rFonts w:ascii="Times New Roman" w:cs="Times New Roman" w:eastAsia="Times New Roman" w:hAnsi="Times New Roman"/>
          <w:sz w:val="18"/>
          <w:szCs w:val="18"/>
          <w:color w:val="auto"/>
        </w:rPr>
        <w:t>If we or one of our licensing partners were to initiate legal proceedings against a third-party to enforce a patent covering one of our product candidates, the defendant could counterclaim that the patent covering our product candidate is invalid and/or unenforceable. In patent litigation in the United States, defendant counterclaims alleging invalidity and/or unenforceability are commonplace, and there are numerous grounds upon which a third-party can assert invalidity or unenforceability of a patent. Grounds for a validity challenge could be an alleged failure to meet any of several statutory requirements, including lack of novelty, obviousness, written description, clarity or non-enablement. Grounds for an unenforceability assertion could be an allegation that someone connected with prosecution of the patent withheld relevant information from the USPTO, or made a misleading statement, during prosecution. Third parties may also raise similar claims before administrative bodies in the United States or other jurisdictions, even outside the context of litigation. Such mechanisms include re-examination, inter partes review, post-grant review and equivalent proceedings in foreign jurisdictions, such as opposition or derivation proceedings. Such proceedings could result in revocation or amendment to our patents in such a way that they no longer cover and protect our product candidates. The outcome following legal assertions of invalidity and unenforceability is unpredictable. With respect to the validity of our patents, for example, we cannot be certain that there is no invalidating prior art of which we, our patent counsel, and the patent examiner were unaware during prosecution. If a defendant were to prevail on a legal assertion of invalidity, unpatentability and/or unenforceability, we may lose at least part, and perhaps all, of the patent protection on our product candidates. Such a loss of patent protection could have a material adverse impact on our business.</w:t>
      </w:r>
    </w:p>
    <w:p>
      <w:pPr>
        <w:spacing w:after="0" w:line="187" w:lineRule="exact"/>
        <w:rPr>
          <w:sz w:val="20"/>
          <w:szCs w:val="20"/>
          <w:color w:val="auto"/>
        </w:rPr>
      </w:pPr>
    </w:p>
    <w:p>
      <w:pPr>
        <w:ind w:right="40" w:firstLine="510"/>
        <w:spacing w:after="0" w:line="254" w:lineRule="auto"/>
        <w:rPr>
          <w:sz w:val="20"/>
          <w:szCs w:val="20"/>
          <w:color w:val="auto"/>
        </w:rPr>
      </w:pPr>
      <w:r>
        <w:rPr>
          <w:rFonts w:ascii="Times New Roman" w:cs="Times New Roman" w:eastAsia="Times New Roman" w:hAnsi="Times New Roman"/>
          <w:sz w:val="18"/>
          <w:szCs w:val="18"/>
          <w:color w:val="auto"/>
        </w:rPr>
        <w:t>Interference or derivation proceedings provoked by third parties or brought by us or declared by the USPTO may be necessary to determine the priority of inventions or correct inventorship with respect to our patents or patent applications or those of our licensors. An unfavorable outcome could result in a loss of our current patent rights and could require us to cease using the related technology or to attempt to license rights to us from the prevailing party. Our business could be harmed if the prevailing party does not offer us a license on commercially reasonable terms. Our defense of litigation, derivation or interference proceedings may result in a decision adverse to our interests and, even if successful, may result in substantial costs and distract our management and other employees. In addition, we may be unable to raise the funds necessary to conduct our clinical trials, continue our research programs, license necessary technology from third parties, or enter into development partnerships that would help us bring our product candidates to market.</w:t>
      </w:r>
    </w:p>
    <w:p>
      <w:pPr>
        <w:spacing w:after="0" w:line="192" w:lineRule="exact"/>
        <w:rPr>
          <w:sz w:val="20"/>
          <w:szCs w:val="20"/>
          <w:color w:val="auto"/>
        </w:rPr>
      </w:pPr>
    </w:p>
    <w:p>
      <w:pPr>
        <w:ind w:right="120" w:firstLine="510"/>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Any disclosure of confidential information could adversely affect our business. If securities analysts or investors perceive these results to be negative, it could have a substantial adverse effect on the price of our common stock.</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of our patents and other intellectual property.</w:t>
      </w:r>
    </w:p>
    <w:p>
      <w:pPr>
        <w:spacing w:after="0" w:line="121"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We may in the future be subject to claims that former employees, consultants, collaborators, advisors, independent contractors or other third parties have an interest in our patents or other intellectual property as an inventor or co-inventor or other claims challenging the inventorship of our patents or ownership of our intellectual property (including patents and intellectual property that we in-license). Therefore, our rights to these patents may not be exclusive and third parties, including competitors, may have access to intellectual property that is important to our business. In addition, co-owners from whom we do not yet have a license or assignment may raise claims surrounding inventorship or ownership of patents that ultimately issue from this patent family, potentially resulting in issued patents to which we would not have rights under our existing license agreements. Further, in jurisdictions outside the United States, a license may not be enforceable unless all the owners of the intellectual property agree or consent to the license. In addition, we may have inventorship disputes arising from conflicting obligations of consultants or others who are involved in developing our product candidates. Litigation may be necessary to defend against these and other claims challenging inventorship of our patents.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8" w:name="page49"/>
    <w:bookmarkEnd w:id="48"/>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collaborators, advisors, independent contractors or other third parties have wrongfully used or disclosed confidential information of third parties or that our employees have wrongfully used or disclosed alleged trade secrets of their former employers.</w:t>
      </w:r>
    </w:p>
    <w:p>
      <w:pPr>
        <w:spacing w:after="0" w:line="67" w:lineRule="exact"/>
        <w:rPr>
          <w:sz w:val="20"/>
          <w:szCs w:val="20"/>
          <w:color w:val="auto"/>
        </w:rPr>
      </w:pPr>
    </w:p>
    <w:p>
      <w:pPr>
        <w:ind w:right="60" w:firstLine="510"/>
        <w:spacing w:after="0" w:line="254" w:lineRule="auto"/>
        <w:rPr>
          <w:sz w:val="20"/>
          <w:szCs w:val="20"/>
          <w:color w:val="auto"/>
        </w:rPr>
      </w:pPr>
      <w:r>
        <w:rPr>
          <w:rFonts w:ascii="Times New Roman" w:cs="Times New Roman" w:eastAsia="Times New Roman" w:hAnsi="Times New Roman"/>
          <w:sz w:val="18"/>
          <w:szCs w:val="18"/>
          <w:color w:val="auto"/>
        </w:rPr>
        <w:t>We have received confidential and proprietary information from third parties. In addition, we employ individuals who were previously employed at universities, academic research institutions and at other biotechnology or pharmaceutical companies, including our competitors or potential competitors. Although we have written agreements with and make every effort to ensure that our employees, consultants, collaborators, advisors, independent contractors or other third parties do not use the proprietary information or intellectual property rights of others in their work for us, we may in the future be subject to claims that our employees, consultants, collaborators, advisors, independent contractors or other third parties have inadvertently or intentionally used or disclosed confidential information of these third parties. Litigation may be necessary to defend against these claims. If we fail in defending any such claims, in addition to paying monetary damages, we may lose valuable intellectual property rights or personnel, which could adversely impact our business. Even if we are successful in defending against such claims, litigation could result in substantial costs and be a distraction to management and other employees.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121" w:lineRule="exact"/>
        <w:rPr>
          <w:sz w:val="20"/>
          <w:szCs w:val="20"/>
          <w:color w:val="auto"/>
        </w:rPr>
      </w:pPr>
    </w:p>
    <w:p>
      <w:pPr>
        <w:ind w:right="100" w:firstLine="510"/>
        <w:spacing w:after="0" w:line="254" w:lineRule="auto"/>
        <w:rPr>
          <w:sz w:val="20"/>
          <w:szCs w:val="20"/>
          <w:color w:val="auto"/>
        </w:rPr>
      </w:pPr>
      <w:r>
        <w:rPr>
          <w:rFonts w:ascii="Times New Roman" w:cs="Times New Roman" w:eastAsia="Times New Roman" w:hAnsi="Times New Roman"/>
          <w:sz w:val="18"/>
          <w:szCs w:val="18"/>
          <w:color w:val="auto"/>
        </w:rPr>
        <w:t>We have limited intellectual property rights outside the United States. Filing, prosecuting, and defending patents on product candidates in all countries throughout the world would be prohibitively expensive, and intellectual property rights in some countries outside the United States can have a different scope and strength and be less extensive than those in the United States. In addition, the laws of some foreign countries do not protect intellectual property rights to the same extent as federal and state laws in the United States. Consequently, we may not be able to prevent third parties (including competitors)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enforcement rights are not as strong as those in the United States. These products may compete with our products and our patents or other intellectual property rights may not be effective or sufficient to prevent them from competing.</w:t>
      </w:r>
    </w:p>
    <w:p>
      <w:pPr>
        <w:spacing w:after="0" w:line="188" w:lineRule="exact"/>
        <w:rPr>
          <w:sz w:val="20"/>
          <w:szCs w:val="20"/>
          <w:color w:val="auto"/>
        </w:rPr>
      </w:pPr>
    </w:p>
    <w:p>
      <w:pPr>
        <w:jc w:val="both"/>
        <w:ind w:right="200" w:firstLine="510"/>
        <w:spacing w:after="0" w:line="255"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some countries, particularly some developing countries, do not favor the enforcement of patents, trade secrets, and other intellectual property protection, particularly those relating to biopharmaceutical products, which could make it difficult in those jurisdictions for us to stop the infringement or misappropriation of our patents or other intellectual property rights, or the marketing of competing products in violation of our proprietary rights.</w:t>
      </w:r>
    </w:p>
    <w:p>
      <w:pPr>
        <w:spacing w:after="0" w:line="3"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Proceedings to enforce our patents and other intellectual property rights in foreign jurisdictions, whether or not successful, could result in substantial costs and divert our efforts and attention from other aspects of our business. Furthermore, such proceedings could put our patents at risk of being invalidated, held unenforceable or interpreted narrowly and could put our patent applications at risk of not issuing and could provoke third parties to assert claims of infringement or misappropriation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94"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we may not be able to build name recognition in our markets of interest and our business may be adversely affected.</w:t>
      </w:r>
    </w:p>
    <w:p>
      <w:pPr>
        <w:spacing w:after="0" w:line="51"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We have filed for trademark registration of certain marks relating to our current branding. If our trademarks and trade names are not adequately protected, we may not be able to build name recognition in our markets of interest and our business may be adversely affected. Our unregistered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unregistered trademarks or trade names. Over the long term, if we are unable to successfully register our trademarks and trade names and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impact our financial condition or results of operations.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117"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and expect to continue to rely, on third parties to conduct some aspects of our product formulation, research, preclinical, and clinical studies, and those third parties may not perform satisfactorily, including by failing to meet deadlines for the completion of such formulation, research or testing.</w:t>
      </w:r>
    </w:p>
    <w:p>
      <w:pPr>
        <w:spacing w:after="0" w:line="67" w:lineRule="exact"/>
        <w:rPr>
          <w:sz w:val="20"/>
          <w:szCs w:val="20"/>
          <w:color w:val="auto"/>
        </w:rPr>
      </w:pPr>
    </w:p>
    <w:p>
      <w:pPr>
        <w:ind w:firstLine="510"/>
        <w:spacing w:after="0" w:line="252" w:lineRule="auto"/>
        <w:rPr>
          <w:sz w:val="20"/>
          <w:szCs w:val="20"/>
          <w:color w:val="auto"/>
        </w:rPr>
      </w:pPr>
      <w:r>
        <w:rPr>
          <w:rFonts w:ascii="Times New Roman" w:cs="Times New Roman" w:eastAsia="Times New Roman" w:hAnsi="Times New Roman"/>
          <w:sz w:val="18"/>
          <w:szCs w:val="18"/>
          <w:color w:val="auto"/>
        </w:rPr>
        <w:t>We have relied upon and plan to continue to rely upon third parties, including independent clinical investigators, contracted laboratories and third-party CROs, to conduct our preclinical studies and clinical trials, as well as certain product candidate discovery and development activities, in accordance with applicable regulatory requirements and to monitor and manage data for our ongoing preclinical and clinical programs. We rely on these parties for execution of our preclinical studies and clinical trials, and control only certain aspects of their activities. Nevertheless, we are responsible for ensuring that each of our studies and trials is conducted in accordance with the applicable protocol, legal and regulatory requirements and scientific standards, and our reliance on these third parties does not relieve us of our regulatory responsibilities. We and our third-party contractors and CROs are required to comply with good laboratory practices (GLP), as applicable, and good clinical practice (GCP) requirements, which are regulations and guidelines enforced by the FDA, the EMA and other comparable foreign regulatory authorities for all of our products in clinical development. Regulatory authorities enforce these GLP and GCP through periodic inspections of laboratories conducting GLP studies, and clinical trial sponsors, principal investigators, CROs, and trial sites when auditing for GCP compliance. If we, our investigators or any of our CROs or contracted laboratories fail to comply with applicable GLP and GCP, as applicable, the data generated in our preclinical studies and clinical trials may be deemed unreliable and the FDA, the EMA or other comparable foreign regulatory authorities may require us to perform additional preclinical studies or clinical trials before approving our marketing applications for our therapeutic product candidates. We cannot assure you that upon inspection by a given regulatory authority, such regulatory authority will determine that any of our preclinical studies or clinical trials comply with applicable GLP or GCP regulations. In addition, our clinical trials must be conducted with product produced in compliance with applicable cGMP regulations. Our failure to comply with these regulations may require us to repeat preclinical studies or clinical trials, which would delay the regulatory approval process.</w:t>
      </w:r>
    </w:p>
    <w:p>
      <w:pPr>
        <w:spacing w:after="0" w:line="195" w:lineRule="exact"/>
        <w:rPr>
          <w:sz w:val="20"/>
          <w:szCs w:val="20"/>
          <w:color w:val="auto"/>
        </w:rPr>
      </w:pPr>
    </w:p>
    <w:p>
      <w:pPr>
        <w:ind w:right="140" w:firstLine="510"/>
        <w:spacing w:after="0" w:line="258" w:lineRule="auto"/>
        <w:rPr>
          <w:sz w:val="20"/>
          <w:szCs w:val="20"/>
          <w:color w:val="auto"/>
        </w:rPr>
      </w:pPr>
      <w:r>
        <w:rPr>
          <w:rFonts w:ascii="Times New Roman" w:cs="Times New Roman" w:eastAsia="Times New Roman" w:hAnsi="Times New Roman"/>
          <w:sz w:val="18"/>
          <w:szCs w:val="18"/>
          <w:color w:val="auto"/>
        </w:rPr>
        <w:t>Further, these laboratories, investigators and CROs are not our employees, and we will not be able to control, other than by contract, the amount of resources, including time, which they devote to our product candidates and clinical trials. If independent laboratories, investigators or CROs fail to devote sufficient resources to the development of our product candidates, or if their performance is substandard, it may delay or compromise the prospects for approval and commercialization of any product candidates that we develop. In addition, the use of third-party service providers requires us to disclose our proprietary information to these parties, which could increase the risk that this information will be misappropriated.</w:t>
      </w:r>
    </w:p>
    <w:p>
      <w:pPr>
        <w:spacing w:after="0" w:line="183" w:lineRule="exact"/>
        <w:rPr>
          <w:sz w:val="20"/>
          <w:szCs w:val="20"/>
          <w:color w:val="auto"/>
        </w:rPr>
      </w:pPr>
    </w:p>
    <w:p>
      <w:pPr>
        <w:ind w:right="40" w:firstLine="510"/>
        <w:spacing w:after="0" w:line="254" w:lineRule="auto"/>
        <w:rPr>
          <w:sz w:val="20"/>
          <w:szCs w:val="20"/>
          <w:color w:val="auto"/>
        </w:rPr>
      </w:pPr>
      <w:r>
        <w:rPr>
          <w:rFonts w:ascii="Times New Roman" w:cs="Times New Roman" w:eastAsia="Times New Roman" w:hAnsi="Times New Roman"/>
          <w:sz w:val="18"/>
          <w:szCs w:val="18"/>
          <w:color w:val="auto"/>
        </w:rPr>
        <w:t>There is a limited number of third-party service providers that specialize or have the expertise required to achieve our business objectives. If any of our relationships with these third-party laboratories, CROs or clinical investigators terminate, we may not be able to enter into arrangements with alternative laboratories, CROs or investigators or to do so in a timely manner or on commercially reasonable terms. If laboratories, CROs or clinical investigators do not successfully carry out their contractual duties or obligations or meet expected deadlines, if they need to be replaced or if the quality or accuracy of the clinical data they obtain is compromised due to the failure to adhere to our preclinical or clinical protocols, regulatory requirements or for other reasons, our preclinical studies or clinical trials may be extended, delayed or terminated and we may not be able to obtain regulatory approval for or successfully commercialize our product candidates. As a result, our results of operations and the commercial prospects for our product candidates would be harmed, our costs could increase and our ability to generate revenues could be delayed.</w:t>
      </w:r>
    </w:p>
    <w:p>
      <w:pPr>
        <w:spacing w:after="0" w:line="192" w:lineRule="exact"/>
        <w:rPr>
          <w:sz w:val="20"/>
          <w:szCs w:val="20"/>
          <w:color w:val="auto"/>
        </w:rPr>
      </w:pPr>
    </w:p>
    <w:p>
      <w:pPr>
        <w:ind w:right="60" w:firstLine="510"/>
        <w:spacing w:after="0" w:line="258" w:lineRule="auto"/>
        <w:rPr>
          <w:sz w:val="20"/>
          <w:szCs w:val="20"/>
          <w:color w:val="auto"/>
        </w:rPr>
      </w:pPr>
      <w:r>
        <w:rPr>
          <w:rFonts w:ascii="Times New Roman" w:cs="Times New Roman" w:eastAsia="Times New Roman" w:hAnsi="Times New Roman"/>
          <w:sz w:val="18"/>
          <w:szCs w:val="18"/>
          <w:color w:val="auto"/>
        </w:rPr>
        <w:t>Switching or adding additional laboratories or CROs (or investigators) involves additional cost and requires management time and focus. In addition, there is a natural transition period when a new laboratory or CRO commences work. As a result, delays occur, which can materially impact our ability to meet our desired clinical development timelines. Though we carefully manage our relationships with our contracted laboratories and CROs, there can be no assurance that we will not encounter similar challenges or delays in the future or that these delays or challenges will not have a material adverse impact on our business, financial condition and results of operations.</w:t>
      </w:r>
    </w:p>
    <w:p>
      <w:pPr>
        <w:spacing w:after="0" w:line="183"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In addition, clinical investigators may serve as scientific advisors or consultants to us from time to time and may receive cash or equity compensation in connection with such services. If these relationships and any related compensation result in perceived or actual conflicts of interest, or the FDA concludes that the financial relationship may have affected the interpretation of the preclinical study or clinical trial, the integrity of the data generated at the applicable preclinical study or clinical trial site may be questioned and the utility of the preclinical study or clinical trial itself may be jeopardized, which could result in the delay or rejection by the FDA. Any such delay or rejection could prevent us from commercializing our clinical-stage product candidate or any future therapeutic product candidates it may develop.</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0" w:name="page51"/>
    <w:bookmarkEnd w:id="50"/>
    <w:p>
      <w:pPr>
        <w:ind w:right="8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supply and manufacturing partners for drug supplies for our late-stage clinical activities and may do the same for any commercial supplies of our product candidates.</w:t>
      </w:r>
    </w:p>
    <w:p>
      <w:pPr>
        <w:spacing w:after="0" w:line="51" w:lineRule="exact"/>
        <w:rPr>
          <w:sz w:val="20"/>
          <w:szCs w:val="20"/>
          <w:color w:val="auto"/>
        </w:rPr>
      </w:pPr>
    </w:p>
    <w:p>
      <w:pPr>
        <w:ind w:right="200" w:firstLine="510"/>
        <w:spacing w:after="0" w:line="261" w:lineRule="auto"/>
        <w:rPr>
          <w:sz w:val="20"/>
          <w:szCs w:val="20"/>
          <w:color w:val="auto"/>
        </w:rPr>
      </w:pPr>
      <w:r>
        <w:rPr>
          <w:rFonts w:ascii="Times New Roman" w:cs="Times New Roman" w:eastAsia="Times New Roman" w:hAnsi="Times New Roman"/>
          <w:sz w:val="18"/>
          <w:szCs w:val="18"/>
          <w:color w:val="auto"/>
        </w:rPr>
        <w:t>We rely on third-party supply and manufacturing partners to supply the materials and components to manufacture late-stage clinical trial drug supplies. We have not yet manufactured or formulated any product candidate on a commercial scale and may not be able to do so for any of our product candidates. We will work to develop and optimize our manufacturing process, and we cannot be sure that the process will result in therapies that are safe, potent, effective, or in an amount that satisfies our commercial needs.</w:t>
      </w:r>
    </w:p>
    <w:p>
      <w:pPr>
        <w:spacing w:after="0" w:line="180" w:lineRule="exact"/>
        <w:rPr>
          <w:sz w:val="20"/>
          <w:szCs w:val="20"/>
          <w:color w:val="auto"/>
        </w:rPr>
      </w:pPr>
    </w:p>
    <w:p>
      <w:pPr>
        <w:ind w:right="40" w:firstLine="510"/>
        <w:spacing w:after="0" w:line="261" w:lineRule="auto"/>
        <w:rPr>
          <w:sz w:val="20"/>
          <w:szCs w:val="20"/>
          <w:color w:val="auto"/>
        </w:rPr>
      </w:pPr>
      <w:r>
        <w:rPr>
          <w:rFonts w:ascii="Times New Roman" w:cs="Times New Roman" w:eastAsia="Times New Roman" w:hAnsi="Times New Roman"/>
          <w:sz w:val="18"/>
          <w:szCs w:val="18"/>
          <w:color w:val="auto"/>
        </w:rPr>
        <w:t xml:space="preserve">We have agreements with Azzur Cleanrooms-On-Demand to lease clean-room space at their facility for </w:t>
      </w:r>
      <w:r>
        <w:rPr>
          <w:rFonts w:ascii="Times New Roman" w:cs="Times New Roman" w:eastAsia="Times New Roman" w:hAnsi="Times New Roman"/>
          <w:sz w:val="18"/>
          <w:szCs w:val="18"/>
          <w:color w:val="2A2A2A"/>
        </w:rPr>
        <w:t>manufacturing and formulation of cGMP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A2A2A"/>
        </w:rPr>
        <w:t>material for our clinical trials and we have agreed to pay Azzur to renovate and upgrade the cleanroom space for expanded use. If Azzur were to not adhere to our agreement or suffer a material adverse event that affected their delivery of services to us, our ability to conduct clinical operations would be impacted.</w:t>
      </w:r>
    </w:p>
    <w:p>
      <w:pPr>
        <w:spacing w:after="0" w:line="180" w:lineRule="exact"/>
        <w:rPr>
          <w:sz w:val="20"/>
          <w:szCs w:val="20"/>
          <w:color w:val="auto"/>
        </w:rPr>
      </w:pPr>
    </w:p>
    <w:p>
      <w:pPr>
        <w:ind w:right="80" w:firstLine="510"/>
        <w:spacing w:after="0" w:line="261" w:lineRule="auto"/>
        <w:rPr>
          <w:sz w:val="20"/>
          <w:szCs w:val="20"/>
          <w:color w:val="auto"/>
        </w:rPr>
      </w:pPr>
      <w:r>
        <w:rPr>
          <w:rFonts w:ascii="Times New Roman" w:cs="Times New Roman" w:eastAsia="Times New Roman" w:hAnsi="Times New Roman"/>
          <w:sz w:val="18"/>
          <w:szCs w:val="18"/>
          <w:color w:val="auto"/>
        </w:rPr>
        <w:t>There can be no assurance that our supply of research and development, preclinical and clinical development drugs and other materials will not be limited, interrupted, restricted in certain geographic regions or of satisfactory quality or continue to be available at acceptable prices. In particular, any replacement of any product formulation manufacturer we may engage could require significant effort and expertise because there may be a limited number of qualified replacements.</w:t>
      </w:r>
    </w:p>
    <w:p>
      <w:pPr>
        <w:spacing w:after="0" w:line="180" w:lineRule="exact"/>
        <w:rPr>
          <w:sz w:val="20"/>
          <w:szCs w:val="20"/>
          <w:color w:val="auto"/>
        </w:rPr>
      </w:pPr>
    </w:p>
    <w:p>
      <w:pPr>
        <w:ind w:right="100" w:firstLine="510"/>
        <w:spacing w:after="0" w:line="261" w:lineRule="auto"/>
        <w:rPr>
          <w:sz w:val="20"/>
          <w:szCs w:val="20"/>
          <w:color w:val="auto"/>
        </w:rPr>
      </w:pPr>
      <w:r>
        <w:rPr>
          <w:rFonts w:ascii="Times New Roman" w:cs="Times New Roman" w:eastAsia="Times New Roman" w:hAnsi="Times New Roman"/>
          <w:sz w:val="18"/>
          <w:szCs w:val="18"/>
          <w:color w:val="auto"/>
        </w:rPr>
        <w:t>Synthetic Biotics are complex and difficult to manufacture. We could experience production or technology transfer problems that result in delays in our development or commercialization schedules or otherwise adversely affect our business. Issues with the manufacturing process, even minor deviations from the normal process, could result in insufficient yield, product deficiencies or manufacturing failures that result in lot failures, insufficient inventory, and product recalls.</w:t>
      </w:r>
    </w:p>
    <w:p>
      <w:pPr>
        <w:spacing w:after="0" w:line="180" w:lineRule="exact"/>
        <w:rPr>
          <w:sz w:val="20"/>
          <w:szCs w:val="20"/>
          <w:color w:val="auto"/>
        </w:rPr>
      </w:pPr>
    </w:p>
    <w:p>
      <w:pPr>
        <w:ind w:right="140" w:firstLine="510"/>
        <w:spacing w:after="0" w:line="258" w:lineRule="auto"/>
        <w:rPr>
          <w:sz w:val="20"/>
          <w:szCs w:val="20"/>
          <w:color w:val="auto"/>
        </w:rPr>
      </w:pPr>
      <w:r>
        <w:rPr>
          <w:rFonts w:ascii="Times New Roman" w:cs="Times New Roman" w:eastAsia="Times New Roman" w:hAnsi="Times New Roman"/>
          <w:sz w:val="18"/>
          <w:szCs w:val="18"/>
          <w:color w:val="auto"/>
        </w:rPr>
        <w:t>Many factors common to the manufacturing of most biologics and drugs could also cause production interruptions, including raw materials shortages, raw material failures, growth media failures, equipment malfunctions, facility contamination, labor problems, natural disasters, disruption in utility services, terrorist activities, or acts of God beyond our control. We also may encounter problems in hiring and retaining the experienced specialized personnel needed to operate our manufacturing process, which could result in delays in our production or difficulties in maintaining compliance with applicable regulatory requirements.</w:t>
      </w:r>
    </w:p>
    <w:p>
      <w:pPr>
        <w:spacing w:after="0" w:line="183" w:lineRule="exact"/>
        <w:rPr>
          <w:sz w:val="20"/>
          <w:szCs w:val="20"/>
          <w:color w:val="auto"/>
        </w:rPr>
      </w:pPr>
    </w:p>
    <w:p>
      <w:pPr>
        <w:ind w:right="20" w:firstLine="510"/>
        <w:spacing w:after="0" w:line="266" w:lineRule="auto"/>
        <w:rPr>
          <w:sz w:val="20"/>
          <w:szCs w:val="20"/>
          <w:color w:val="auto"/>
        </w:rPr>
      </w:pPr>
      <w:r>
        <w:rPr>
          <w:rFonts w:ascii="Times New Roman" w:cs="Times New Roman" w:eastAsia="Times New Roman" w:hAnsi="Times New Roman"/>
          <w:sz w:val="18"/>
          <w:szCs w:val="18"/>
          <w:color w:val="auto"/>
        </w:rPr>
        <w:t>Any problems in our manufacturing processes or facilities could make us a less attractive collaborator for academic research institutions and other parties, which could limit our access to additional attractive development programs, result in delays in our clinical development or marketing schedules and harm our business.</w:t>
      </w:r>
    </w:p>
    <w:p>
      <w:pPr>
        <w:spacing w:after="0" w:line="176" w:lineRule="exact"/>
        <w:rPr>
          <w:sz w:val="20"/>
          <w:szCs w:val="20"/>
          <w:color w:val="auto"/>
        </w:rPr>
      </w:pPr>
    </w:p>
    <w:p>
      <w:pPr>
        <w:ind w:firstLine="510"/>
        <w:spacing w:after="0" w:line="252" w:lineRule="auto"/>
        <w:rPr>
          <w:sz w:val="20"/>
          <w:szCs w:val="20"/>
          <w:color w:val="auto"/>
        </w:rPr>
      </w:pPr>
      <w:r>
        <w:rPr>
          <w:rFonts w:ascii="Times New Roman" w:cs="Times New Roman" w:eastAsia="Times New Roman" w:hAnsi="Times New Roman"/>
          <w:sz w:val="18"/>
          <w:szCs w:val="18"/>
          <w:color w:val="auto"/>
        </w:rPr>
        <w:t>The manufacturing process for a product candidate is subject to FDA and foreign regulatory authority review. Suppliers and manufacturers must meet applicable manufacturing requirements and undergo rigorous facility and process validation tests required by regulatory authorities in order to comply with regulatory standards, such as cGMP regulations. Any of our suppliers or manufacturers could fail to comply with such requirements or to perform our obligations to us in relation to quality, timing or otherwise, or if our supply of components or other materials could become limited or interrupted for other reasons. Under these circumstances, we may choose or be forced to manufacture the materials ourselves, for which we currently do not have the capabilities or resources, manufacture in collaboration with a third-party at their facilities, or enter into an agreement with another third-party, which we may not be able to do on reasonable terms, if at all. In some cases, the technical skills or technology required to manufacture our product candidates may be unique or proprietary to the original manufacturer and we may have difficulty, or there may be contractual restrictions prohibiting us from transferring such skills or technology to another third-party and a feasible alternative may not exist. These factors would increase our reliance on such manufacturer or require us to obtain a license from such manufacturer in order to have another third-party manufacture our product candidates. If we are required to change manufacturers for any reason, we will be required to verify that the new manufacturer maintains facilities and procedures that comply with quality standards and with all applicable regulations and guidelines and may be required to conduct bridging studies or repeat clinical trials to assure comparable safety, purity and potency. The delays associated with the verification of a new manufacturer could negatively affect our ability to develop product candidates in a timely manner or within budget.</w:t>
      </w:r>
    </w:p>
    <w:p>
      <w:pPr>
        <w:spacing w:after="0" w:line="197" w:lineRule="exact"/>
        <w:rPr>
          <w:sz w:val="20"/>
          <w:szCs w:val="20"/>
          <w:color w:val="auto"/>
        </w:rPr>
      </w:pPr>
    </w:p>
    <w:p>
      <w:pPr>
        <w:ind w:right="120" w:firstLine="510"/>
        <w:spacing w:after="0" w:line="256" w:lineRule="auto"/>
        <w:rPr>
          <w:sz w:val="20"/>
          <w:szCs w:val="20"/>
          <w:color w:val="auto"/>
        </w:rPr>
      </w:pPr>
      <w:r>
        <w:rPr>
          <w:rFonts w:ascii="Times New Roman" w:cs="Times New Roman" w:eastAsia="Times New Roman" w:hAnsi="Times New Roman"/>
          <w:sz w:val="18"/>
          <w:szCs w:val="18"/>
          <w:color w:val="auto"/>
        </w:rPr>
        <w:t>We may rely on third-party manufacturers if we receive regulatory approval for any product candidate. To the extent that we have existing, or enter into future, manufacturing arrangements with third parties, we will depend on these third parties to perform their obligations in a timely manner consistent with contractual and regulatory requirements, including those related to quality control and assurance. If we are unable to obtain or maintain third-party manufacturing for product candidates, or to do so on commercially reasonable terms, we may not be able to develop and commercialize our product candidates successfully. Our or a third-party’s failure to execute on our manufacturing requirements could adversely affect our business in a number of ways, including:</w:t>
      </w:r>
    </w:p>
    <w:p>
      <w:pPr>
        <w:spacing w:after="0" w:line="79" w:lineRule="exact"/>
        <w:rPr>
          <w:sz w:val="20"/>
          <w:szCs w:val="20"/>
          <w:color w:val="auto"/>
        </w:rPr>
      </w:pPr>
    </w:p>
    <w:p>
      <w:pPr>
        <w:ind w:left="1000" w:hanging="493"/>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initiate or continue clinical trials of product candidates under development, which may impact our potential economic benefits;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in submitting regulatory applications, or receiving regulatory approvals, for product candidates;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the cooperation of a collaborator;</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1" w:name="page52"/>
    <w:bookmarkEnd w:id="51"/>
    <w:p>
      <w:pPr>
        <w:ind w:left="1000" w:hanging="493"/>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subjecting our product candidates to additional inspections by regulatory authorities;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cease distribution or to recall batches of our product candidates; and</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approval to market and commercialize a product candidate, an inability to meet commercial demands for our products.</w:t>
      </w:r>
    </w:p>
    <w:p>
      <w:pPr>
        <w:spacing w:after="0" w:line="329" w:lineRule="exact"/>
        <w:rPr>
          <w:sz w:val="20"/>
          <w:szCs w:val="20"/>
          <w:color w:val="auto"/>
        </w:rPr>
      </w:pPr>
    </w:p>
    <w:p>
      <w:pPr>
        <w:ind w:right="1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enter into various contracts in the normal course of our business in which we indemnify the other party to the contract. In the event we have to perform under these indemnification provisions, it could have a material adverse effect on our business, financial condition and results of operations.</w:t>
      </w:r>
    </w:p>
    <w:p>
      <w:pPr>
        <w:spacing w:after="0" w:line="28"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In the normal course of business, we periodically enter into academic, commercial, service, collaboration, licensing, consulting and other agreements that contain indemnification provisions. With respect to our academic and other research agreements, we typically indemnify the institution and related parties from losses arising from claims relating to the products, processes or services made, used, sold or performed pursuant to the agreements for which we have secured licenses, and from claims arising from our or our sublicensees’ exercise of rights under the agreement. With respect to our collaboration agreements, we typically indemnify our collaborators from any third-party product liability claims that could result from the production, use or consumption of the product, as well as for alleged infringements of any patent or other intellectual property right by a third-party. With respect to consulting agreements, we indemnify consultants from claims arising from the good faith performance of their services.</w:t>
      </w:r>
    </w:p>
    <w:p>
      <w:pPr>
        <w:spacing w:after="0" w:line="189"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Should our obligation under an indemnification provision exceed applicable insurance coverage or should we be denied insurance coverage, our business, financial condition and results of operations could be adversely affected. Similarly, if we are relying on a collaborator to indemnify us and the collaborator is denied insurance coverage or the indemnification obligation exceeds the applicable insurance coverage, and if the collaborator does not have other assets available to indemnify us, our business, financial condition and results of operations could be adversely affected.</w:t>
      </w:r>
    </w:p>
    <w:p>
      <w:pPr>
        <w:spacing w:after="0" w:line="284"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To the extent we are able to enter into collaborative arrangements or strategic alliances, we may be exposed to risks related to those collaborations and alliances.</w:t>
      </w:r>
    </w:p>
    <w:p>
      <w:pPr>
        <w:spacing w:after="0" w:line="51" w:lineRule="exact"/>
        <w:rPr>
          <w:sz w:val="20"/>
          <w:szCs w:val="20"/>
          <w:color w:val="auto"/>
        </w:rPr>
      </w:pPr>
    </w:p>
    <w:p>
      <w:pPr>
        <w:ind w:right="180" w:firstLine="510"/>
        <w:spacing w:after="0" w:line="289" w:lineRule="auto"/>
        <w:rPr>
          <w:sz w:val="20"/>
          <w:szCs w:val="20"/>
          <w:color w:val="auto"/>
        </w:rPr>
      </w:pPr>
      <w:r>
        <w:rPr>
          <w:rFonts w:ascii="Times New Roman" w:cs="Times New Roman" w:eastAsia="Times New Roman" w:hAnsi="Times New Roman"/>
          <w:sz w:val="17"/>
          <w:szCs w:val="17"/>
          <w:color w:val="auto"/>
        </w:rPr>
        <w:t>Biotechnology companies sometimes become dependent upon collaborative arrangements or strategic alliances to complete the development and commercialization of product candidates. If we elect to enter into collaborative arrangements or strategic alliances, these arrangements may place the development of our product candidates outside our control, may require us to relinquish important rights or may otherwise be on terms unfavorable to us.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Dependence on collaborative arrangements or strategic alliances would subject us to a number of risks, including the risk that:</w:t>
      </w:r>
    </w:p>
    <w:p>
      <w:pPr>
        <w:spacing w:after="0" w:line="117" w:lineRule="exact"/>
        <w:rPr>
          <w:sz w:val="20"/>
          <w:szCs w:val="20"/>
          <w:color w:val="auto"/>
        </w:rPr>
      </w:pPr>
    </w:p>
    <w:p>
      <w:pPr>
        <w:ind w:left="1000" w:hanging="493"/>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control the amount and timing of resources that our collaborators may devote to the relevant product candidates;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collaborators may experience financial difficulties;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relinquish important rights, such as marketing and distribution rights;</w:t>
      </w:r>
    </w:p>
    <w:p>
      <w:pPr>
        <w:spacing w:after="0" w:line="117" w:lineRule="exact"/>
        <w:rPr>
          <w:rFonts w:ascii="Times New Roman" w:cs="Times New Roman" w:eastAsia="Times New Roman" w:hAnsi="Times New Roman"/>
          <w:sz w:val="18"/>
          <w:szCs w:val="18"/>
          <w:color w:val="auto"/>
        </w:rPr>
      </w:pPr>
    </w:p>
    <w:p>
      <w:pPr>
        <w:ind w:left="1000" w:right="240" w:hanging="493"/>
        <w:spacing w:after="0" w:line="282"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combinations or significant changes in a collaborator’s business strategy may also adversely affect a collaborator’s willingness or ability to complete our obligations under any arrangement;</w:t>
      </w:r>
    </w:p>
    <w:p>
      <w:pPr>
        <w:spacing w:after="0" w:line="53" w:lineRule="exact"/>
        <w:rPr>
          <w:rFonts w:ascii="Times New Roman" w:cs="Times New Roman" w:eastAsia="Times New Roman" w:hAnsi="Times New Roman"/>
          <w:sz w:val="18"/>
          <w:szCs w:val="18"/>
          <w:color w:val="auto"/>
        </w:rPr>
      </w:pPr>
    </w:p>
    <w:p>
      <w:pPr>
        <w:ind w:left="1000" w:right="200" w:hanging="493"/>
        <w:spacing w:after="0" w:line="282"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could independently move forward with a competing drug candidate developed either independently or in collaboration with others, including our competitors; and</w:t>
      </w:r>
    </w:p>
    <w:p>
      <w:pPr>
        <w:spacing w:after="0" w:line="53" w:lineRule="exact"/>
        <w:rPr>
          <w:rFonts w:ascii="Times New Roman" w:cs="Times New Roman" w:eastAsia="Times New Roman" w:hAnsi="Times New Roman"/>
          <w:sz w:val="18"/>
          <w:szCs w:val="18"/>
          <w:color w:val="auto"/>
        </w:rPr>
      </w:pPr>
    </w:p>
    <w:p>
      <w:pPr>
        <w:ind w:left="1000" w:right="500" w:hanging="493"/>
        <w:spacing w:after="0" w:line="282"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collaborative arrangements are often terminated or allowed to expire, which would delay the development and may increase the cost of developing our drug candidates.</w:t>
      </w:r>
    </w:p>
    <w:p>
      <w:pPr>
        <w:spacing w:after="0" w:line="266"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attempt to form collaborations in the future with respect to our product candidates, but we may not be able to do so, which may cause us to alter our development and commercialization plans.</w:t>
      </w:r>
    </w:p>
    <w:p>
      <w:pPr>
        <w:spacing w:after="0" w:line="51" w:lineRule="exact"/>
        <w:rPr>
          <w:sz w:val="20"/>
          <w:szCs w:val="20"/>
          <w:color w:val="auto"/>
        </w:rPr>
      </w:pPr>
    </w:p>
    <w:p>
      <w:pPr>
        <w:ind w:right="120" w:firstLine="510"/>
        <w:spacing w:after="0" w:line="254" w:lineRule="auto"/>
        <w:rPr>
          <w:sz w:val="20"/>
          <w:szCs w:val="20"/>
          <w:color w:val="auto"/>
        </w:rPr>
      </w:pPr>
      <w:r>
        <w:rPr>
          <w:rFonts w:ascii="Times New Roman" w:cs="Times New Roman" w:eastAsia="Times New Roman" w:hAnsi="Times New Roman"/>
          <w:sz w:val="18"/>
          <w:szCs w:val="18"/>
          <w:color w:val="auto"/>
        </w:rPr>
        <w:t>We may attempt to form strategic collaborations, create joint ventures or enter into licensing arrangements with third parties with respect to our programs or platform that we believe will complement or augment our existing business. We may face significant competition in seeking appropriate strategic collaborators, and the negotiation process to secure appropriate terms is time consuming and complex. We may not be successful in our efforts to establish such a strategic collaboration for any product candidates and programs on terms that are acceptable to us, or at all. This may be because our product candidates and programs may be deemed to be at too early of a stage of development for collaborative effort, our research and development pipeline may be viewed as insufficient, the competitive or intellectual property landscape may be viewed as too intense or risky, and/or third parties may not view our product candidates and programs as having sufficient potential for commercialization, including the likelihood of an adequate safety and efficacy profile.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52" w:name="page53"/>
    <w:bookmarkEnd w:id="52"/>
    <w:p>
      <w:pPr>
        <w:ind w:firstLine="510"/>
        <w:spacing w:after="0" w:line="256" w:lineRule="auto"/>
        <w:rPr>
          <w:sz w:val="20"/>
          <w:szCs w:val="20"/>
          <w:color w:val="auto"/>
        </w:rPr>
      </w:pPr>
      <w:r>
        <w:rPr>
          <w:rFonts w:ascii="Times New Roman" w:cs="Times New Roman" w:eastAsia="Times New Roman" w:hAnsi="Times New Roman"/>
          <w:sz w:val="18"/>
          <w:szCs w:val="18"/>
          <w:color w:val="auto"/>
        </w:rPr>
        <w:t>Any delays in identifying suitable collaborators and entering into agreements to develop and/or commercialize our product candidates could delay the development or commercialization of our product candidates, which may reduce their competitiveness even if they reach the market. Absent a strategic collaborator, we would need to undertake development and/or commercialization activities at our own expense. If we elect to fund and undertake development and/or commercialization activities on our own, we may need to obtain additional expertise and additional capital, which may not be available to us on acceptable terms or at all. If we are unable to do so, we may not be able to develop our product candidates or bring them to market and our business may be materially and adversely affected.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Commercialization of Our Product Candidates</w:t>
      </w:r>
    </w:p>
    <w:p>
      <w:pPr>
        <w:spacing w:after="0" w:line="117"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any of our product candidates is approved for marketing and commercialization and we are unable to develop sales, marketing and distribution capabilities on our own or enter into agreements with third parties to perform these functions on acceptable terms, we will be unable to successfully commercialize any such future products.</w:t>
      </w:r>
    </w:p>
    <w:p>
      <w:pPr>
        <w:spacing w:after="0" w:line="67" w:lineRule="exact"/>
        <w:rPr>
          <w:sz w:val="20"/>
          <w:szCs w:val="20"/>
          <w:color w:val="auto"/>
        </w:rPr>
      </w:pPr>
    </w:p>
    <w:p>
      <w:pPr>
        <w:ind w:right="240" w:firstLine="510"/>
        <w:spacing w:after="0" w:line="253" w:lineRule="auto"/>
        <w:rPr>
          <w:sz w:val="20"/>
          <w:szCs w:val="20"/>
          <w:color w:val="auto"/>
        </w:rPr>
      </w:pPr>
      <w:r>
        <w:rPr>
          <w:rFonts w:ascii="Times New Roman" w:cs="Times New Roman" w:eastAsia="Times New Roman" w:hAnsi="Times New Roman"/>
          <w:sz w:val="18"/>
          <w:szCs w:val="18"/>
          <w:color w:val="auto"/>
        </w:rPr>
        <w:t>We currently have no sales, marketing or distribution capabilities or experience. If any of our product candidates is approved for marketing and commercialization, we will need to develop internal sales, marketing and distribution capabilities to commercialize such products, which would be expensive and time-consuming, or enter into collaborations with third parties to perform these services. If we decide to market our products directly, we will need to commit significant financial and managerial resources to develop a marketing and sales force with technical expertise and supporting distribution, administration and compliance capabilities. If we rely on third parties with such capabilities to market our products or decide to co-promote products with collaborators, we will need to establish and maintain marketing and distribution arrangements with third parties, and there can be no assurance that we will be able to enter into such arrangements on acceptable terms or at all. In entering into third-party marketing or distribution arrangements, any revenue we receive will depend upon the efforts of third parties and there can be no assurance that such third parties will establish adequate sales and distribution capabilities or be successful in gaining market acceptance of any approved product. If we are not successful in commercializing any product approved for marketing and commercialization in the future, either on our own or through third parties, our business, financial condition, results of operations and prospects may be adversely affected.</w:t>
      </w:r>
    </w:p>
    <w:p>
      <w:pPr>
        <w:spacing w:after="0" w:line="296" w:lineRule="exact"/>
        <w:rPr>
          <w:sz w:val="20"/>
          <w:szCs w:val="20"/>
          <w:color w:val="auto"/>
        </w:rPr>
      </w:pPr>
    </w:p>
    <w:p>
      <w:pPr>
        <w:jc w:val="both"/>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market opportunities for our product candidates are smaller than we believe they are, we may not meet our revenue expectations and, assuming approval of a product candidate, our business may suffer. Because the patient populations in the market for our product candidates may be small, we must be able to successfully identify patients and acquire a significant market share to achieve profitability and growth.</w:t>
      </w:r>
    </w:p>
    <w:p>
      <w:pPr>
        <w:spacing w:after="0" w:line="67" w:lineRule="exact"/>
        <w:rPr>
          <w:sz w:val="20"/>
          <w:szCs w:val="20"/>
          <w:color w:val="auto"/>
        </w:rPr>
      </w:pPr>
    </w:p>
    <w:p>
      <w:pPr>
        <w:ind w:right="40" w:firstLine="510"/>
        <w:spacing w:after="0" w:line="254" w:lineRule="auto"/>
        <w:rPr>
          <w:sz w:val="20"/>
          <w:szCs w:val="20"/>
          <w:color w:val="auto"/>
        </w:rPr>
      </w:pPr>
      <w:r>
        <w:rPr>
          <w:rFonts w:ascii="Times New Roman" w:cs="Times New Roman" w:eastAsia="Times New Roman" w:hAnsi="Times New Roman"/>
          <w:sz w:val="18"/>
          <w:szCs w:val="18"/>
          <w:color w:val="auto"/>
        </w:rPr>
        <w:t>Given the small number of patients who have the diseases that we are targeting, our eligible patient population and pricing estimates may differ significantly from the actual market addressable by our product candidates. Our projections of both the number of people who have applicable diseases, as well as the subset of people with these diseases who have the potential to benefit from treatment with our product candidates, are based on our beliefs and estimates. These estimates have been derived from a variety of sources, including scientific literature, patient foundations, or market research, and may prove to be incorrect. Further, new studies may change the estimated incidence or prevalence of these diseases. The number of patients may turn out to be lower than expected. The potentially addressable patient population for each of our product candidates may be limited or may not be amenable to treatment with our product candidates, and new patients may become increasingly difficult to identify or gain access to, which would adversely affect our business, financial condition, results of operations and prospects.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substantial competition and our competitors may discover, develop or commercialize products faster or more successfully than us.</w:t>
      </w:r>
    </w:p>
    <w:p>
      <w:pPr>
        <w:spacing w:after="0" w:line="121" w:lineRule="exact"/>
        <w:rPr>
          <w:sz w:val="20"/>
          <w:szCs w:val="20"/>
          <w:color w:val="auto"/>
        </w:rPr>
      </w:pPr>
    </w:p>
    <w:p>
      <w:pPr>
        <w:ind w:right="20" w:firstLine="510"/>
        <w:spacing w:after="0" w:line="253" w:lineRule="auto"/>
        <w:rPr>
          <w:sz w:val="20"/>
          <w:szCs w:val="20"/>
          <w:color w:val="auto"/>
        </w:rPr>
      </w:pPr>
      <w:r>
        <w:rPr>
          <w:rFonts w:ascii="Times New Roman" w:cs="Times New Roman" w:eastAsia="Times New Roman" w:hAnsi="Times New Roman"/>
          <w:sz w:val="18"/>
          <w:szCs w:val="18"/>
          <w:color w:val="auto"/>
        </w:rPr>
        <w:t>The development and commercialization of new products is highly competitive. We face competition from major pharmaceutical companies, specialty pharmaceutical companies, biotechnology companies, universities and other research institutions worldwide with respect to our product candidates that we may seek to develop or commercialize in the future. For example, BioMarin, Inc., Nestlé Health Science S.A. (Codexis, Inc.), Homology Medicines, Inc., American Gene Technologies International Inc., Generation Bio Co., Agios Pharmaceuticals, Inc., SOM Biotech SL, Jnana Therapeutics and other discovery stage companies have developed or are developing product candidates for the treatment of PKU. Allena Pharmaceuticals, Inc, Novome Biotechnologies, Inc., Federation Bio, Inc., Oxidien Pharmaceuticals L.L.C. and others are developing product candidates for enteric hyperoxaluria. Our competitors may succeed in developing, acquiring or licensing technologies and products that are more effective or less costly than the product candidates that we are currently developing or that we may develop, which could render our product candidates obsolete and noncompetitive. In addition to the competition, we face from alternative therapies for the diseases we intend to target with our product candidates, we are also aware of several companies that are also working specifically to develop engineered bacteria as cellular drug therapies, such as Precigen, Inc. Further there are several companies working to develop other similar products. Third-party payors, including governmental and private insurers, may also encourage the use of generic products.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53" w:name="page54"/>
    <w:bookmarkEnd w:id="53"/>
    <w:p>
      <w:pPr>
        <w:ind w:right="160" w:firstLine="510"/>
        <w:spacing w:after="0" w:line="282" w:lineRule="auto"/>
        <w:rPr>
          <w:sz w:val="20"/>
          <w:szCs w:val="20"/>
          <w:color w:val="auto"/>
        </w:rPr>
      </w:pPr>
      <w:r>
        <w:rPr>
          <w:rFonts w:ascii="Times New Roman" w:cs="Times New Roman" w:eastAsia="Times New Roman" w:hAnsi="Times New Roman"/>
          <w:sz w:val="18"/>
          <w:szCs w:val="18"/>
          <w:color w:val="auto"/>
        </w:rPr>
        <w:t>If our competitors obtain marketing approval from the FDA or comparable foreign regulatory authorities for their product candidates more rapidly than us, it could result in our competitors establishing a strong market position before we are able to enter the market.</w:t>
      </w:r>
    </w:p>
    <w:p>
      <w:pPr>
        <w:spacing w:after="0" w:line="162" w:lineRule="exact"/>
        <w:rPr>
          <w:sz w:val="20"/>
          <w:szCs w:val="20"/>
          <w:color w:val="auto"/>
        </w:rPr>
      </w:pPr>
    </w:p>
    <w:p>
      <w:pPr>
        <w:ind w:right="100" w:firstLine="510"/>
        <w:spacing w:after="0" w:line="254" w:lineRule="auto"/>
        <w:rPr>
          <w:sz w:val="20"/>
          <w:szCs w:val="20"/>
          <w:color w:val="auto"/>
        </w:rPr>
      </w:pPr>
      <w:r>
        <w:rPr>
          <w:rFonts w:ascii="Times New Roman" w:cs="Times New Roman" w:eastAsia="Times New Roman" w:hAnsi="Times New Roman"/>
          <w:sz w:val="18"/>
          <w:szCs w:val="18"/>
          <w:color w:val="auto"/>
        </w:rPr>
        <w:t>Many of our competitors have materially greater name recognition and substantially greater financial, manufacturing, marketing, research and drug development resources than we do. Additional mergers and acquisitions in the biotechnology and pharmaceutical industries may result in even more resources being concentrated in our competitors. Large pharmaceutical companies in particular have extensive expertise in preclinical and clinical testing and in obtaining regulatory approvals for drugs. In addition, academic institutions, government agencies, and other public and private organizations conducting research may seek patent protection with respect to potentially competitive products or technologies. These organizations may also establish exclusive collaborative or licensing relationships with our competitors. Failure of our product candidates to effectively compete against established treatment options or in the future with new products currently in development would harm our business, financial condition, results of operations and prospects.</w:t>
      </w:r>
    </w:p>
    <w:p>
      <w:pPr>
        <w:spacing w:after="0" w:line="296"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commercial success of any of our current or future product candidates will depend upon the degree of market acceptance by physicians, patients, third-party payors, and others in the medical community.</w:t>
      </w:r>
    </w:p>
    <w:p>
      <w:pPr>
        <w:spacing w:after="0" w:line="51"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Even with approvals from the FDA and comparable foreign regulatory authorities, the commercial success of our products will depend in part on the health care providers, patients, and third-party payors accepting our product candidates as medically useful, cost-effective, and safe. Any product that we bring to the market may not gain market acceptance by physicians, patients and third-party payors. The degree of market acceptance of any of our products will depend on a number of factors, including but not limited to:</w:t>
      </w:r>
    </w:p>
    <w:p>
      <w:pPr>
        <w:spacing w:after="0" w:line="72" w:lineRule="exact"/>
        <w:rPr>
          <w:sz w:val="20"/>
          <w:szCs w:val="20"/>
          <w:color w:val="auto"/>
        </w:rPr>
      </w:pPr>
    </w:p>
    <w:p>
      <w:pPr>
        <w:ind w:left="1000" w:hanging="493"/>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of the product as demonstrated in clinical trials and potential advantages over competing treatments;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and side effect profile of the product as demonstrated in clinical trials and potential advantages over competing treatments;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the disease targeted;</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approval is granted, including any limitations or warnings contained in a product’s approved labeling;</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convenience and ease of administration;</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patients and physicians to accept products engineered from bacteria and these therapies;</w:t>
      </w:r>
    </w:p>
    <w:p>
      <w:pPr>
        <w:spacing w:after="0" w:line="117" w:lineRule="exact"/>
        <w:rPr>
          <w:rFonts w:ascii="Times New Roman" w:cs="Times New Roman" w:eastAsia="Times New Roman" w:hAnsi="Times New Roman"/>
          <w:sz w:val="18"/>
          <w:szCs w:val="18"/>
          <w:color w:val="auto"/>
        </w:rPr>
      </w:pPr>
    </w:p>
    <w:p>
      <w:pPr>
        <w:ind w:left="1000" w:right="100" w:hanging="493"/>
        <w:spacing w:after="0" w:line="282"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ratio of risk and benefit of these therapies by physicians, patients, and payers, and the willingness of physicians to recommend these therapies to patients based on such risks and benefits;</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marketing, sales and distribution support for the product;</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publicity concerning the products or competing products and treatments; and</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availability of third-party insurance coverage and reimbursement.</w:t>
      </w:r>
    </w:p>
    <w:p>
      <w:pPr>
        <w:spacing w:after="0" w:line="225" w:lineRule="exact"/>
        <w:rPr>
          <w:sz w:val="20"/>
          <w:szCs w:val="20"/>
          <w:color w:val="auto"/>
        </w:rPr>
      </w:pPr>
    </w:p>
    <w:p>
      <w:pPr>
        <w:ind w:right="140" w:firstLine="510"/>
        <w:spacing w:after="0" w:line="261" w:lineRule="auto"/>
        <w:rPr>
          <w:sz w:val="20"/>
          <w:szCs w:val="20"/>
          <w:color w:val="auto"/>
        </w:rPr>
      </w:pPr>
      <w:r>
        <w:rPr>
          <w:rFonts w:ascii="Times New Roman" w:cs="Times New Roman" w:eastAsia="Times New Roman" w:hAnsi="Times New Roman"/>
          <w:sz w:val="18"/>
          <w:szCs w:val="18"/>
          <w:color w:val="auto"/>
        </w:rPr>
        <w:t>Even if a product displays a favorable efficacy and safety profile upon approval, market acceptance of the product remains uncertain. Efforts to educate the medical community and third-party payors on the benefits of the products may require significant investment and resources and may never be successful. If our products fail to achieve an adequate level of acceptance by physicians, patients, third-party payors, and other health care providers, we will not be able to generate sufficient revenue to become or remain profitable.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any efforts to identify, license, discover, develop, or commercialize additional product candidates.</w:t>
      </w:r>
    </w:p>
    <w:p>
      <w:pPr>
        <w:spacing w:after="0" w:line="121" w:lineRule="exact"/>
        <w:rPr>
          <w:sz w:val="20"/>
          <w:szCs w:val="20"/>
          <w:color w:val="auto"/>
        </w:rPr>
      </w:pPr>
    </w:p>
    <w:p>
      <w:pPr>
        <w:ind w:right="20" w:firstLine="510"/>
        <w:spacing w:after="0" w:line="256" w:lineRule="auto"/>
        <w:rPr>
          <w:sz w:val="20"/>
          <w:szCs w:val="20"/>
          <w:color w:val="auto"/>
        </w:rPr>
      </w:pPr>
      <w:r>
        <w:rPr>
          <w:rFonts w:ascii="Times New Roman" w:cs="Times New Roman" w:eastAsia="Times New Roman" w:hAnsi="Times New Roman"/>
          <w:sz w:val="18"/>
          <w:szCs w:val="18"/>
          <w:color w:val="auto"/>
        </w:rPr>
        <w:t>Although a substantial amount of our effort will focus on the clinical testing, potential approval, and commercialization of our existing product candidates, the success of our business is also expected to depend in part upon our ability to identify, license, discover, develop, or commercialize additional product candidates. Research programs to identify new product candidates require substantial technical, financial, and human resources. We may focus our efforts and resources on potential programs or product candidates that ultimately prove to be unsuccessful. Our research programs or licensing efforts may fail to yield additional product candidates for clinical development and commercialization for a number of reasons, including but not limited to the following:</w:t>
      </w:r>
    </w:p>
    <w:p>
      <w:pPr>
        <w:spacing w:after="0" w:line="79" w:lineRule="exact"/>
        <w:rPr>
          <w:sz w:val="20"/>
          <w:szCs w:val="20"/>
          <w:color w:val="auto"/>
        </w:rPr>
      </w:pPr>
    </w:p>
    <w:p>
      <w:pPr>
        <w:ind w:left="1000" w:right="540" w:hanging="493"/>
        <w:spacing w:after="0" w:line="282"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research or business development methodology or search criteria and process may be unsuccessful in identifying potential product candidates;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54" w:name="page55"/>
    <w:bookmarkEnd w:id="54"/>
    <w:p>
      <w:pPr>
        <w:ind w:left="1000" w:hanging="493"/>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or willing to assemble sufficient resources to acquire or discover additional product candidates;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not succeed in preclinical or clinical testing;</w:t>
      </w:r>
    </w:p>
    <w:p>
      <w:pPr>
        <w:spacing w:after="0" w:line="117" w:lineRule="exact"/>
        <w:rPr>
          <w:rFonts w:ascii="Times New Roman" w:cs="Times New Roman" w:eastAsia="Times New Roman" w:hAnsi="Times New Roman"/>
          <w:sz w:val="18"/>
          <w:szCs w:val="18"/>
          <w:color w:val="auto"/>
        </w:rPr>
      </w:pPr>
    </w:p>
    <w:p>
      <w:pPr>
        <w:ind w:left="1000" w:right="340" w:hanging="493"/>
        <w:spacing w:after="0" w:line="282"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product candidates may be shown to have harmful side effects or may have other characteristics that may make the products unmarketable or unlikely to receive marketing approval;</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may develop alternatives that render our product candidates obsolete or less attractive;</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we develop may be covered by third parties’ patents or other exclusive rights;</w:t>
      </w:r>
    </w:p>
    <w:p>
      <w:pPr>
        <w:spacing w:after="0" w:line="117" w:lineRule="exact"/>
        <w:rPr>
          <w:rFonts w:ascii="Times New Roman" w:cs="Times New Roman" w:eastAsia="Times New Roman" w:hAnsi="Times New Roman"/>
          <w:sz w:val="18"/>
          <w:szCs w:val="18"/>
          <w:color w:val="auto"/>
        </w:rPr>
      </w:pPr>
    </w:p>
    <w:p>
      <w:pPr>
        <w:ind w:left="1000" w:right="40" w:hanging="493"/>
        <w:spacing w:after="0" w:line="282"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for a product candidate may change during development or commercialization so that such a product may become unreasonable to continue to develop or commercialize;</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not be capable of being produced in commercial quantities at an acceptable cost, or at all; and</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not be accepted as safe and effective by patients, the medical community, or third-party payors.</w:t>
      </w:r>
    </w:p>
    <w:p>
      <w:pPr>
        <w:spacing w:after="0" w:line="225" w:lineRule="exact"/>
        <w:rPr>
          <w:sz w:val="20"/>
          <w:szCs w:val="20"/>
          <w:color w:val="auto"/>
        </w:rPr>
      </w:pPr>
    </w:p>
    <w:p>
      <w:pPr>
        <w:ind w:right="140" w:firstLine="510"/>
        <w:spacing w:after="0" w:line="266" w:lineRule="auto"/>
        <w:rPr>
          <w:sz w:val="20"/>
          <w:szCs w:val="20"/>
          <w:color w:val="auto"/>
        </w:rPr>
      </w:pPr>
      <w:r>
        <w:rPr>
          <w:rFonts w:ascii="Times New Roman" w:cs="Times New Roman" w:eastAsia="Times New Roman" w:hAnsi="Times New Roman"/>
          <w:sz w:val="18"/>
          <w:szCs w:val="18"/>
          <w:color w:val="auto"/>
        </w:rPr>
        <w:t>If any of these events occur, we may be forced to abandon our development efforts for one or more product candidates, or we may not be able to identify, license, discover, develop, or commercialize additional product candidates, which would have a material adverse effect on our business, financial condition or results of operations and could potentially cause us to cease operations.</w:t>
      </w:r>
    </w:p>
    <w:p>
      <w:pPr>
        <w:spacing w:after="0" w:line="280"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obtain or maintain adequate reimbursement or insurance coverage for products, if any, could limit our ability to market those products and decrease our ability to generate revenue.</w:t>
      </w:r>
    </w:p>
    <w:p>
      <w:pPr>
        <w:spacing w:after="0" w:line="51" w:lineRule="exact"/>
        <w:rPr>
          <w:sz w:val="20"/>
          <w:szCs w:val="20"/>
          <w:color w:val="auto"/>
        </w:rPr>
      </w:pPr>
    </w:p>
    <w:p>
      <w:pPr>
        <w:ind w:right="60" w:firstLine="510"/>
        <w:spacing w:after="0" w:line="255" w:lineRule="auto"/>
        <w:rPr>
          <w:sz w:val="20"/>
          <w:szCs w:val="20"/>
          <w:color w:val="auto"/>
        </w:rPr>
      </w:pPr>
      <w:r>
        <w:rPr>
          <w:rFonts w:ascii="Times New Roman" w:cs="Times New Roman" w:eastAsia="Times New Roman" w:hAnsi="Times New Roman"/>
          <w:sz w:val="18"/>
          <w:szCs w:val="18"/>
          <w:color w:val="auto"/>
        </w:rPr>
        <w:t>The pricing, coverage, and reimbursement of our approved products, if any, must be sufficient to support our commercial efforts and other development programs and the availability and adequacy of coverage and reimbursement by third-party payors, including governmental and private insurers, are essential for most patients to be able to afford expensive treatments. Sales of our approved products, if any, will depend substantially, both domestically and abroad, on the extent to which the costs of our approved products, if any, will be paid for or reimbursed by health maintenance, managed care, pharmacy benefit and similar healthcare management organizations, or government payors and private payors. If coverage and reimbursement are not available, or are available only in limited amounts, we may have to subsidize or provide products for free or we may not be able to successfully commercialize our products.</w:t>
      </w:r>
    </w:p>
    <w:p>
      <w:pPr>
        <w:spacing w:after="0" w:line="189" w:lineRule="exact"/>
        <w:rPr>
          <w:sz w:val="20"/>
          <w:szCs w:val="20"/>
          <w:color w:val="auto"/>
        </w:rPr>
      </w:pPr>
    </w:p>
    <w:p>
      <w:pPr>
        <w:ind w:right="140" w:firstLine="510"/>
        <w:spacing w:after="0" w:line="253" w:lineRule="auto"/>
        <w:rPr>
          <w:sz w:val="20"/>
          <w:szCs w:val="20"/>
          <w:color w:val="auto"/>
        </w:rPr>
      </w:pPr>
      <w:r>
        <w:rPr>
          <w:rFonts w:ascii="Times New Roman" w:cs="Times New Roman" w:eastAsia="Times New Roman" w:hAnsi="Times New Roman"/>
          <w:sz w:val="18"/>
          <w:szCs w:val="18"/>
          <w:color w:val="auto"/>
        </w:rPr>
        <w:t>In addition, there is significant uncertainty related to the insurance coverage and reimbursement for newly approved products. In the United States, the principal decisions about coverage and reimbursement for new drugs are typically made by the Centers for Medicare &amp; Medicaid Services (CMS), an agency within the HHS, as CMS decides whether and to what extent a new drug will be covered and reimbursed under Medicare. Private payors tend to follow the coverage reimbursement policies established by CMS to a substantial degree. It is difficult to predict what CMS will decide with respect to reimbursement for novel product candidates such as ours and what reimbursement codes our product candidates may receive if approved. No uniform policy for coverage and reimbursement for drug products exist among third-party payors in the United States. Therefore, coverage and reimbursement for drug products can differ significantly from payor to payor.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 Furthermore, rules and regulations regarding reimbursement change frequently, in some cases at short notice, and we believe that changes in these rules and regulations are likely.</w:t>
      </w:r>
    </w:p>
    <w:p>
      <w:pPr>
        <w:spacing w:after="0" w:line="194" w:lineRule="exact"/>
        <w:rPr>
          <w:sz w:val="20"/>
          <w:szCs w:val="20"/>
          <w:color w:val="auto"/>
        </w:rPr>
      </w:pPr>
    </w:p>
    <w:p>
      <w:pPr>
        <w:ind w:right="60" w:firstLine="510"/>
        <w:spacing w:after="0" w:line="254" w:lineRule="auto"/>
        <w:rPr>
          <w:sz w:val="20"/>
          <w:szCs w:val="20"/>
          <w:color w:val="auto"/>
        </w:rPr>
      </w:pPr>
      <w:r>
        <w:rPr>
          <w:rFonts w:ascii="Times New Roman" w:cs="Times New Roman" w:eastAsia="Times New Roman" w:hAnsi="Times New Roman"/>
          <w:sz w:val="18"/>
          <w:szCs w:val="18"/>
          <w:color w:val="auto"/>
        </w:rPr>
        <w:t>Third-party payors increasingly are challenging prices charged for pharmaceutical products and services, and many third-party payors may refuse to provide coverage and reimbursement for particular drugs when an equivalent generic/biosimilar drug or a less expensive therapy is available. It is possible that a third-party payor may consider our product candidate and other therapies as substitutable and only offer to reimburse patients for the less expensive product. Even if we show improved efficacy or improved convenience of administration with our product candidate over other available and comparable products, pricing of existing drugs may limit the amount we will be able to charge for its product candidate. These payors may deny or revoke the reimbursement status of a given drug product or establish prices for new or existing marketed products at levels that are too low to enable it to realize an appropriate return on our investment in product development. If coverage and reimbursement is not available or is available only at limited levels, we may not be able to successfully commercialize our product candidates and may not be able to obtain a satisfactory financial return on products that we may develop.</w:t>
      </w:r>
    </w:p>
    <w:p>
      <w:pPr>
        <w:spacing w:after="0" w:line="188"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For products administered under the supervision of a physician, obtaining coverage and adequate reimbursement may be particularly difficult because of the higher prices often associated with such drugs. Additionally, separate reimbursement for the product itself or the treatment or procedure in which the product is used may not be available, which may impact physician utilization. For example, under these circumstances, physicians may limit how much or under what circumstances they will prescribe or administer our products and patients may deliver to purchase such products. This, in turn, could affect our ability to commercialize our products successfully and impact our profitability, results of operations, financial condition, and future success.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55" w:name="page56"/>
    <w:bookmarkEnd w:id="55"/>
    <w:p>
      <w:pPr>
        <w:ind w:right="100" w:firstLine="510"/>
        <w:spacing w:after="0" w:line="256" w:lineRule="auto"/>
        <w:rPr>
          <w:sz w:val="20"/>
          <w:szCs w:val="20"/>
          <w:color w:val="auto"/>
        </w:rPr>
      </w:pPr>
      <w:r>
        <w:rPr>
          <w:rFonts w:ascii="Times New Roman" w:cs="Times New Roman" w:eastAsia="Times New Roman" w:hAnsi="Times New Roman"/>
          <w:sz w:val="18"/>
          <w:szCs w:val="18"/>
          <w:color w:val="auto"/>
        </w:rPr>
        <w:t>Outside the United States, international operations are generally subject to extensive governmental price controls and other price-restrictive regulations, and we believe the increasing emphasis on cost-containment initiatives in Europe, Canada, and other countries has and will continue to put pressure on the pricing and usage of products. In many countries, the prices of products are subject to varying price control mechanisms as part of national health systems. Other countries allow companies to fix their own prices for medical products but monitor and control company profits. Price controls or other changes in pricing regulation could restrict the amount that we are able to charge for our products, if any. Accordingly, in markets outside the United States, the potential revenue from the sale of our products may be insufficient to generate commercially reasonable revenue and profits.</w:t>
      </w:r>
    </w:p>
    <w:p>
      <w:pPr>
        <w:spacing w:after="0" w:line="187" w:lineRule="exact"/>
        <w:rPr>
          <w:sz w:val="20"/>
          <w:szCs w:val="20"/>
          <w:color w:val="auto"/>
        </w:rPr>
      </w:pPr>
    </w:p>
    <w:p>
      <w:pPr>
        <w:ind w:right="280" w:firstLine="510"/>
        <w:spacing w:after="0" w:line="256" w:lineRule="auto"/>
        <w:rPr>
          <w:sz w:val="20"/>
          <w:szCs w:val="20"/>
          <w:color w:val="auto"/>
        </w:rPr>
      </w:pPr>
      <w:r>
        <w:rPr>
          <w:rFonts w:ascii="Times New Roman" w:cs="Times New Roman" w:eastAsia="Times New Roman" w:hAnsi="Times New Roman"/>
          <w:sz w:val="18"/>
          <w:szCs w:val="18"/>
          <w:color w:val="auto"/>
        </w:rPr>
        <w:t>Moreover, increasing efforts by governmental and private payors in the United States and abroad to limit or reduce healthcare costs may result in restrictions on coverage and the level of reimbursement for new products and, as a result, they may not cover or provide adequate payment for our products. We expect to experience pricing pressures in connection with products due to the increasing trend toward managed healthcare, including the increasing influence of health maintenance organizations and additional legislative changes. The downward pressure on healthcare costs in general, particularly prescription drugs has, and is expected to continue to increase in the future. As a result, profitability of our products, if any, may be more difficult to achieve even if they receive regulatory approval.</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Operations and Employees</w:t>
      </w:r>
    </w:p>
    <w:p>
      <w:pPr>
        <w:spacing w:after="0" w:line="117"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attract and retain senior management and key scientific personnel may prevent us from successfully developing our product candidates or any future product candidate, conducting our clinical trials and commercializing any products.</w:t>
      </w:r>
    </w:p>
    <w:p>
      <w:pPr>
        <w:spacing w:after="0" w:line="51" w:lineRule="exact"/>
        <w:rPr>
          <w:sz w:val="20"/>
          <w:szCs w:val="20"/>
          <w:color w:val="auto"/>
        </w:rPr>
      </w:pPr>
    </w:p>
    <w:p>
      <w:pPr>
        <w:ind w:right="120" w:firstLine="510"/>
        <w:spacing w:after="0" w:line="281" w:lineRule="auto"/>
        <w:rPr>
          <w:sz w:val="20"/>
          <w:szCs w:val="20"/>
          <w:color w:val="auto"/>
        </w:rPr>
      </w:pPr>
      <w:r>
        <w:rPr>
          <w:rFonts w:ascii="Times New Roman" w:cs="Times New Roman" w:eastAsia="Times New Roman" w:hAnsi="Times New Roman"/>
          <w:sz w:val="17"/>
          <w:szCs w:val="17"/>
          <w:color w:val="auto"/>
        </w:rPr>
        <w:t>Our success depends in part on our continued ability to attract, retain and motivate highly qualified management, clinical and scientific personnel. We believe that our future success is highly dependent upon the contributions of our senior management, particularly our president and chief executive officer, as well as our senior scientists and other members of our senior management team. The loss of services of any of these individuals could delay or prevent the successful development of our product pipeline, completion of our planned clinical trials or the commercialization of the products we develop.</w:t>
      </w:r>
    </w:p>
    <w:p>
      <w:pPr>
        <w:spacing w:after="0" w:line="164" w:lineRule="exact"/>
        <w:rPr>
          <w:sz w:val="20"/>
          <w:szCs w:val="20"/>
          <w:color w:val="auto"/>
        </w:rPr>
      </w:pPr>
    </w:p>
    <w:p>
      <w:pPr>
        <w:ind w:right="180" w:firstLine="510"/>
        <w:spacing w:after="0" w:line="261" w:lineRule="auto"/>
        <w:rPr>
          <w:sz w:val="20"/>
          <w:szCs w:val="20"/>
          <w:color w:val="auto"/>
        </w:rPr>
      </w:pPr>
      <w:r>
        <w:rPr>
          <w:rFonts w:ascii="Times New Roman" w:cs="Times New Roman" w:eastAsia="Times New Roman" w:hAnsi="Times New Roman"/>
          <w:sz w:val="18"/>
          <w:szCs w:val="18"/>
          <w:color w:val="auto"/>
        </w:rPr>
        <w:t>Although we have not historically experienced significant difficulties attracting and retaining qualified employees, we could experience such problems in the future. For example, competition for qualified personnel in the biotechnology and pharmaceuticals field is intense due to the limited number of individuals who possess the skills and experience required by our industry. We will need to hire additional personnel as we expand our clinical development and commercial activities. We may not be able to attract and retain quality personnel on acceptable terms, or at all.</w:t>
      </w:r>
    </w:p>
    <w:p>
      <w:pPr>
        <w:spacing w:after="0" w:line="284"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principal investigators, CROs, consultants and collaborators may engage in misconduct or other improper activities, including noncompliance with regulatory standards and requirements and insider trading.</w:t>
      </w:r>
    </w:p>
    <w:p>
      <w:pPr>
        <w:spacing w:after="0" w:line="51" w:lineRule="exact"/>
        <w:rPr>
          <w:sz w:val="20"/>
          <w:szCs w:val="20"/>
          <w:color w:val="auto"/>
        </w:rPr>
      </w:pPr>
    </w:p>
    <w:p>
      <w:pPr>
        <w:ind w:right="300" w:firstLine="510"/>
        <w:spacing w:after="0" w:line="261"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consultants and collaborators may engage in fraudulent conduct or other illegal activity. Misconduct by these parties could include intentional, reckless and/or negligent conduct or unauthorized activities that violate:</w:t>
      </w:r>
    </w:p>
    <w:p>
      <w:pPr>
        <w:ind w:firstLine="8"/>
        <w:spacing w:after="0" w:line="251" w:lineRule="auto"/>
        <w:tabs>
          <w:tab w:leader="none" w:pos="2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of regulatory authorities in jurisdictions where we are performing activities in relation to our product candidates, including those laws requiring the reporting of true, complete and accurate information to such authorities; (2) manufacturing regulations and standards; (3) fraud and abuse and anti-corruption laws and regulations; or (4) laws that require the reporting of true and accurate financial information and data. In particular, sales, marketing and business arrangements in the healthcare industry are subject to extensive laws and regulations intended to prevent fraud, bias, misconduct, kickbacks, self-dealing and other abusive practices, and these laws may differ substantially from country to country. These laws and regulations may restrict or prohibit a wide range of pricing, discounting, marketing and promotion, sales commission, customer incentive programs and other business arrangements. These activities also include the improper use of information obtained in the course of clinical trials, which could result in regulatory sanctions and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ourselves from governmental investigations or other actions or lawsuits stemming from a failure to be in compliance with such laws or regulations. If any such actions are instituted against us, and we are not successful in defending itself or asserting our rights, those actions could have a significant impact on our business including the imposition of significant civil, criminal and administrative penalties, damages, monetary fines, possible exclusion from participation in subsidized healthcare programs in a given country, contractual damages, reputational harm, diminished profits and future earnings, and curtailment of our operations, any of which could adversely affect our ability to operate our business and our results of operations.</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17"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and management own a significant percentage of our stock and are able to exert significant control over matters subject to stockholder approval.</w:t>
      </w:r>
    </w:p>
    <w:p>
      <w:pPr>
        <w:spacing w:after="0" w:line="51"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Based on the beneficial ownership of our common stock as of May 5, 2022, our executive officers and directors, together with holders of 5% or more of our common stock outstanding and their respective affiliates, beneficially own approximately 48.6% of our common stock. Accordingly, these stockholders have significant influence over the outcome of corporate actions requiring stockholder approval, including the election of directors, consolidation or sale of all or substantially all of our assets or any other significant corporate transaction. The interests of these stockholders may not be the same as or may even conflict with your interests. For example, these stockholders could delay or prevent a change of control, even if such a change of control would benefit our other stockholders, which could deprive our stockholders of an opportunity to receive a premium for their common stock as part of a sale of the company or our assets and might affect the prevailing market price of our common stock. The significant concentration of stock ownership may adversely affect the trading price of our common stock due to investors’ perception that conflicts of interest may exist or arise.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or securities convertible or exchangeable for our common stock may depress our stock price.</w:t>
      </w:r>
    </w:p>
    <w:p>
      <w:pPr>
        <w:spacing w:after="0" w:line="121" w:lineRule="exact"/>
        <w:rPr>
          <w:sz w:val="20"/>
          <w:szCs w:val="20"/>
          <w:color w:val="auto"/>
        </w:rPr>
      </w:pPr>
    </w:p>
    <w:p>
      <w:pPr>
        <w:ind w:right="120" w:firstLine="510"/>
        <w:spacing w:after="0" w:line="266" w:lineRule="auto"/>
        <w:rPr>
          <w:sz w:val="20"/>
          <w:szCs w:val="20"/>
          <w:color w:val="auto"/>
        </w:rPr>
      </w:pPr>
      <w:r>
        <w:rPr>
          <w:rFonts w:ascii="Times New Roman" w:cs="Times New Roman" w:eastAsia="Times New Roman" w:hAnsi="Times New Roman"/>
          <w:sz w:val="18"/>
          <w:szCs w:val="18"/>
          <w:color w:val="auto"/>
        </w:rPr>
        <w:t>If our existing stockholders or holders of our options sell, or indicate an intention to sell, substantial amounts of our common stock in the public market, the trading price of our common stock could decline. The perception in the market that these sales may occur could also cause the trading price of our common stock to decline. As of May 5, 2022, there were a total of 70,250,681 shares of our common stock outstanding.</w:t>
      </w:r>
    </w:p>
    <w:p>
      <w:pPr>
        <w:spacing w:after="0" w:line="280"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quarterly operating results may fluctuate significantly or may fall below the expectations of investors or securities analysts, each of which may cause our stock price to fluctuate or decline.</w:t>
      </w:r>
    </w:p>
    <w:p>
      <w:pPr>
        <w:spacing w:after="0" w:line="51" w:lineRule="exact"/>
        <w:rPr>
          <w:sz w:val="20"/>
          <w:szCs w:val="20"/>
          <w:color w:val="auto"/>
        </w:rPr>
      </w:pPr>
    </w:p>
    <w:p>
      <w:pPr>
        <w:ind w:right="60" w:firstLine="510"/>
        <w:spacing w:after="0" w:line="282" w:lineRule="auto"/>
        <w:rPr>
          <w:sz w:val="20"/>
          <w:szCs w:val="20"/>
          <w:color w:val="auto"/>
        </w:rPr>
      </w:pPr>
      <w:r>
        <w:rPr>
          <w:rFonts w:ascii="Times New Roman" w:cs="Times New Roman" w:eastAsia="Times New Roman" w:hAnsi="Times New Roman"/>
          <w:sz w:val="18"/>
          <w:szCs w:val="18"/>
          <w:color w:val="auto"/>
        </w:rPr>
        <w:t>We expect our operating results to be subject to quarterly fluctuations. Our net loss and other operating results will be affected by numerous factors, including:</w:t>
      </w:r>
    </w:p>
    <w:p>
      <w:pPr>
        <w:spacing w:after="0" w:line="54" w:lineRule="exact"/>
        <w:rPr>
          <w:sz w:val="20"/>
          <w:szCs w:val="20"/>
          <w:color w:val="auto"/>
        </w:rPr>
      </w:pPr>
    </w:p>
    <w:p>
      <w:pPr>
        <w:ind w:left="1000" w:hanging="493"/>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the level of our operating expenses;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modification or termination of government contracts or grants, and the timing of payments we receive under these arrangements;</w:t>
      </w:r>
    </w:p>
    <w:p>
      <w:pPr>
        <w:spacing w:after="0" w:line="117" w:lineRule="exact"/>
        <w:rPr>
          <w:rFonts w:ascii="Times New Roman" w:cs="Times New Roman" w:eastAsia="Times New Roman" w:hAnsi="Times New Roman"/>
          <w:sz w:val="18"/>
          <w:szCs w:val="18"/>
          <w:color w:val="auto"/>
        </w:rPr>
      </w:pPr>
    </w:p>
    <w:p>
      <w:pPr>
        <w:ind w:left="1000" w:right="220" w:hanging="493"/>
        <w:spacing w:after="0" w:line="282"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execution of any collaborative, licensing or similar arrangements, and the timing of payments we may make under these arrangements; and</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intellectual property infringement lawsuit or opposition, interference or cancellation proceeding in which we may become involved.</w:t>
      </w:r>
    </w:p>
    <w:p>
      <w:pPr>
        <w:spacing w:after="0" w:line="225" w:lineRule="exact"/>
        <w:rPr>
          <w:sz w:val="20"/>
          <w:szCs w:val="20"/>
          <w:color w:val="auto"/>
        </w:rPr>
      </w:pPr>
    </w:p>
    <w:p>
      <w:pPr>
        <w:ind w:right="60" w:firstLine="510"/>
        <w:spacing w:after="0" w:line="261" w:lineRule="auto"/>
        <w:rPr>
          <w:sz w:val="20"/>
          <w:szCs w:val="20"/>
          <w:color w:val="auto"/>
        </w:rPr>
      </w:pPr>
      <w:r>
        <w:rPr>
          <w:rFonts w:ascii="Times New Roman" w:cs="Times New Roman" w:eastAsia="Times New Roman" w:hAnsi="Times New Roman"/>
          <w:sz w:val="18"/>
          <w:szCs w:val="18"/>
          <w:color w:val="auto"/>
        </w:rPr>
        <w:t>If our quarterly operating results fall below the expectations of investors or securities analysts, the price of our common stock could decline substantially. Furthermore, any quarterly fluctuations in our operating results may, in turn, cause the price of the company’s stock to fluctuate substantially. We believe that quarterly comparisons of our financial results are not necessarily meaningful and should not be relied upon as an indication of our future performance.</w:t>
      </w:r>
    </w:p>
    <w:p>
      <w:pPr>
        <w:spacing w:after="0" w:line="284"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of our charter documents or Delaware law could delay or prevent an acquisition of us, even if the acquisition would be beneficial to our stockholders and could make it more difficult for you to change management.</w:t>
      </w:r>
    </w:p>
    <w:p>
      <w:pPr>
        <w:spacing w:after="0" w:line="51"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Provisions in our amended and restated certificate of incorporation and our amended and restated bylaws may discourage, delay or prevent a merger, acquisition or other change in control that our stockholders may consider favorable, including transactions in which our stockholders might otherwise receive a premium for their shares. In addition, these provisions may frustrate or prevent any attempt by our stockholders to replace or remove our current management by making it more difficult to replace or remove our Board of Directors. These provisions include:</w:t>
      </w:r>
    </w:p>
    <w:p>
      <w:pPr>
        <w:spacing w:after="0" w:line="72" w:lineRule="exact"/>
        <w:rPr>
          <w:sz w:val="20"/>
          <w:szCs w:val="20"/>
          <w:color w:val="auto"/>
        </w:rPr>
      </w:pPr>
    </w:p>
    <w:p>
      <w:pPr>
        <w:ind w:left="1000" w:hanging="493"/>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so that not all directors are elected at one time;</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through written consent;</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cumulative voting in the election of directors;</w:t>
      </w:r>
    </w:p>
    <w:p>
      <w:pPr>
        <w:spacing w:after="0" w:line="117" w:lineRule="exact"/>
        <w:rPr>
          <w:rFonts w:ascii="Times New Roman" w:cs="Times New Roman" w:eastAsia="Times New Roman" w:hAnsi="Times New Roman"/>
          <w:sz w:val="18"/>
          <w:szCs w:val="18"/>
          <w:color w:val="auto"/>
        </w:rPr>
      </w:pPr>
    </w:p>
    <w:p>
      <w:pPr>
        <w:ind w:left="1000" w:right="360" w:hanging="493"/>
        <w:spacing w:after="0" w:line="282"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exclusive right of our Board of Directors to elect a director to fill a vacancy created by the expansion of our Board of Directors or the resignation, death or removal of a director;</w:t>
      </w:r>
    </w:p>
    <w:p>
      <w:pPr>
        <w:spacing w:after="0" w:line="53" w:lineRule="exact"/>
        <w:rPr>
          <w:rFonts w:ascii="Times New Roman" w:cs="Times New Roman" w:eastAsia="Times New Roman" w:hAnsi="Times New Roman"/>
          <w:sz w:val="18"/>
          <w:szCs w:val="18"/>
          <w:color w:val="auto"/>
        </w:rPr>
      </w:pPr>
    </w:p>
    <w:p>
      <w:pPr>
        <w:ind w:left="1000" w:right="40" w:hanging="493"/>
        <w:spacing w:after="0" w:line="282"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special meetings of our Stockholders be called only by our Board of Directors, the chairman of our Board of Directors, the chief executive officer or, in the absence of a chief executive officer, the president;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57" w:name="page58"/>
    <w:bookmarkEnd w:id="57"/>
    <w:p>
      <w:pPr>
        <w:ind w:left="1000" w:hanging="493"/>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advance notice requirement for stockholder proposals and nominations;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authority of our Board of Directors to issue preferred stock with such terms as our Board of Directors may determine; and</w:t>
      </w:r>
    </w:p>
    <w:p>
      <w:pPr>
        <w:spacing w:after="0" w:line="117" w:lineRule="exact"/>
        <w:rPr>
          <w:rFonts w:ascii="Times New Roman" w:cs="Times New Roman" w:eastAsia="Times New Roman" w:hAnsi="Times New Roman"/>
          <w:sz w:val="18"/>
          <w:szCs w:val="18"/>
          <w:color w:val="auto"/>
        </w:rPr>
      </w:pPr>
    </w:p>
    <w:p>
      <w:pPr>
        <w:ind w:left="1000" w:right="400" w:hanging="493"/>
        <w:spacing w:after="0" w:line="282"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of approval of not less than 66 2/3% of all outstanding shares of our capital stock entitled to vote to amend any bylaws by stockholder action, or to amend specific provisions of our certificate of incorporation.</w:t>
      </w:r>
    </w:p>
    <w:p>
      <w:pPr>
        <w:spacing w:after="0" w:line="162" w:lineRule="exact"/>
        <w:rPr>
          <w:sz w:val="20"/>
          <w:szCs w:val="20"/>
          <w:color w:val="auto"/>
        </w:rPr>
      </w:pPr>
    </w:p>
    <w:p>
      <w:pPr>
        <w:ind w:right="100" w:firstLine="510"/>
        <w:spacing w:after="0" w:line="261" w:lineRule="auto"/>
        <w:rPr>
          <w:sz w:val="20"/>
          <w:szCs w:val="20"/>
          <w:color w:val="auto"/>
        </w:rPr>
      </w:pPr>
      <w:r>
        <w:rPr>
          <w:rFonts w:ascii="Times New Roman" w:cs="Times New Roman" w:eastAsia="Times New Roman" w:hAnsi="Times New Roman"/>
          <w:sz w:val="18"/>
          <w:szCs w:val="18"/>
          <w:color w:val="auto"/>
        </w:rPr>
        <w:t>In addition, Delaware law prohibits a publicly held Delaware corporation from engaging in a business combination with an interested stockholder, generally a person who, together with its affiliates, owns or within the last three years has owned 15% or more of the company’s voting stock, for a period of three years after the date of the transaction in which the person became an interested stockholder, unless the business combination is approved in a prescribed manner. Accordingly, Delaware law may discourage, delay or prevent a change in control of the company.</w:t>
      </w:r>
    </w:p>
    <w:p>
      <w:pPr>
        <w:spacing w:after="0" w:line="180" w:lineRule="exact"/>
        <w:rPr>
          <w:sz w:val="20"/>
          <w:szCs w:val="20"/>
          <w:color w:val="auto"/>
        </w:rPr>
      </w:pPr>
    </w:p>
    <w:p>
      <w:pPr>
        <w:ind w:right="20" w:firstLine="510"/>
        <w:spacing w:after="0" w:line="253" w:lineRule="auto"/>
        <w:rPr>
          <w:sz w:val="20"/>
          <w:szCs w:val="20"/>
          <w:color w:val="auto"/>
        </w:rPr>
      </w:pPr>
      <w:r>
        <w:rPr>
          <w:rFonts w:ascii="Times New Roman" w:cs="Times New Roman" w:eastAsia="Times New Roman" w:hAnsi="Times New Roman"/>
          <w:sz w:val="18"/>
          <w:szCs w:val="18"/>
          <w:color w:val="auto"/>
        </w:rPr>
        <w:t>In addition, our amended and restated certificate of incorporation, to the fullest extent permitted by law, provides that the Court of Chancery of the State of Delaware will be the exclusive forum for: any derivative action or proceeding brought on our behalf; any action asserting a breach of fiduciary duty; any action asserting a claim against us arising pursuant to the Delaware General Corporation Law, or the DGCL, our amended and restated certificate of incorporation, or our amended and restated bylaws; or any action asserting a claim against us that is governed by the internal affairs doctrine. This exclusive forum provision does not apply to suits brought to enforce a duty or liability created by the Exchange Act. It could apply, however, to a suit that falls within one or more of the categories enumerated in the exclusive forum provision and asserts claims under the Securities Act, inasmuch as Section 22 of the Securities Act creates concurrent jurisdiction for federal and state courts over all suits brought to enforce any duty or liability created by the Securities Act or the rule and regulations thereunder. There is uncertainty as to whether a court would enforce such provision with respect to claims under the Securities Act, and our stockholders will not be deemed to have waived our compliance with the federal securities laws and the rules and regulations thereunder.</w:t>
      </w:r>
    </w:p>
    <w:p>
      <w:pPr>
        <w:spacing w:after="0" w:line="194" w:lineRule="exact"/>
        <w:rPr>
          <w:sz w:val="20"/>
          <w:szCs w:val="20"/>
          <w:color w:val="auto"/>
        </w:rPr>
      </w:pPr>
    </w:p>
    <w:p>
      <w:pPr>
        <w:ind w:right="160" w:firstLine="510"/>
        <w:spacing w:after="0" w:line="261" w:lineRule="auto"/>
        <w:rPr>
          <w:sz w:val="20"/>
          <w:szCs w:val="20"/>
          <w:color w:val="auto"/>
        </w:rPr>
      </w:pPr>
      <w:r>
        <w:rPr>
          <w:rFonts w:ascii="Times New Roman" w:cs="Times New Roman" w:eastAsia="Times New Roman" w:hAnsi="Times New Roman"/>
          <w:sz w:val="18"/>
          <w:szCs w:val="18"/>
          <w:color w:val="auto"/>
        </w:rPr>
        <w:t>This choice of forum provision may limit a stockholder’s ability to bring a claim in a judicial forum that it finds favorable for disputes with us or any of our directors, officers, or other employees, which may discourage lawsuits with respect to such claims. Alternatively, if a court were to find the choice of forum provisions contained in our restated certificate of incorporation to be inapplicable or unenforceable in an action, we may incur additional costs associated with resolving such action in other jurisdictions, which could harm our business, results of operations and financial condition.</w:t>
      </w:r>
    </w:p>
    <w:p>
      <w:pPr>
        <w:spacing w:after="0" w:line="180" w:lineRule="exact"/>
        <w:rPr>
          <w:sz w:val="20"/>
          <w:szCs w:val="20"/>
          <w:color w:val="auto"/>
        </w:rPr>
      </w:pPr>
    </w:p>
    <w:p>
      <w:pPr>
        <w:ind w:right="180" w:firstLine="510"/>
        <w:spacing w:after="0" w:line="282" w:lineRule="auto"/>
        <w:rPr>
          <w:sz w:val="20"/>
          <w:szCs w:val="20"/>
          <w:color w:val="auto"/>
        </w:rPr>
      </w:pPr>
      <w:r>
        <w:rPr>
          <w:rFonts w:ascii="Times New Roman" w:cs="Times New Roman" w:eastAsia="Times New Roman" w:hAnsi="Times New Roman"/>
          <w:sz w:val="18"/>
          <w:szCs w:val="18"/>
          <w:color w:val="auto"/>
        </w:rPr>
        <w:t>Provisions in our charter and other provisions of Delaware law could limit the price that investors are willing to pay in the future for shares of our common stock.</w:t>
      </w:r>
    </w:p>
    <w:p>
      <w:pPr>
        <w:spacing w:after="0" w:line="266"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anticipate paying any cash dividends on our common stock in the foreseeable future; therefore, capital appreciation, if any, of our common stock will be your sole source of gain for the foreseeable future.</w:t>
      </w:r>
    </w:p>
    <w:p>
      <w:pPr>
        <w:spacing w:after="0" w:line="51" w:lineRule="exact"/>
        <w:rPr>
          <w:sz w:val="20"/>
          <w:szCs w:val="20"/>
          <w:color w:val="auto"/>
        </w:rPr>
      </w:pPr>
    </w:p>
    <w:p>
      <w:pPr>
        <w:ind w:right="40" w:firstLine="510"/>
        <w:spacing w:after="0" w:line="261" w:lineRule="auto"/>
        <w:rPr>
          <w:sz w:val="20"/>
          <w:szCs w:val="20"/>
          <w:color w:val="auto"/>
        </w:rPr>
      </w:pPr>
      <w:r>
        <w:rPr>
          <w:rFonts w:ascii="Times New Roman" w:cs="Times New Roman" w:eastAsia="Times New Roman" w:hAnsi="Times New Roman"/>
          <w:sz w:val="18"/>
          <w:szCs w:val="18"/>
          <w:color w:val="auto"/>
        </w:rPr>
        <w:t>We have never declared or paid cash dividends on our common stock. We do not anticipate paying any cash dividends on our common stock in the foreseeable future. We currently intend to retain all available funds and any future earnings to fund our operations. In addition, the terms of any future debt financing arrangement may contain terms prohibiting or limiting the amount of dividends that may be declared or paid on our common stock. As a result, capital appreciation, if any, of our common stock will be your sole source of gain for the foreseeable future.</w:t>
      </w:r>
    </w:p>
    <w:p>
      <w:pPr>
        <w:spacing w:after="0" w:line="284"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51"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will depend, in part, on the research and reports that securities or industry analysts publish about us or our business. If one or more of the analysts who cover us downgrade our common stock or publish inaccurate or unfavorable research about our business, our stock price would likely decline. In addition, if our operating results fail to meet the forecast of analysts, our stock price would likely decline. If one or more of these analysts cease coverage of us or fail to publish reports on us regularly, demand for our common stock could decrease, which might cause our stock price and trading volume to decline.</w:t>
      </w:r>
    </w:p>
    <w:p>
      <w:pPr>
        <w:spacing w:after="0" w:line="287"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or interpretations of, accounting rules and regulations could result in unfavorable accounting charges or require us to change our compensation policies.</w:t>
      </w:r>
    </w:p>
    <w:p>
      <w:pPr>
        <w:spacing w:after="0" w:line="51"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Accounting methods and policies for biopharmaceutical companies, including policies governing revenue recognition, research and development and related expenses and accounting for stock-based compensation, are subject to further review, interpretation and guidance from relevant accounting authorities, including the SEC. Changes to, or interpretations of, accounting methods or policies may require us to reclassify, restate or otherwise change or revise our financial statements, including those contained in this periodic report.</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2" w:right="37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We previously disclosed in our Current Report on Form 8-K, filed with the SEC on March 3, 2022, that Michael Jensen was appointed as Chief Financial Officer, effective March 3, 2022. Gregg Beloff is our principal accounting officer and principal financial officer through May 12, 2022. Effective May 13, 2022 Mr. Jensen is appointed as our principal accounting officer and principal financial officer. Mr. Beloff will continue to serve the Company as a consultant.</w:t>
      </w:r>
    </w:p>
    <w:p>
      <w:pPr>
        <w:spacing w:after="0" w:line="180"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Mr. Jensen, age 46, brings extensive and diversified experience within global pharmaceutical and medical device companies, spanning analytics, financial management, information systems and operations. Mr. Jensen’s prior experience includes serving in financial leadership roles at several privately held biotech and healthcare companies. From March 2020 to March 2022, Mr. Jensen served as the Chief Financial Officer of Intrinsic Therapeutics, Inc., a commercial-stage medical device company focused on delivering treatments to improve surgical efficacy. Previously, Mr. Jensen served as the Chief Financial Officer of Taconic Biosciences, Inc. from March 2019 to March 2020, and the Chief Financial Officer of Injured Workers Pharmacy, LLC from December 2016 to February 2019. Mr. Jensen holds a Master of Economics and Business Administration from Copenhagen Business School and a Bachelor of Business Administration from Towson University.</w:t>
      </w:r>
    </w:p>
    <w:p>
      <w:pPr>
        <w:spacing w:after="0" w:line="189" w:lineRule="exact"/>
        <w:rPr>
          <w:sz w:val="20"/>
          <w:szCs w:val="20"/>
          <w:color w:val="auto"/>
        </w:rPr>
      </w:pPr>
    </w:p>
    <w:p>
      <w:pPr>
        <w:jc w:val="both"/>
        <w:ind w:right="280" w:firstLine="510"/>
        <w:spacing w:after="0" w:line="266" w:lineRule="auto"/>
        <w:rPr>
          <w:sz w:val="20"/>
          <w:szCs w:val="20"/>
          <w:color w:val="auto"/>
        </w:rPr>
      </w:pPr>
      <w:r>
        <w:rPr>
          <w:rFonts w:ascii="Times New Roman" w:cs="Times New Roman" w:eastAsia="Times New Roman" w:hAnsi="Times New Roman"/>
          <w:sz w:val="18"/>
          <w:szCs w:val="18"/>
          <w:color w:val="auto"/>
        </w:rPr>
        <w:t>There are no transactions to which the Company is a party and in which Mr. Jensen has a material interest that are required to be disclosed under Item 404(a) of Regulation S-K. Mr. Jensen has not previously held any positions with the Company and has no family relationship with any directors or executive officers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1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Filed</w:t>
            </w: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Incorporated by</w:t>
            </w: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SEC</w:t>
            </w:r>
          </w:p>
        </w:tc>
        <w:tc>
          <w:tcPr>
            <w:tcW w:w="0" w:type="dxa"/>
            <w:vAlign w:val="bottom"/>
          </w:tcPr>
          <w:p>
            <w:pPr>
              <w:spacing w:after="0"/>
              <w:rPr>
                <w:sz w:val="1"/>
                <w:szCs w:val="1"/>
                <w:color w:val="auto"/>
              </w:rPr>
            </w:pPr>
          </w:p>
        </w:tc>
      </w:tr>
      <w:tr>
        <w:trPr>
          <w:trHeight w:val="148"/>
        </w:trPr>
        <w:tc>
          <w:tcPr>
            <w:tcW w:w="78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6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Reference herein</w:t>
            </w:r>
          </w:p>
        </w:tc>
        <w:tc>
          <w:tcPr>
            <w:tcW w:w="11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Filing</w:t>
            </w: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340" w:type="dxa"/>
            <w:vAlign w:val="bottom"/>
            <w:gridSpan w:val="7"/>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100" w:type="dxa"/>
            <w:vAlign w:val="bottom"/>
            <w:vMerge w:val="restart"/>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with this</w:t>
            </w:r>
          </w:p>
        </w:tc>
        <w:tc>
          <w:tcPr>
            <w:tcW w:w="16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from Form or</w:t>
            </w:r>
          </w:p>
        </w:tc>
        <w:tc>
          <w:tcPr>
            <w:tcW w:w="1160" w:type="dxa"/>
            <w:vAlign w:val="bottom"/>
            <w:gridSpan w:val="2"/>
            <w:vMerge w:val="continue"/>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File/Reg.</w:t>
            </w:r>
          </w:p>
        </w:tc>
        <w:tc>
          <w:tcPr>
            <w:tcW w:w="0" w:type="dxa"/>
            <w:vAlign w:val="bottom"/>
          </w:tcPr>
          <w:p>
            <w:pPr>
              <w:spacing w:after="0"/>
              <w:rPr>
                <w:sz w:val="1"/>
                <w:szCs w:val="1"/>
                <w:color w:val="auto"/>
              </w:rPr>
            </w:pPr>
          </w:p>
        </w:tc>
      </w:tr>
      <w:tr>
        <w:trPr>
          <w:trHeight w:val="173"/>
        </w:trPr>
        <w:tc>
          <w:tcPr>
            <w:tcW w:w="7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4340" w:type="dxa"/>
            <w:vAlign w:val="bottom"/>
            <w:tcBorders>
              <w:bottom w:val="single" w:sz="8" w:color="auto"/>
            </w:tcBorders>
            <w:gridSpan w:val="7"/>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Report</w:t>
            </w:r>
          </w:p>
        </w:tc>
        <w:tc>
          <w:tcPr>
            <w:tcW w:w="80" w:type="dxa"/>
            <w:vAlign w:val="bottom"/>
          </w:tcPr>
          <w:p>
            <w:pPr>
              <w:spacing w:after="0"/>
              <w:rPr>
                <w:sz w:val="15"/>
                <w:szCs w:val="15"/>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Schedule</w:t>
            </w:r>
          </w:p>
        </w:tc>
        <w:tc>
          <w:tcPr>
            <w:tcW w:w="80" w:type="dxa"/>
            <w:vAlign w:val="bottom"/>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120" w:type="dxa"/>
            <w:vAlign w:val="bottom"/>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277"/>
        </w:trPr>
        <w:tc>
          <w:tcPr>
            <w:tcW w:w="7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tcPr>
          <w:p>
            <w:pPr>
              <w:spacing w:after="0"/>
              <w:rPr>
                <w:sz w:val="24"/>
                <w:szCs w:val="24"/>
                <w:color w:val="auto"/>
              </w:rPr>
            </w:pPr>
          </w:p>
        </w:tc>
        <w:tc>
          <w:tcPr>
            <w:tcW w:w="5760" w:type="dxa"/>
            <w:vAlign w:val="bottom"/>
            <w:gridSpan w:val="11"/>
          </w:tcPr>
          <w:p>
            <w:pPr>
              <w:spacing w:after="0"/>
              <w:rPr>
                <w:rFonts w:ascii="Times New Roman" w:cs="Times New Roman" w:eastAsia="Times New Roman" w:hAnsi="Times New Roman"/>
                <w:sz w:val="16"/>
                <w:szCs w:val="16"/>
                <w:color w:val="0000EE"/>
              </w:rPr>
            </w:pPr>
            <w:hyperlink r:id="rId91">
              <w:r>
                <w:rPr>
                  <w:rFonts w:ascii="Times New Roman" w:cs="Times New Roman" w:eastAsia="Times New Roman" w:hAnsi="Times New Roman"/>
                  <w:sz w:val="16"/>
                  <w:szCs w:val="16"/>
                  <w:color w:val="0000EE"/>
                </w:rPr>
                <w:t>Employment Agreement dated as of January 24, 2022, by and between the Company</w:t>
              </w:r>
            </w:hyperlink>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001-37566</w:t>
            </w:r>
          </w:p>
        </w:tc>
        <w:tc>
          <w:tcPr>
            <w:tcW w:w="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03/03/2022</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500" w:type="dxa"/>
            <w:vAlign w:val="bottom"/>
            <w:tcBorders>
              <w:top w:val="single" w:sz="8" w:color="0000EE"/>
            </w:tcBorders>
            <w:gridSpan w:val="8"/>
          </w:tcPr>
          <w:p>
            <w:pPr>
              <w:spacing w:after="0" w:line="183" w:lineRule="exact"/>
              <w:rPr>
                <w:rFonts w:ascii="Times New Roman" w:cs="Times New Roman" w:eastAsia="Times New Roman" w:hAnsi="Times New Roman"/>
                <w:sz w:val="16"/>
                <w:szCs w:val="16"/>
                <w:color w:val="0000EE"/>
              </w:rPr>
            </w:pPr>
            <w:hyperlink r:id="rId91">
              <w:r>
                <w:rPr>
                  <w:rFonts w:ascii="Times New Roman" w:cs="Times New Roman" w:eastAsia="Times New Roman" w:hAnsi="Times New Roman"/>
                  <w:sz w:val="16"/>
                  <w:szCs w:val="16"/>
                  <w:color w:val="0000EE"/>
                </w:rPr>
                <w:t>and Michael Jensen.</w:t>
              </w:r>
            </w:hyperlink>
          </w:p>
        </w:tc>
        <w:tc>
          <w:tcPr>
            <w:tcW w:w="260" w:type="dxa"/>
            <w:vAlign w:val="bottom"/>
            <w:gridSpan w:val="3"/>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31.1</w:t>
            </w:r>
          </w:p>
        </w:tc>
        <w:tc>
          <w:tcPr>
            <w:tcW w:w="100" w:type="dxa"/>
            <w:vAlign w:val="bottom"/>
          </w:tcPr>
          <w:p>
            <w:pPr>
              <w:spacing w:after="0"/>
              <w:rPr>
                <w:sz w:val="24"/>
                <w:szCs w:val="24"/>
                <w:color w:val="auto"/>
              </w:rPr>
            </w:pPr>
          </w:p>
        </w:tc>
        <w:tc>
          <w:tcPr>
            <w:tcW w:w="564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6"/>
                <w:szCs w:val="16"/>
                <w:color w:val="0000EE"/>
              </w:rPr>
              <w:t>Certification of Chief Executive Officer required by Rule 13a-14(a) or Rule 15d-14(a).</w:t>
            </w:r>
          </w:p>
        </w:tc>
        <w:tc>
          <w:tcPr>
            <w:tcW w:w="120" w:type="dxa"/>
            <w:vAlign w:val="bottom"/>
            <w:gridSpan w:val="2"/>
          </w:tcPr>
          <w:p>
            <w:pPr>
              <w:spacing w:after="0"/>
              <w:rPr>
                <w:sz w:val="24"/>
                <w:szCs w:val="24"/>
                <w:color w:val="auto"/>
              </w:rPr>
            </w:pP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X</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31.2</w:t>
            </w:r>
          </w:p>
        </w:tc>
        <w:tc>
          <w:tcPr>
            <w:tcW w:w="100" w:type="dxa"/>
            <w:vAlign w:val="bottom"/>
          </w:tcPr>
          <w:p>
            <w:pPr>
              <w:spacing w:after="0"/>
              <w:rPr>
                <w:sz w:val="24"/>
                <w:szCs w:val="24"/>
                <w:color w:val="auto"/>
              </w:rPr>
            </w:pPr>
          </w:p>
        </w:tc>
        <w:tc>
          <w:tcPr>
            <w:tcW w:w="5760" w:type="dxa"/>
            <w:vAlign w:val="bottom"/>
            <w:gridSpan w:val="11"/>
          </w:tcPr>
          <w:p>
            <w:pPr>
              <w:spacing w:after="0"/>
              <w:rPr>
                <w:sz w:val="20"/>
                <w:szCs w:val="20"/>
                <w:color w:val="auto"/>
              </w:rPr>
            </w:pPr>
            <w:r>
              <w:rPr>
                <w:rFonts w:ascii="Times New Roman" w:cs="Times New Roman" w:eastAsia="Times New Roman" w:hAnsi="Times New Roman"/>
                <w:sz w:val="16"/>
                <w:szCs w:val="16"/>
                <w:color w:val="0000EE"/>
              </w:rPr>
              <w:t>Certification of Interim Chief Financial Officer required by Rule 13a-14(a) or Rule</w:t>
            </w: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X</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380" w:type="dxa"/>
            <w:vAlign w:val="bottom"/>
            <w:tcBorders>
              <w:top w:val="single" w:sz="8" w:color="0000EE"/>
            </w:tcBorders>
            <w:gridSpan w:val="7"/>
          </w:tcPr>
          <w:p>
            <w:pPr>
              <w:spacing w:after="0" w:line="183" w:lineRule="exact"/>
              <w:rPr>
                <w:sz w:val="20"/>
                <w:szCs w:val="20"/>
                <w:color w:val="auto"/>
              </w:rPr>
            </w:pPr>
            <w:r>
              <w:rPr>
                <w:rFonts w:ascii="Times New Roman" w:cs="Times New Roman" w:eastAsia="Times New Roman" w:hAnsi="Times New Roman"/>
                <w:sz w:val="16"/>
                <w:szCs w:val="16"/>
                <w:color w:val="0000EE"/>
              </w:rPr>
              <w:t>15d-14(a).</w:t>
            </w:r>
          </w:p>
        </w:tc>
        <w:tc>
          <w:tcPr>
            <w:tcW w:w="380" w:type="dxa"/>
            <w:vAlign w:val="bottom"/>
            <w:gridSpan w:val="4"/>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37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32.1*</w:t>
            </w:r>
          </w:p>
        </w:tc>
        <w:tc>
          <w:tcPr>
            <w:tcW w:w="100" w:type="dxa"/>
            <w:vAlign w:val="bottom"/>
          </w:tcPr>
          <w:p>
            <w:pPr>
              <w:spacing w:after="0"/>
              <w:rPr>
                <w:sz w:val="24"/>
                <w:szCs w:val="24"/>
                <w:color w:val="auto"/>
              </w:rPr>
            </w:pPr>
          </w:p>
        </w:tc>
        <w:tc>
          <w:tcPr>
            <w:tcW w:w="520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6"/>
                <w:szCs w:val="16"/>
                <w:color w:val="0000EE"/>
              </w:rPr>
              <w:t>Certification required by Rule 13a-14(b) or Rule 15d-14(b) and Section 1350 of</w:t>
            </w:r>
          </w:p>
        </w:tc>
        <w:tc>
          <w:tcPr>
            <w:tcW w:w="560" w:type="dxa"/>
            <w:vAlign w:val="bottom"/>
            <w:gridSpan w:val="5"/>
          </w:tcPr>
          <w:p>
            <w:pPr>
              <w:spacing w:after="0"/>
              <w:rPr>
                <w:sz w:val="24"/>
                <w:szCs w:val="24"/>
                <w:color w:val="auto"/>
              </w:rPr>
            </w:pP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X</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20" w:type="dxa"/>
            <w:vAlign w:val="bottom"/>
            <w:tcBorders>
              <w:bottom w:val="single" w:sz="8" w:color="0000EE"/>
            </w:tcBorders>
            <w:gridSpan w:val="4"/>
          </w:tcPr>
          <w:p>
            <w:pPr>
              <w:spacing w:after="0" w:line="183" w:lineRule="exact"/>
              <w:rPr>
                <w:sz w:val="20"/>
                <w:szCs w:val="20"/>
                <w:color w:val="auto"/>
              </w:rPr>
            </w:pPr>
            <w:r>
              <w:rPr>
                <w:rFonts w:ascii="Times New Roman" w:cs="Times New Roman" w:eastAsia="Times New Roman" w:hAnsi="Times New Roman"/>
                <w:sz w:val="16"/>
                <w:szCs w:val="16"/>
                <w:color w:val="0000EE"/>
              </w:rPr>
              <w:t>Chapter 63 of Title 18 of the United States Code (18 U.S.C. §1350).</w:t>
            </w:r>
          </w:p>
        </w:tc>
        <w:tc>
          <w:tcPr>
            <w:tcW w:w="1340" w:type="dxa"/>
            <w:vAlign w:val="bottom"/>
            <w:gridSpan w:val="7"/>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7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32.2*</w:t>
            </w:r>
          </w:p>
        </w:tc>
        <w:tc>
          <w:tcPr>
            <w:tcW w:w="100" w:type="dxa"/>
            <w:vAlign w:val="bottom"/>
          </w:tcPr>
          <w:p>
            <w:pPr>
              <w:spacing w:after="0"/>
              <w:rPr>
                <w:sz w:val="24"/>
                <w:szCs w:val="24"/>
                <w:color w:val="auto"/>
              </w:rPr>
            </w:pPr>
          </w:p>
        </w:tc>
        <w:tc>
          <w:tcPr>
            <w:tcW w:w="5760" w:type="dxa"/>
            <w:vAlign w:val="bottom"/>
            <w:gridSpan w:val="11"/>
          </w:tcPr>
          <w:p>
            <w:pPr>
              <w:spacing w:after="0"/>
              <w:rPr>
                <w:sz w:val="20"/>
                <w:szCs w:val="20"/>
                <w:color w:val="auto"/>
              </w:rPr>
            </w:pPr>
            <w:r>
              <w:rPr>
                <w:rFonts w:ascii="Times New Roman" w:cs="Times New Roman" w:eastAsia="Times New Roman" w:hAnsi="Times New Roman"/>
                <w:sz w:val="16"/>
                <w:szCs w:val="16"/>
                <w:color w:val="0000EE"/>
              </w:rPr>
              <w:t>Certification required by Rule 13a-14(b) or Rule 15d-14(b) and Section 1350 of</w:t>
            </w: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X</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20" w:type="dxa"/>
            <w:vAlign w:val="bottom"/>
            <w:tcBorders>
              <w:top w:val="single" w:sz="8" w:color="0000EE"/>
              <w:bottom w:val="single" w:sz="8" w:color="0000EE"/>
            </w:tcBorders>
            <w:gridSpan w:val="4"/>
          </w:tcPr>
          <w:p>
            <w:pPr>
              <w:spacing w:after="0" w:line="183" w:lineRule="exact"/>
              <w:rPr>
                <w:sz w:val="20"/>
                <w:szCs w:val="20"/>
                <w:color w:val="auto"/>
              </w:rPr>
            </w:pPr>
            <w:r>
              <w:rPr>
                <w:rFonts w:ascii="Times New Roman" w:cs="Times New Roman" w:eastAsia="Times New Roman" w:hAnsi="Times New Roman"/>
                <w:sz w:val="16"/>
                <w:szCs w:val="16"/>
                <w:color w:val="0000EE"/>
              </w:rPr>
              <w:t>Chapter 63 of Title 18 of the United States Code (18 U.S.C. §1350).</w:t>
            </w:r>
          </w:p>
        </w:tc>
        <w:tc>
          <w:tcPr>
            <w:tcW w:w="760" w:type="dxa"/>
            <w:vAlign w:val="bottom"/>
            <w:tcBorders>
              <w:top w:val="single" w:sz="8" w:color="0000EE"/>
            </w:tcBorders>
          </w:tcPr>
          <w:p>
            <w:pPr>
              <w:spacing w:after="0"/>
              <w:rPr>
                <w:sz w:val="15"/>
                <w:szCs w:val="15"/>
                <w:color w:val="auto"/>
              </w:rPr>
            </w:pPr>
          </w:p>
        </w:tc>
        <w:tc>
          <w:tcPr>
            <w:tcW w:w="580" w:type="dxa"/>
            <w:vAlign w:val="bottom"/>
            <w:gridSpan w:val="6"/>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101.INS</w:t>
            </w:r>
          </w:p>
        </w:tc>
        <w:tc>
          <w:tcPr>
            <w:tcW w:w="100" w:type="dxa"/>
            <w:vAlign w:val="bottom"/>
          </w:tcPr>
          <w:p>
            <w:pPr>
              <w:spacing w:after="0"/>
              <w:rPr>
                <w:sz w:val="24"/>
                <w:szCs w:val="24"/>
                <w:color w:val="auto"/>
              </w:rPr>
            </w:pPr>
          </w:p>
        </w:tc>
        <w:tc>
          <w:tcPr>
            <w:tcW w:w="5760" w:type="dxa"/>
            <w:vAlign w:val="bottom"/>
            <w:gridSpan w:val="11"/>
          </w:tcPr>
          <w:p>
            <w:pPr>
              <w:spacing w:after="0"/>
              <w:rPr>
                <w:sz w:val="20"/>
                <w:szCs w:val="20"/>
                <w:color w:val="auto"/>
              </w:rPr>
            </w:pPr>
            <w:r>
              <w:rPr>
                <w:rFonts w:ascii="Times New Roman" w:cs="Times New Roman" w:eastAsia="Times New Roman" w:hAnsi="Times New Roman"/>
                <w:sz w:val="16"/>
                <w:szCs w:val="16"/>
                <w:color w:val="auto"/>
              </w:rPr>
              <w:t>Inline XBRL Instance Document – the instance document does not appear in the</w:t>
            </w: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X</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760" w:type="dxa"/>
            <w:vAlign w:val="bottom"/>
            <w:gridSpan w:val="11"/>
          </w:tcPr>
          <w:p>
            <w:pPr>
              <w:spacing w:after="0"/>
              <w:rPr>
                <w:sz w:val="20"/>
                <w:szCs w:val="20"/>
                <w:color w:val="auto"/>
              </w:rPr>
            </w:pPr>
            <w:r>
              <w:rPr>
                <w:rFonts w:ascii="Times New Roman" w:cs="Times New Roman" w:eastAsia="Times New Roman" w:hAnsi="Times New Roman"/>
                <w:sz w:val="16"/>
                <w:szCs w:val="16"/>
                <w:color w:val="auto"/>
              </w:rPr>
              <w:t>Interactive Date File because XBRL tags are embedded within the Inline XBRL</w:t>
            </w: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60" w:type="dxa"/>
            <w:vAlign w:val="bottom"/>
            <w:gridSpan w:val="11"/>
          </w:tcPr>
          <w:p>
            <w:pPr>
              <w:spacing w:after="0"/>
              <w:rPr>
                <w:sz w:val="20"/>
                <w:szCs w:val="20"/>
                <w:color w:val="auto"/>
              </w:rPr>
            </w:pPr>
            <w:r>
              <w:rPr>
                <w:rFonts w:ascii="Times New Roman" w:cs="Times New Roman" w:eastAsia="Times New Roman" w:hAnsi="Times New Roman"/>
                <w:sz w:val="16"/>
                <w:szCs w:val="16"/>
                <w:color w:val="auto"/>
              </w:rPr>
              <w:t>document.</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101.SCH</w:t>
            </w:r>
          </w:p>
        </w:tc>
        <w:tc>
          <w:tcPr>
            <w:tcW w:w="100" w:type="dxa"/>
            <w:vAlign w:val="bottom"/>
          </w:tcPr>
          <w:p>
            <w:pPr>
              <w:spacing w:after="0"/>
              <w:rPr>
                <w:sz w:val="24"/>
                <w:szCs w:val="24"/>
                <w:color w:val="auto"/>
              </w:rPr>
            </w:pPr>
          </w:p>
        </w:tc>
        <w:tc>
          <w:tcPr>
            <w:tcW w:w="5760" w:type="dxa"/>
            <w:vAlign w:val="bottom"/>
            <w:gridSpan w:val="11"/>
          </w:tcPr>
          <w:p>
            <w:pPr>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X</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101.CAL</w:t>
            </w:r>
          </w:p>
        </w:tc>
        <w:tc>
          <w:tcPr>
            <w:tcW w:w="100" w:type="dxa"/>
            <w:vAlign w:val="bottom"/>
          </w:tcPr>
          <w:p>
            <w:pPr>
              <w:spacing w:after="0"/>
              <w:rPr>
                <w:sz w:val="24"/>
                <w:szCs w:val="24"/>
                <w:color w:val="auto"/>
              </w:rPr>
            </w:pPr>
          </w:p>
        </w:tc>
        <w:tc>
          <w:tcPr>
            <w:tcW w:w="5760" w:type="dxa"/>
            <w:vAlign w:val="bottom"/>
            <w:gridSpan w:val="11"/>
          </w:tcPr>
          <w:p>
            <w:pPr>
              <w:spacing w:after="0"/>
              <w:rPr>
                <w:sz w:val="20"/>
                <w:szCs w:val="20"/>
                <w:color w:val="auto"/>
              </w:rPr>
            </w:pPr>
            <w:r>
              <w:rPr>
                <w:rFonts w:ascii="Times New Roman" w:cs="Times New Roman" w:eastAsia="Times New Roman" w:hAnsi="Times New Roman"/>
                <w:sz w:val="16"/>
                <w:szCs w:val="16"/>
                <w:color w:val="auto"/>
              </w:rPr>
              <w:t>Inline XBRL Taxonomy Extension Calculation Linkbase Document</w:t>
            </w: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X</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101.DEF</w:t>
            </w:r>
          </w:p>
        </w:tc>
        <w:tc>
          <w:tcPr>
            <w:tcW w:w="100" w:type="dxa"/>
            <w:vAlign w:val="bottom"/>
          </w:tcPr>
          <w:p>
            <w:pPr>
              <w:spacing w:after="0"/>
              <w:rPr>
                <w:sz w:val="24"/>
                <w:szCs w:val="24"/>
                <w:color w:val="auto"/>
              </w:rPr>
            </w:pPr>
          </w:p>
        </w:tc>
        <w:tc>
          <w:tcPr>
            <w:tcW w:w="5760" w:type="dxa"/>
            <w:vAlign w:val="bottom"/>
            <w:gridSpan w:val="11"/>
          </w:tcPr>
          <w:p>
            <w:pPr>
              <w:spacing w:after="0"/>
              <w:rPr>
                <w:sz w:val="20"/>
                <w:szCs w:val="20"/>
                <w:color w:val="auto"/>
              </w:rPr>
            </w:pPr>
            <w:r>
              <w:rPr>
                <w:rFonts w:ascii="Times New Roman" w:cs="Times New Roman" w:eastAsia="Times New Roman" w:hAnsi="Times New Roman"/>
                <w:sz w:val="16"/>
                <w:szCs w:val="16"/>
                <w:color w:val="auto"/>
              </w:rPr>
              <w:t>Inline XBRL Taxonomy Extension Definition Linkbase Document</w:t>
            </w: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X</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101.LAB</w:t>
            </w:r>
          </w:p>
        </w:tc>
        <w:tc>
          <w:tcPr>
            <w:tcW w:w="100" w:type="dxa"/>
            <w:vAlign w:val="bottom"/>
          </w:tcPr>
          <w:p>
            <w:pPr>
              <w:spacing w:after="0"/>
              <w:rPr>
                <w:sz w:val="24"/>
                <w:szCs w:val="24"/>
                <w:color w:val="auto"/>
              </w:rPr>
            </w:pPr>
          </w:p>
        </w:tc>
        <w:tc>
          <w:tcPr>
            <w:tcW w:w="5760" w:type="dxa"/>
            <w:vAlign w:val="bottom"/>
            <w:gridSpan w:val="11"/>
          </w:tcPr>
          <w:p>
            <w:pPr>
              <w:spacing w:after="0"/>
              <w:rPr>
                <w:sz w:val="20"/>
                <w:szCs w:val="20"/>
                <w:color w:val="auto"/>
              </w:rPr>
            </w:pPr>
            <w:r>
              <w:rPr>
                <w:rFonts w:ascii="Times New Roman" w:cs="Times New Roman" w:eastAsia="Times New Roman" w:hAnsi="Times New Roman"/>
                <w:sz w:val="16"/>
                <w:szCs w:val="16"/>
                <w:color w:val="auto"/>
              </w:rPr>
              <w:t>Inline XBRL Taxonomy Extension Label Linkbase Document</w:t>
            </w: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X</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101.PRE</w:t>
            </w:r>
          </w:p>
        </w:tc>
        <w:tc>
          <w:tcPr>
            <w:tcW w:w="100" w:type="dxa"/>
            <w:vAlign w:val="bottom"/>
          </w:tcPr>
          <w:p>
            <w:pPr>
              <w:spacing w:after="0"/>
              <w:rPr>
                <w:sz w:val="24"/>
                <w:szCs w:val="24"/>
                <w:color w:val="auto"/>
              </w:rPr>
            </w:pPr>
          </w:p>
        </w:tc>
        <w:tc>
          <w:tcPr>
            <w:tcW w:w="5760" w:type="dxa"/>
            <w:vAlign w:val="bottom"/>
            <w:gridSpan w:val="11"/>
          </w:tcPr>
          <w:p>
            <w:pPr>
              <w:spacing w:after="0"/>
              <w:rPr>
                <w:sz w:val="20"/>
                <w:szCs w:val="20"/>
                <w:color w:val="auto"/>
              </w:rPr>
            </w:pPr>
            <w:r>
              <w:rPr>
                <w:rFonts w:ascii="Times New Roman" w:cs="Times New Roman" w:eastAsia="Times New Roman" w:hAnsi="Times New Roman"/>
                <w:sz w:val="16"/>
                <w:szCs w:val="16"/>
                <w:color w:val="auto"/>
              </w:rPr>
              <w:t>Inline XBRL Taxonomy Extension Presentation Linkbase Document</w:t>
            </w: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X</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Pr>
          <w:p>
            <w:pPr>
              <w:spacing w:after="0"/>
              <w:rPr>
                <w:sz w:val="24"/>
                <w:szCs w:val="24"/>
                <w:color w:val="auto"/>
              </w:rPr>
            </w:pPr>
          </w:p>
        </w:tc>
        <w:tc>
          <w:tcPr>
            <w:tcW w:w="5760" w:type="dxa"/>
            <w:vAlign w:val="bottom"/>
            <w:gridSpan w:val="11"/>
          </w:tcPr>
          <w:p>
            <w:pPr>
              <w:spacing w:after="0"/>
              <w:rPr>
                <w:sz w:val="20"/>
                <w:szCs w:val="20"/>
                <w:color w:val="auto"/>
              </w:rPr>
            </w:pPr>
            <w:r>
              <w:rPr>
                <w:rFonts w:ascii="Times New Roman" w:cs="Times New Roman" w:eastAsia="Times New Roman" w:hAnsi="Times New Roman"/>
                <w:sz w:val="16"/>
                <w:szCs w:val="16"/>
                <w:color w:val="auto"/>
              </w:rPr>
              <w:t>Cover Page Interactive Data File (embedded within the Inline XBRL document)</w:t>
            </w: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X</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67691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676910" cy="8255"/>
                    </a:xfrm>
                    <a:prstGeom prst="rect">
                      <a:avLst/>
                    </a:prstGeom>
                    <a:noFill/>
                  </pic:spPr>
                </pic:pic>
              </a:graphicData>
            </a:graphic>
          </wp:anchor>
        </w:drawing>
      </w:r>
    </w:p>
    <w:p>
      <w:pPr>
        <w:spacing w:after="0" w:line="202" w:lineRule="exact"/>
        <w:rPr>
          <w:sz w:val="20"/>
          <w:szCs w:val="20"/>
          <w:color w:val="auto"/>
        </w:rPr>
      </w:pPr>
    </w:p>
    <w:p>
      <w:pPr>
        <w:ind w:left="500" w:right="20" w:hanging="492"/>
        <w:spacing w:after="0" w:line="275" w:lineRule="auto"/>
        <w:tabs>
          <w:tab w:leader="none" w:pos="50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certifications attached as Exhibit 32.1 and Exhibit 32.2 that accompany this Quarterly Report on Form 10-Q are not deemed filed with the Securities and Exchange Commission and are not to be incorporated by reference into any filing of Synlogic, Inc. under the Securities Act of 1933, as amended, or the Securities Exchange Act of 1934, as amended (whether made before or after the date of such Form 10-Q), irrespective of any general incorporation language contained in such filing.</w:t>
      </w:r>
    </w:p>
    <w:p>
      <w:pPr>
        <w:spacing w:after="0" w:line="250" w:lineRule="exact"/>
        <w:rPr>
          <w:sz w:val="20"/>
          <w:szCs w:val="20"/>
          <w:color w:val="auto"/>
        </w:rPr>
      </w:pPr>
    </w:p>
    <w:p>
      <w:pPr>
        <w:ind w:left="500" w:hanging="492"/>
        <w:spacing w:after="0"/>
        <w:tabs>
          <w:tab w:leader="none" w:pos="50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Management contract or compensatory plans or agreements.</w:t>
      </w: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60" w:name="page61"/>
    <w:bookmarkEnd w:id="6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right="320" w:firstLine="51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12, 2022</w:t>
      </w:r>
    </w:p>
    <w:p>
      <w:pPr>
        <w:spacing w:after="0" w:line="225"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SYNLOGIC, INC.</w:t>
      </w:r>
    </w:p>
    <w:p>
      <w:pPr>
        <w:spacing w:after="0" w:line="252" w:lineRule="exact"/>
        <w:rPr>
          <w:sz w:val="20"/>
          <w:szCs w:val="20"/>
          <w:color w:val="auto"/>
        </w:rPr>
      </w:pPr>
    </w:p>
    <w:p>
      <w:pPr>
        <w:ind w:left="6940"/>
        <w:spacing w:after="0"/>
        <w:tabs>
          <w:tab w:leader="none" w:pos="7380" w:val="left"/>
        </w:tabs>
        <w:rPr>
          <w:sz w:val="20"/>
          <w:szCs w:val="20"/>
          <w:color w:val="auto"/>
        </w:rPr>
      </w:pPr>
      <w:r>
        <w:rPr>
          <w:rFonts w:ascii="Times New Roman" w:cs="Times New Roman" w:eastAsia="Times New Roman" w:hAnsi="Times New Roman"/>
          <w:sz w:val="18"/>
          <w:szCs w:val="18"/>
          <w:color w:val="auto"/>
        </w:rPr>
        <w:t>By:</w:t>
        <w:tab/>
        <w:t>/</w:t>
      </w:r>
      <w:r>
        <w:rPr>
          <w:rFonts w:ascii="Times New Roman" w:cs="Times New Roman" w:eastAsia="Times New Roman" w:hAnsi="Times New Roman"/>
          <w:sz w:val="12"/>
          <w:szCs w:val="12"/>
          <w:color w:val="auto"/>
        </w:rPr>
        <w:t>s</w:t>
      </w:r>
      <w:r>
        <w:rPr>
          <w:rFonts w:ascii="Times New Roman" w:cs="Times New Roman" w:eastAsia="Times New Roman" w:hAnsi="Times New Roman"/>
          <w:sz w:val="18"/>
          <w:szCs w:val="18"/>
          <w:color w:val="auto"/>
        </w:rPr>
        <w:t>/ AOIFE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Aoife Brennan</w:t>
      </w:r>
    </w:p>
    <w:p>
      <w:pPr>
        <w:spacing w:after="0" w:line="23"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50" w:lineRule="exact"/>
        <w:rPr>
          <w:sz w:val="20"/>
          <w:szCs w:val="20"/>
          <w:color w:val="auto"/>
        </w:rPr>
      </w:pPr>
    </w:p>
    <w:p>
      <w:pPr>
        <w:ind w:left="6940"/>
        <w:spacing w:after="0"/>
        <w:tabs>
          <w:tab w:leader="none" w:pos="7380" w:val="left"/>
        </w:tabs>
        <w:rPr>
          <w:sz w:val="20"/>
          <w:szCs w:val="20"/>
          <w:color w:val="auto"/>
        </w:rPr>
      </w:pPr>
      <w:r>
        <w:rPr>
          <w:rFonts w:ascii="Times New Roman" w:cs="Times New Roman" w:eastAsia="Times New Roman" w:hAnsi="Times New Roman"/>
          <w:sz w:val="18"/>
          <w:szCs w:val="18"/>
          <w:color w:val="auto"/>
        </w:rPr>
        <w:t>By:</w:t>
        <w:tab/>
        <w:t>/s/ GREGG BELOFF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Gregg Beloff</w:t>
      </w:r>
    </w:p>
    <w:p>
      <w:pPr>
        <w:spacing w:after="0" w:line="23"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Interim Chief Financial Officer</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7"/>
          <w:szCs w:val="17"/>
          <w:color w:val="auto"/>
        </w:rPr>
        <w:t>(Principal Financial Officer and Principal Accounting</w:t>
      </w:r>
    </w:p>
    <w:p>
      <w:pPr>
        <w:spacing w:after="0" w:line="21"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Officer)</w:t>
      </w: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180"/>
          </w:cols>
          <w:pgMar w:left="320" w:top="576" w:right="39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RULES 13a-14(a) OR 15d-14(a) UNDER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Aoife Brennan, certify that:</w:t>
      </w:r>
    </w:p>
    <w:p>
      <w:pPr>
        <w:spacing w:after="0" w:line="225" w:lineRule="exact"/>
        <w:rPr>
          <w:sz w:val="20"/>
          <w:szCs w:val="20"/>
          <w:color w:val="auto"/>
        </w:rPr>
      </w:pPr>
    </w:p>
    <w:p>
      <w:pPr>
        <w:ind w:left="500" w:hanging="492"/>
        <w:spacing w:after="0"/>
        <w:tabs>
          <w:tab w:leader="none" w:pos="5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Synlogic, Inc. (the “registrant”);</w:t>
      </w:r>
    </w:p>
    <w:p>
      <w:pPr>
        <w:spacing w:after="0" w:line="225" w:lineRule="exact"/>
        <w:rPr>
          <w:rFonts w:ascii="Times New Roman" w:cs="Times New Roman" w:eastAsia="Times New Roman" w:hAnsi="Times New Roman"/>
          <w:sz w:val="18"/>
          <w:szCs w:val="18"/>
          <w:color w:val="auto"/>
        </w:rPr>
      </w:pPr>
    </w:p>
    <w:p>
      <w:pPr>
        <w:jc w:val="both"/>
        <w:ind w:left="500" w:right="260" w:hanging="492"/>
        <w:spacing w:after="0" w:line="266" w:lineRule="auto"/>
        <w:tabs>
          <w:tab w:leader="none" w:pos="5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00" w:right="220" w:hanging="492"/>
        <w:spacing w:after="0" w:line="282" w:lineRule="auto"/>
        <w:tabs>
          <w:tab w:leader="none" w:pos="5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00" w:right="260" w:hanging="492"/>
        <w:spacing w:after="0" w:line="266" w:lineRule="auto"/>
        <w:tabs>
          <w:tab w:leader="none" w:pos="5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00" w:right="20" w:hanging="493"/>
        <w:spacing w:after="0" w:line="266" w:lineRule="auto"/>
        <w:tabs>
          <w:tab w:leader="none" w:pos="1000" w:val="left"/>
        </w:tabs>
        <w:numPr>
          <w:ilvl w:val="2"/>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40" w:right="320" w:hanging="573"/>
        <w:spacing w:after="0" w:line="266" w:lineRule="auto"/>
        <w:tabs>
          <w:tab w:leader="none" w:pos="104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00" w:right="500" w:hanging="493"/>
        <w:spacing w:after="0" w:line="282" w:lineRule="auto"/>
        <w:tabs>
          <w:tab w:leader="none" w:pos="1000" w:val="left"/>
        </w:tabs>
        <w:numPr>
          <w:ilvl w:val="2"/>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00" w:right="20" w:hanging="493"/>
        <w:spacing w:after="0" w:line="266" w:lineRule="auto"/>
        <w:tabs>
          <w:tab w:leader="none" w:pos="1000" w:val="left"/>
        </w:tabs>
        <w:numPr>
          <w:ilvl w:val="2"/>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00" w:right="160" w:hanging="492"/>
        <w:spacing w:after="0" w:line="282" w:lineRule="auto"/>
        <w:tabs>
          <w:tab w:leader="none" w:pos="5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00" w:right="740" w:hanging="493"/>
        <w:spacing w:after="0" w:line="282" w:lineRule="auto"/>
        <w:tabs>
          <w:tab w:leader="none" w:pos="1000" w:val="left"/>
        </w:tabs>
        <w:numPr>
          <w:ilvl w:val="2"/>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00" w:right="440" w:hanging="493"/>
        <w:spacing w:after="0" w:line="282" w:lineRule="auto"/>
        <w:tabs>
          <w:tab w:leader="none" w:pos="1000" w:val="left"/>
        </w:tabs>
        <w:numPr>
          <w:ilvl w:val="2"/>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12, 2022</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AOIFE BRENNAN</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Aoife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56616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347" w:right="3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RULES 13a-14(a) OR 15d-14(a) UNDER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Gregg Beloff, certify that:</w:t>
      </w:r>
    </w:p>
    <w:p>
      <w:pPr>
        <w:spacing w:after="0" w:line="225" w:lineRule="exact"/>
        <w:rPr>
          <w:sz w:val="20"/>
          <w:szCs w:val="20"/>
          <w:color w:val="auto"/>
        </w:rPr>
      </w:pPr>
    </w:p>
    <w:p>
      <w:pPr>
        <w:ind w:left="500" w:hanging="492"/>
        <w:spacing w:after="0"/>
        <w:tabs>
          <w:tab w:leader="none" w:pos="5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Synlogic, Inc. (the “registrant”);</w:t>
      </w:r>
    </w:p>
    <w:p>
      <w:pPr>
        <w:spacing w:after="0" w:line="225" w:lineRule="exact"/>
        <w:rPr>
          <w:rFonts w:ascii="Times New Roman" w:cs="Times New Roman" w:eastAsia="Times New Roman" w:hAnsi="Times New Roman"/>
          <w:sz w:val="18"/>
          <w:szCs w:val="18"/>
          <w:color w:val="auto"/>
        </w:rPr>
      </w:pPr>
    </w:p>
    <w:p>
      <w:pPr>
        <w:jc w:val="both"/>
        <w:ind w:left="500" w:right="260" w:hanging="492"/>
        <w:spacing w:after="0" w:line="266" w:lineRule="auto"/>
        <w:tabs>
          <w:tab w:leader="none" w:pos="5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00" w:right="220" w:hanging="492"/>
        <w:spacing w:after="0" w:line="282" w:lineRule="auto"/>
        <w:tabs>
          <w:tab w:leader="none" w:pos="5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00" w:right="260" w:hanging="492"/>
        <w:spacing w:after="0" w:line="266" w:lineRule="auto"/>
        <w:tabs>
          <w:tab w:leader="none" w:pos="5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00" w:right="20" w:hanging="493"/>
        <w:spacing w:after="0" w:line="266" w:lineRule="auto"/>
        <w:tabs>
          <w:tab w:leader="none" w:pos="1000"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40" w:right="320" w:hanging="573"/>
        <w:spacing w:after="0" w:line="266" w:lineRule="auto"/>
        <w:tabs>
          <w:tab w:leader="none" w:pos="104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00" w:right="500" w:hanging="493"/>
        <w:spacing w:after="0" w:line="282" w:lineRule="auto"/>
        <w:tabs>
          <w:tab w:leader="none" w:pos="1000"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00" w:right="20" w:hanging="493"/>
        <w:spacing w:after="0" w:line="266" w:lineRule="auto"/>
        <w:tabs>
          <w:tab w:leader="none" w:pos="1000"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00" w:right="160" w:hanging="492"/>
        <w:spacing w:after="0" w:line="282" w:lineRule="auto"/>
        <w:tabs>
          <w:tab w:leader="none" w:pos="5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00" w:right="740" w:hanging="493"/>
        <w:spacing w:after="0" w:line="282" w:lineRule="auto"/>
        <w:tabs>
          <w:tab w:leader="none" w:pos="1000"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00" w:right="440" w:hanging="493"/>
        <w:spacing w:after="0" w:line="282" w:lineRule="auto"/>
        <w:tabs>
          <w:tab w:leader="none" w:pos="1000"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12, 2022</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GREGG BELOFF</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Gregg Beloff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56616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Interim 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p>
    <w:p>
      <w:pPr>
        <w:sectPr>
          <w:pgSz w:w="11900" w:h="16838" w:orient="portrait"/>
          <w:cols w:equalWidth="0" w:num="1">
            <w:col w:w="11240"/>
          </w:cols>
          <w:pgMar w:left="320" w:top="347"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60" w:firstLine="51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Synlogic, Inc. (the “Company”) on Form 10-Q for the period ended March 31, 2022 as filed with the Securities and Exchange Commission on the date hereof (the “Report”), I, Aoife Brennan, President and Chief Executive Officer of the Company, certify, pursuant to 18 U.S.C. Section 1350, as adopted pursuant to Section 906 of the Sarbanes-Oxley Act of 2002, to my knowledge that:</w:t>
      </w:r>
    </w:p>
    <w:p>
      <w:pPr>
        <w:spacing w:after="0" w:line="68" w:lineRule="exact"/>
        <w:rPr>
          <w:sz w:val="20"/>
          <w:szCs w:val="20"/>
          <w:color w:val="auto"/>
        </w:rPr>
      </w:pPr>
    </w:p>
    <w:p>
      <w:pPr>
        <w:ind w:left="1000" w:hanging="493"/>
        <w:spacing w:after="0"/>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1000" w:right="560" w:hanging="493"/>
        <w:spacing w:after="0" w:line="282" w:lineRule="auto"/>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AOIFE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8869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Aoife Brennan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12, 2022</w:t>
      </w:r>
    </w:p>
    <w:p>
      <w:pPr>
        <w:spacing w:after="0" w:line="117" w:lineRule="exact"/>
        <w:rPr>
          <w:sz w:val="20"/>
          <w:szCs w:val="20"/>
          <w:color w:val="auto"/>
        </w:rPr>
      </w:pPr>
    </w:p>
    <w:p>
      <w:pPr>
        <w:ind w:right="360" w:firstLine="51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117"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00" w:firstLine="51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Synlogic, Inc. (the “Company”) on Form 10-Q for the period ended March 31, 2022 as filed with the Securities and Exchange Commission on the date hereof (the “Report”), I, Gregg Beloff, Interim Chief Financial Officer of the Company, certify, pursuant to 18 U.S.C. Section 1350, as adopted pursuant to Section 906 of the Sarbanes-Oxley Act of 2002, to my knowledge that:</w:t>
      </w:r>
    </w:p>
    <w:p>
      <w:pPr>
        <w:spacing w:after="0" w:line="68" w:lineRule="exact"/>
        <w:rPr>
          <w:sz w:val="20"/>
          <w:szCs w:val="20"/>
          <w:color w:val="auto"/>
        </w:rPr>
      </w:pPr>
    </w:p>
    <w:p>
      <w:pPr>
        <w:ind w:left="1000" w:hanging="493"/>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1000" w:right="560" w:hanging="493"/>
        <w:spacing w:after="0" w:line="282" w:lineRule="auto"/>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GREGG BELOFF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8869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Gregg Beloff</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Interim 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12, 2022</w:t>
      </w:r>
    </w:p>
    <w:p>
      <w:pPr>
        <w:spacing w:after="0" w:line="117" w:lineRule="exact"/>
        <w:rPr>
          <w:sz w:val="20"/>
          <w:szCs w:val="20"/>
          <w:color w:val="auto"/>
        </w:rPr>
      </w:pPr>
    </w:p>
    <w:p>
      <w:pPr>
        <w:ind w:right="360" w:firstLine="51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1)"/>
      <w:numFmt w:val="decimal"/>
      <w:start w:val="2"/>
    </w:lvl>
  </w:abstractNum>
  <w:abstractNum w:abstractNumId="4">
    <w:nsid w:val="2CA88611"/>
    <w:multiLevelType w:val="hybridMultilevel"/>
    <w:lvl w:ilvl="0">
      <w:lvlJc w:val="left"/>
      <w:lvlText w:val="(%1)"/>
      <w:numFmt w:val="decimal"/>
      <w:start w:val="3"/>
    </w:lvl>
  </w:abstractNum>
  <w:abstractNum w:abstractNumId="5">
    <w:nsid w:val="836C40E"/>
    <w:multiLevelType w:val="hybridMultilevel"/>
    <w:lvl w:ilvl="0">
      <w:lvlJc w:val="left"/>
      <w:lvlText w:val="(%1)"/>
      <w:numFmt w:val="decimal"/>
      <w:start w:val="4"/>
    </w:lvl>
  </w:abstractNum>
  <w:abstractNum w:abstractNumId="6">
    <w:nsid w:val="2901D82"/>
    <w:multiLevelType w:val="hybridMultilevel"/>
    <w:lvl w:ilvl="0">
      <w:lvlJc w:val="left"/>
      <w:lvlText w:val="(%1)"/>
      <w:numFmt w:val="decimal"/>
      <w:start w:val="5"/>
    </w:lvl>
  </w:abstractNum>
  <w:abstractNum w:abstractNumId="7">
    <w:nsid w:val="3A95F874"/>
    <w:multiLevelType w:val="hybridMultilevel"/>
    <w:lvl w:ilvl="0">
      <w:lvlJc w:val="left"/>
      <w:lvlText w:val="(%1)"/>
      <w:numFmt w:val="decimal"/>
      <w:start w:val="6"/>
    </w:lvl>
  </w:abstractNum>
  <w:abstractNum w:abstractNumId="8">
    <w:nsid w:val="8138641"/>
    <w:multiLevelType w:val="hybridMultilevel"/>
    <w:lvl w:ilvl="0">
      <w:lvlJc w:val="left"/>
      <w:lvlText w:val="(%1)"/>
      <w:numFmt w:val="decimal"/>
      <w:start w:val="7"/>
    </w:lvl>
  </w:abstractNum>
  <w:abstractNum w:abstractNumId="9">
    <w:nsid w:val="1E7FF521"/>
    <w:multiLevelType w:val="hybridMultilevel"/>
    <w:lvl w:ilvl="0">
      <w:lvlJc w:val="left"/>
      <w:lvlText w:val="(%1)"/>
      <w:numFmt w:val="decimal"/>
      <w:start w:val="8"/>
    </w:lvl>
  </w:abstractNum>
  <w:abstractNum w:abstractNumId="10">
    <w:nsid w:val="7C3DBD3D"/>
    <w:multiLevelType w:val="hybridMultilevel"/>
    <w:lvl w:ilvl="0">
      <w:lvlJc w:val="left"/>
      <w:lvlText w:val="(%1)"/>
      <w:numFmt w:val="decimal"/>
      <w:start w:val="9"/>
    </w:lvl>
  </w:abstractNum>
  <w:abstractNum w:abstractNumId="11">
    <w:nsid w:val="737B8DDC"/>
    <w:multiLevelType w:val="hybridMultilevel"/>
    <w:lvl w:ilvl="0">
      <w:lvlJc w:val="left"/>
      <w:lvlText w:val="(%1)"/>
      <w:numFmt w:val="decimal"/>
      <w:start w:val="10"/>
    </w:lvl>
  </w:abstractNum>
  <w:abstractNum w:abstractNumId="12">
    <w:nsid w:val="6CEAF087"/>
    <w:multiLevelType w:val="hybridMultilevel"/>
    <w:lvl w:ilvl="0">
      <w:lvlJc w:val="left"/>
      <w:lvlText w:val="(%1)"/>
      <w:numFmt w:val="decimal"/>
      <w:start w:val="11"/>
    </w:lvl>
  </w:abstractNum>
  <w:abstractNum w:abstractNumId="13">
    <w:nsid w:val="22221A70"/>
    <w:multiLevelType w:val="hybridMultilevel"/>
    <w:lvl w:ilvl="0">
      <w:lvlJc w:val="left"/>
      <w:lvlText w:val="(%1)"/>
      <w:numFmt w:val="decimal"/>
      <w:start w:val="12"/>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
      <w:numFmt w:val="bullet"/>
      <w:start w:val="1"/>
    </w:lvl>
  </w:abstractNum>
  <w:abstractNum w:abstractNumId="21">
    <w:nsid w:val="3804823E"/>
    <w:multiLevelType w:val="hybridMultilevel"/>
    <w:lvl w:ilvl="0">
      <w:lvlJc w:val="left"/>
      <w:lvlText w:val="•"/>
      <w:numFmt w:val="bullet"/>
      <w:start w:val="1"/>
    </w:lvl>
  </w:abstractNum>
  <w:abstractNum w:abstractNumId="22">
    <w:nsid w:val="77465F01"/>
    <w:multiLevelType w:val="hybridMultilevel"/>
    <w:lvl w:ilvl="0">
      <w:lvlJc w:val="left"/>
      <w:lvlText w:val="•"/>
      <w:numFmt w:val="bullet"/>
      <w:start w:val="1"/>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
      <w:numFmt w:val="bullet"/>
      <w:start w:val="1"/>
    </w:lvl>
  </w:abstractNum>
  <w:abstractNum w:abstractNumId="25">
    <w:nsid w:val="2463B9EA"/>
    <w:multiLevelType w:val="hybridMultilevel"/>
    <w:lvl w:ilvl="0">
      <w:lvlJc w:val="left"/>
      <w:lvlText w:val="•"/>
      <w:numFmt w:val="bullet"/>
      <w:start w:val="1"/>
    </w:lvl>
  </w:abstractNum>
  <w:abstractNum w:abstractNumId="26">
    <w:nsid w:val="5E884ADC"/>
    <w:multiLevelType w:val="hybridMultilevel"/>
    <w:lvl w:ilvl="0">
      <w:lvlJc w:val="left"/>
      <w:lvlText w:val="•"/>
      <w:numFmt w:val="bullet"/>
      <w:start w:val="1"/>
    </w:lvl>
  </w:abstractNum>
  <w:abstractNum w:abstractNumId="27">
    <w:nsid w:val="51EAD36B"/>
    <w:multiLevelType w:val="hybridMultilevel"/>
    <w:lvl w:ilvl="0">
      <w:lvlJc w:val="left"/>
      <w:lvlText w:val="•"/>
      <w:numFmt w:val="bullet"/>
      <w:start w:val="1"/>
    </w:lvl>
  </w:abstractNum>
  <w:abstractNum w:abstractNumId="28">
    <w:nsid w:val="2D517796"/>
    <w:multiLevelType w:val="hybridMultilevel"/>
    <w:lvl w:ilvl="0">
      <w:lvlJc w:val="left"/>
      <w:lvlText w:val="•"/>
      <w:numFmt w:val="bullet"/>
      <w:start w:val="1"/>
    </w:lvl>
  </w:abstractNum>
  <w:abstractNum w:abstractNumId="29">
    <w:nsid w:val="580BD78F"/>
    <w:multiLevelType w:val="hybridMultilevel"/>
    <w:lvl w:ilvl="0">
      <w:lvlJc w:val="left"/>
      <w:lvlText w:val="•"/>
      <w:numFmt w:val="bullet"/>
      <w:start w:val="1"/>
    </w:lvl>
  </w:abstractNum>
  <w:abstractNum w:abstractNumId="30">
    <w:nsid w:val="153EA438"/>
    <w:multiLevelType w:val="hybridMultilevel"/>
    <w:lvl w:ilvl="0">
      <w:lvlJc w:val="left"/>
      <w:lvlText w:val="•"/>
      <w:numFmt w:val="bullet"/>
      <w:start w:val="1"/>
    </w:lvl>
  </w:abstractNum>
  <w:abstractNum w:abstractNumId="31">
    <w:nsid w:val="3855585C"/>
    <w:multiLevelType w:val="hybridMultilevel"/>
    <w:lvl w:ilvl="0">
      <w:lvlJc w:val="left"/>
      <w:lvlText w:val="•"/>
      <w:numFmt w:val="bullet"/>
      <w:start w:val="1"/>
    </w:lvl>
  </w:abstractNum>
  <w:abstractNum w:abstractNumId="32">
    <w:nsid w:val="70A64E2A"/>
    <w:multiLevelType w:val="hybridMultilevel"/>
    <w:lvl w:ilvl="0">
      <w:lvlJc w:val="left"/>
      <w:lvlText w:val="•"/>
      <w:numFmt w:val="bullet"/>
      <w:start w:val="1"/>
    </w:lvl>
  </w:abstractNum>
  <w:abstractNum w:abstractNumId="33">
    <w:nsid w:val="6A2342EC"/>
    <w:multiLevelType w:val="hybridMultilevel"/>
    <w:lvl w:ilvl="0">
      <w:lvlJc w:val="left"/>
      <w:lvlText w:val="•"/>
      <w:numFmt w:val="bullet"/>
      <w:start w:val="1"/>
    </w:lvl>
  </w:abstractNum>
  <w:abstractNum w:abstractNumId="34">
    <w:nsid w:val="2A487CB0"/>
    <w:multiLevelType w:val="hybridMultilevel"/>
    <w:lvl w:ilvl="0">
      <w:lvlJc w:val="left"/>
      <w:lvlText w:val="•"/>
      <w:numFmt w:val="bullet"/>
      <w:start w:val="1"/>
    </w:lvl>
  </w:abstractNum>
  <w:abstractNum w:abstractNumId="35">
    <w:nsid w:val="1D4ED43B"/>
    <w:multiLevelType w:val="hybridMultilevel"/>
    <w:lvl w:ilvl="0">
      <w:lvlJc w:val="left"/>
      <w:lvlText w:val="•"/>
      <w:numFmt w:val="bullet"/>
      <w:start w:val="1"/>
    </w:lvl>
  </w:abstractNum>
  <w:abstractNum w:abstractNumId="36">
    <w:nsid w:val="725A06FB"/>
    <w:multiLevelType w:val="hybridMultilevel"/>
    <w:lvl w:ilvl="0">
      <w:lvlJc w:val="left"/>
      <w:lvlText w:val="•"/>
      <w:numFmt w:val="bullet"/>
      <w:start w:val="1"/>
    </w:lvl>
  </w:abstractNum>
  <w:abstractNum w:abstractNumId="37">
    <w:nsid w:val="2CD89A32"/>
    <w:multiLevelType w:val="hybridMultilevel"/>
    <w:lvl w:ilvl="0">
      <w:lvlJc w:val="left"/>
      <w:lvlText w:val="(%1)"/>
      <w:numFmt w:val="decimal"/>
      <w:start w:val="1"/>
    </w:lvl>
  </w:abstractNum>
  <w:abstractNum w:abstractNumId="38">
    <w:nsid w:val="57E4CCAF"/>
    <w:multiLevelType w:val="hybridMultilevel"/>
    <w:lvl w:ilvl="0">
      <w:lvlJc w:val="left"/>
      <w:lvlText w:val="•"/>
      <w:numFmt w:val="bullet"/>
      <w:start w:val="1"/>
    </w:lvl>
  </w:abstractNum>
  <w:abstractNum w:abstractNumId="39">
    <w:nsid w:val="7A6D8D3C"/>
    <w:multiLevelType w:val="hybridMultilevel"/>
    <w:lvl w:ilvl="0">
      <w:lvlJc w:val="left"/>
      <w:lvlText w:val="•"/>
      <w:numFmt w:val="bullet"/>
      <w:start w:val="1"/>
    </w:lvl>
  </w:abstractNum>
  <w:abstractNum w:abstractNumId="40">
    <w:nsid w:val="4B588F54"/>
    <w:multiLevelType w:val="hybridMultilevel"/>
    <w:lvl w:ilvl="0">
      <w:lvlJc w:val="left"/>
      <w:lvlText w:val="•"/>
      <w:numFmt w:val="bullet"/>
      <w:start w:val="1"/>
    </w:lvl>
  </w:abstractNum>
  <w:abstractNum w:abstractNumId="41">
    <w:nsid w:val="542289EC"/>
    <w:multiLevelType w:val="hybridMultilevel"/>
    <w:lvl w:ilvl="0">
      <w:lvlJc w:val="left"/>
      <w:lvlText w:val="(*)"/>
      <w:numFmt w:val="bullet"/>
      <w:start w:val="1"/>
    </w:lvl>
  </w:abstractNum>
  <w:abstractNum w:abstractNumId="42">
    <w:nsid w:val="6DE91B18"/>
    <w:multiLevelType w:val="hybridMultilevel"/>
    <w:lvl w:ilvl="0">
      <w:lvlJc w:val="left"/>
      <w:lvlText w:val="#"/>
      <w:numFmt w:val="bullet"/>
      <w:start w:val="1"/>
    </w:lvl>
  </w:abstractNum>
  <w:abstractNum w:abstractNumId="43">
    <w:nsid w:val="38437FD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44">
    <w:nsid w:val="7644A45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45">
    <w:nsid w:val="32FFF902"/>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abstractNum w:abstractNumId="46">
    <w:nsid w:val="684A481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47">
    <w:nsid w:val="579478F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48">
    <w:nsid w:val="749ABB43"/>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abstractNum w:abstractNumId="49">
    <w:nsid w:val="3DC240FB"/>
    <w:multiLevelType w:val="hybridMultilevel"/>
    <w:lvl w:ilvl="0">
      <w:lvlJc w:val="left"/>
      <w:lvlText w:val="(%1)"/>
      <w:numFmt w:val="decimal"/>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91" Type="http://schemas.openxmlformats.org/officeDocument/2006/relationships/hyperlink" Target="https://www.sec.gov/ix?doc=/Archives/edgar/data/1527599/000119312522064445/d291506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2022-05-12T06:15:15Z</dcterms:created>
  <dcterms:modified xsi:type="dcterms:W3CDTF">2022-05-12T06:15:15Z</dcterms:modified>
</cp:coreProperties>
</file>