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147955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89" w:lineRule="exact"/>
        <w:rPr>
          <w:sz w:val="24"/>
          <w:szCs w:val="24"/>
          <w:color w:val="auto"/>
        </w:rPr>
      </w:pPr>
    </w:p>
    <w:p>
      <w:pPr>
        <w:ind w:left="520" w:right="220" w:hanging="499"/>
        <w:spacing w:after="0" w:line="238"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ind w:left="520" w:hanging="499"/>
        <w:spacing w:after="0" w:line="198"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w:t>
      </w:r>
    </w:p>
    <w:p>
      <w:pPr>
        <w:spacing w:after="0" w:line="183" w:lineRule="exact"/>
        <w:rPr>
          <w:sz w:val="24"/>
          <w:szCs w:val="24"/>
          <w:color w:val="auto"/>
        </w:rPr>
      </w:pPr>
    </w:p>
    <w:p>
      <w:pPr>
        <w:ind w:left="520"/>
        <w:spacing w:after="0"/>
        <w:tabs>
          <w:tab w:leader="none" w:pos="5680" w:val="left"/>
        </w:tabs>
        <w:rPr>
          <w:sz w:val="20"/>
          <w:szCs w:val="20"/>
          <w:color w:val="auto"/>
        </w:rPr>
      </w:pPr>
      <w:r>
        <w:rPr>
          <w:rFonts w:ascii="Times New Roman" w:cs="Times New Roman" w:eastAsia="Times New Roman" w:hAnsi="Times New Roman"/>
          <w:sz w:val="22"/>
          <w:szCs w:val="22"/>
          <w:b w:val="1"/>
          <w:bCs w:val="1"/>
          <w:color w:val="auto"/>
        </w:rPr>
        <w:t>1934 FOR THE TRANSITION PERIOD FROM</w:t>
      </w:r>
      <w:r>
        <w:rPr>
          <w:sz w:val="20"/>
          <w:szCs w:val="20"/>
          <w:color w:val="auto"/>
        </w:rPr>
        <w:tab/>
      </w:r>
      <w:r>
        <w:rPr>
          <w:rFonts w:ascii="Times New Roman" w:cs="Times New Roman" w:eastAsia="Times New Roman" w:hAnsi="Times New Roman"/>
          <w:sz w:val="22"/>
          <w:szCs w:val="22"/>
          <w:b w:val="1"/>
          <w:bCs w:val="1"/>
          <w:color w:val="auto"/>
        </w:rPr>
        <w:t>TO</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148590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0" w:lineRule="exact"/>
        <w:rPr>
          <w:sz w:val="24"/>
          <w:szCs w:val="24"/>
          <w:color w:val="auto"/>
        </w:rPr>
      </w:pPr>
    </w:p>
    <w:tbl>
      <w:tblPr>
        <w:tblLayout w:type="fixed"/>
        <w:tblInd w:w="10" w:type="dxa"/>
        <w:tblCellMar>
          <w:top w:w="0" w:type="dxa"/>
          <w:left w:w="0" w:type="dxa"/>
          <w:bottom w:w="0" w:type="dxa"/>
          <w:right w:w="0" w:type="dxa"/>
        </w:tblCellMar>
      </w:tblPr>
      <w:tr>
        <w:trPr>
          <w:trHeight w:val="502"/>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380"/>
              <w:spacing w:after="0"/>
              <w:rPr>
                <w:sz w:val="20"/>
                <w:szCs w:val="20"/>
                <w:color w:val="auto"/>
              </w:rPr>
            </w:pPr>
            <w:r>
              <w:rPr>
                <w:rFonts w:ascii="Times New Roman" w:cs="Times New Roman" w:eastAsia="Times New Roman" w:hAnsi="Times New Roman"/>
                <w:sz w:val="43"/>
                <w:szCs w:val="43"/>
                <w:b w:val="1"/>
                <w:bCs w:val="1"/>
                <w:color w:val="auto"/>
              </w:rPr>
              <w:t>SYNLOGIC, INC.</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560" w:type="dxa"/>
            <w:vAlign w:val="bottom"/>
          </w:tcPr>
          <w:p>
            <w:pPr>
              <w:spacing w:after="0"/>
              <w:rPr>
                <w:sz w:val="20"/>
                <w:szCs w:val="20"/>
                <w:color w:val="auto"/>
              </w:rPr>
            </w:pPr>
          </w:p>
        </w:tc>
        <w:tc>
          <w:tcPr>
            <w:tcW w:w="43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560" w:type="dxa"/>
            <w:vAlign w:val="bottom"/>
            <w:vMerge w:val="restart"/>
          </w:tcPr>
          <w:p>
            <w:pPr>
              <w:jc w:val="center"/>
              <w:ind w:left="15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60" w:type="dxa"/>
            <w:vAlign w:val="bottom"/>
            <w:vMerge w:val="restart"/>
          </w:tcPr>
          <w:p>
            <w:pPr>
              <w:jc w:val="right"/>
              <w:ind w:right="2060"/>
              <w:spacing w:after="0"/>
              <w:rPr>
                <w:sz w:val="20"/>
                <w:szCs w:val="20"/>
                <w:color w:val="auto"/>
              </w:rPr>
            </w:pPr>
            <w:r>
              <w:rPr>
                <w:rFonts w:ascii="Times New Roman" w:cs="Times New Roman" w:eastAsia="Times New Roman" w:hAnsi="Times New Roman"/>
                <w:sz w:val="18"/>
                <w:szCs w:val="18"/>
                <w:b w:val="1"/>
                <w:bCs w:val="1"/>
                <w:color w:val="auto"/>
              </w:rPr>
              <w:t>26-1824804</w:t>
            </w:r>
          </w:p>
        </w:tc>
        <w:tc>
          <w:tcPr>
            <w:tcW w:w="0" w:type="dxa"/>
            <w:vAlign w:val="bottom"/>
          </w:tcPr>
          <w:p>
            <w:pPr>
              <w:spacing w:after="0"/>
              <w:rPr>
                <w:sz w:val="1"/>
                <w:szCs w:val="1"/>
                <w:color w:val="auto"/>
              </w:rPr>
            </w:pPr>
          </w:p>
        </w:tc>
      </w:tr>
      <w:tr>
        <w:trPr>
          <w:trHeight w:val="155"/>
        </w:trPr>
        <w:tc>
          <w:tcPr>
            <w:tcW w:w="35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560" w:type="dxa"/>
            <w:vAlign w:val="bottom"/>
          </w:tcPr>
          <w:p>
            <w:pPr>
              <w:jc w:val="center"/>
              <w:ind w:left="1519"/>
              <w:spacing w:after="0" w:line="13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360" w:type="dxa"/>
            <w:vAlign w:val="bottom"/>
          </w:tcPr>
          <w:p>
            <w:pPr>
              <w:jc w:val="center"/>
              <w:ind w:right="1720"/>
              <w:spacing w:after="0" w:line="137"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560" w:type="dxa"/>
            <w:vAlign w:val="bottom"/>
          </w:tcPr>
          <w:p>
            <w:pPr>
              <w:jc w:val="center"/>
              <w:ind w:left="15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4"/>
        </w:trPr>
        <w:tc>
          <w:tcPr>
            <w:tcW w:w="3560" w:type="dxa"/>
            <w:vAlign w:val="bottom"/>
          </w:tcPr>
          <w:p>
            <w:pPr>
              <w:jc w:val="center"/>
              <w:ind w:left="1539"/>
              <w:spacing w:after="0"/>
              <w:rPr>
                <w:sz w:val="20"/>
                <w:szCs w:val="20"/>
                <w:color w:val="auto"/>
              </w:rPr>
            </w:pPr>
            <w:r>
              <w:rPr>
                <w:rFonts w:ascii="Times New Roman" w:cs="Times New Roman" w:eastAsia="Times New Roman" w:hAnsi="Times New Roman"/>
                <w:sz w:val="18"/>
                <w:szCs w:val="18"/>
                <w:b w:val="1"/>
                <w:bCs w:val="1"/>
                <w:color w:val="auto"/>
                <w:w w:val="99"/>
              </w:rPr>
              <w:t>301 Binney St., Suite 402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vMerge w:val="restart"/>
          </w:tcPr>
          <w:p>
            <w:pPr>
              <w:jc w:val="right"/>
              <w:ind w:right="2260"/>
              <w:spacing w:after="0"/>
              <w:rPr>
                <w:sz w:val="20"/>
                <w:szCs w:val="20"/>
                <w:color w:val="auto"/>
              </w:rPr>
            </w:pPr>
            <w:r>
              <w:rPr>
                <w:rFonts w:ascii="Times New Roman" w:cs="Times New Roman" w:eastAsia="Times New Roman" w:hAnsi="Times New Roman"/>
                <w:sz w:val="18"/>
                <w:szCs w:val="18"/>
                <w:b w:val="1"/>
                <w:bCs w:val="1"/>
                <w:color w:val="auto"/>
              </w:rPr>
              <w:t>02142</w:t>
            </w:r>
          </w:p>
        </w:tc>
        <w:tc>
          <w:tcPr>
            <w:tcW w:w="0" w:type="dxa"/>
            <w:vAlign w:val="bottom"/>
          </w:tcPr>
          <w:p>
            <w:pPr>
              <w:spacing w:after="0"/>
              <w:rPr>
                <w:sz w:val="1"/>
                <w:szCs w:val="1"/>
                <w:color w:val="auto"/>
              </w:rPr>
            </w:pPr>
          </w:p>
        </w:tc>
      </w:tr>
      <w:tr>
        <w:trPr>
          <w:trHeight w:val="175"/>
        </w:trPr>
        <w:tc>
          <w:tcPr>
            <w:tcW w:w="3560" w:type="dxa"/>
            <w:vAlign w:val="bottom"/>
          </w:tcPr>
          <w:p>
            <w:pPr>
              <w:jc w:val="center"/>
              <w:ind w:left="1539"/>
              <w:spacing w:after="0" w:line="176" w:lineRule="exact"/>
              <w:rPr>
                <w:sz w:val="20"/>
                <w:szCs w:val="20"/>
                <w:color w:val="auto"/>
              </w:rPr>
            </w:pPr>
            <w:r>
              <w:rPr>
                <w:rFonts w:ascii="Times New Roman" w:cs="Times New Roman" w:eastAsia="Times New Roman" w:hAnsi="Times New Roman"/>
                <w:sz w:val="18"/>
                <w:szCs w:val="18"/>
                <w:b w:val="1"/>
                <w:bCs w:val="1"/>
                <w:color w:val="auto"/>
                <w:w w:val="99"/>
              </w:rPr>
              <w:t>Cambridge, MA</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880" w:type="dxa"/>
            <w:vAlign w:val="bottom"/>
            <w:gridSpan w:val="6"/>
          </w:tcPr>
          <w:p>
            <w:pPr>
              <w:jc w:val="center"/>
              <w:ind w:right="2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6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84"/>
        </w:trPr>
        <w:tc>
          <w:tcPr>
            <w:tcW w:w="3560" w:type="dxa"/>
            <w:vAlign w:val="bottom"/>
          </w:tcPr>
          <w:p>
            <w:pPr>
              <w:spacing w:after="0"/>
              <w:rPr>
                <w:sz w:val="16"/>
                <w:szCs w:val="16"/>
                <w:color w:val="auto"/>
              </w:rPr>
            </w:pPr>
          </w:p>
        </w:tc>
        <w:tc>
          <w:tcPr>
            <w:tcW w:w="3180" w:type="dxa"/>
            <w:vAlign w:val="bottom"/>
            <w:gridSpan w:val="3"/>
          </w:tcPr>
          <w:p>
            <w:pPr>
              <w:jc w:val="center"/>
              <w:ind w:left="8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(617) 401-9975</w:t>
            </w: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12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2"/>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60" w:type="dxa"/>
            <w:vAlign w:val="bottom"/>
            <w:tcBorders>
              <w:left w:val="single" w:sz="8" w:color="auto"/>
              <w:bottom w:val="single" w:sz="8" w:color="auto"/>
            </w:tcBorders>
          </w:tcPr>
          <w:p>
            <w:pPr>
              <w:jc w:val="center"/>
              <w:ind w:left="119"/>
              <w:spacing w:after="0" w:line="142" w:lineRule="exact"/>
              <w:rPr>
                <w:sz w:val="20"/>
                <w:szCs w:val="20"/>
                <w:color w:val="auto"/>
              </w:rPr>
            </w:pPr>
            <w:r>
              <w:rPr>
                <w:rFonts w:ascii="Times New Roman" w:cs="Times New Roman" w:eastAsia="Times New Roman" w:hAnsi="Times New Roman"/>
                <w:sz w:val="16"/>
                <w:szCs w:val="16"/>
                <w:color w:val="auto"/>
                <w:w w:val="99"/>
              </w:rPr>
              <w:t>Title of each class</w:t>
            </w:r>
          </w:p>
        </w:tc>
        <w:tc>
          <w:tcPr>
            <w:tcW w:w="2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0" w:type="dxa"/>
            <w:vAlign w:val="bottom"/>
            <w:tcBorders>
              <w:bottom w:val="single" w:sz="8" w:color="auto"/>
              <w:right w:val="single" w:sz="8" w:color="auto"/>
            </w:tcBorders>
            <w:gridSpan w:val="2"/>
          </w:tcPr>
          <w:p>
            <w:pPr>
              <w:jc w:val="center"/>
              <w:ind w:right="740"/>
              <w:spacing w:after="0" w:line="142" w:lineRule="exact"/>
              <w:rPr>
                <w:sz w:val="20"/>
                <w:szCs w:val="20"/>
                <w:color w:val="auto"/>
              </w:rPr>
            </w:pPr>
            <w:r>
              <w:rPr>
                <w:rFonts w:ascii="Times New Roman" w:cs="Times New Roman" w:eastAsia="Times New Roman" w:hAnsi="Times New Roman"/>
                <w:sz w:val="16"/>
                <w:szCs w:val="16"/>
                <w:color w:val="auto"/>
              </w:rPr>
              <w:t>Trading Symbol</w:t>
            </w:r>
          </w:p>
        </w:tc>
        <w:tc>
          <w:tcPr>
            <w:tcW w:w="380" w:type="dxa"/>
            <w:vAlign w:val="bottom"/>
            <w:tcBorders>
              <w:bottom w:val="single" w:sz="8" w:color="auto"/>
            </w:tcBorders>
          </w:tcPr>
          <w:p>
            <w:pPr>
              <w:spacing w:after="0"/>
              <w:rPr>
                <w:sz w:val="14"/>
                <w:szCs w:val="14"/>
                <w:color w:val="auto"/>
              </w:rPr>
            </w:pPr>
          </w:p>
        </w:tc>
        <w:tc>
          <w:tcPr>
            <w:tcW w:w="3360" w:type="dxa"/>
            <w:vAlign w:val="bottom"/>
            <w:tcBorders>
              <w:bottom w:val="single" w:sz="8" w:color="auto"/>
              <w:right w:val="single" w:sz="8" w:color="auto"/>
            </w:tcBorders>
          </w:tcPr>
          <w:p>
            <w:pPr>
              <w:jc w:val="center"/>
              <w:ind w:right="300"/>
              <w:spacing w:after="0" w:line="142" w:lineRule="exact"/>
              <w:rPr>
                <w:sz w:val="20"/>
                <w:szCs w:val="20"/>
                <w:color w:val="auto"/>
              </w:rPr>
            </w:pPr>
            <w:r>
              <w:rPr>
                <w:rFonts w:ascii="Times New Roman" w:cs="Times New Roman" w:eastAsia="Times New Roman" w:hAnsi="Times New Roman"/>
                <w:sz w:val="16"/>
                <w:szCs w:val="16"/>
                <w:color w:val="auto"/>
              </w:rPr>
              <w:t>Name of exchange on which registered</w:t>
            </w:r>
          </w:p>
        </w:tc>
        <w:tc>
          <w:tcPr>
            <w:tcW w:w="0" w:type="dxa"/>
            <w:vAlign w:val="bottom"/>
          </w:tcPr>
          <w:p>
            <w:pPr>
              <w:spacing w:after="0"/>
              <w:rPr>
                <w:sz w:val="1"/>
                <w:szCs w:val="1"/>
                <w:color w:val="auto"/>
              </w:rPr>
            </w:pPr>
          </w:p>
        </w:tc>
      </w:tr>
      <w:tr>
        <w:trPr>
          <w:trHeight w:val="166"/>
        </w:trPr>
        <w:tc>
          <w:tcPr>
            <w:tcW w:w="3560" w:type="dxa"/>
            <w:vAlign w:val="bottom"/>
            <w:tcBorders>
              <w:left w:val="single" w:sz="8" w:color="auto"/>
              <w:bottom w:val="single" w:sz="8" w:color="auto"/>
            </w:tcBorders>
          </w:tcPr>
          <w:p>
            <w:pPr>
              <w:jc w:val="center"/>
              <w:ind w:left="119"/>
              <w:spacing w:after="0" w:line="166" w:lineRule="exact"/>
              <w:rPr>
                <w:sz w:val="20"/>
                <w:szCs w:val="20"/>
                <w:color w:val="auto"/>
              </w:rPr>
            </w:pPr>
            <w:r>
              <w:rPr>
                <w:rFonts w:ascii="Times New Roman" w:cs="Times New Roman" w:eastAsia="Times New Roman" w:hAnsi="Times New Roman"/>
                <w:sz w:val="16"/>
                <w:szCs w:val="16"/>
                <w:color w:val="auto"/>
              </w:rPr>
              <w:t>Common Stock, par value $0.001 per share</w:t>
            </w:r>
          </w:p>
        </w:tc>
        <w:tc>
          <w:tcPr>
            <w:tcW w:w="2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0" w:type="dxa"/>
            <w:vAlign w:val="bottom"/>
            <w:tcBorders>
              <w:bottom w:val="single" w:sz="8" w:color="auto"/>
              <w:right w:val="single" w:sz="8" w:color="auto"/>
            </w:tcBorders>
            <w:gridSpan w:val="2"/>
          </w:tcPr>
          <w:p>
            <w:pPr>
              <w:jc w:val="center"/>
              <w:ind w:right="760"/>
              <w:spacing w:after="0" w:line="166" w:lineRule="exact"/>
              <w:rPr>
                <w:sz w:val="20"/>
                <w:szCs w:val="20"/>
                <w:color w:val="auto"/>
              </w:rPr>
            </w:pPr>
            <w:r>
              <w:rPr>
                <w:rFonts w:ascii="Times New Roman" w:cs="Times New Roman" w:eastAsia="Times New Roman" w:hAnsi="Times New Roman"/>
                <w:sz w:val="16"/>
                <w:szCs w:val="16"/>
                <w:color w:val="auto"/>
              </w:rPr>
              <w:t>SYBX</w:t>
            </w:r>
          </w:p>
        </w:tc>
        <w:tc>
          <w:tcPr>
            <w:tcW w:w="380" w:type="dxa"/>
            <w:vAlign w:val="bottom"/>
            <w:tcBorders>
              <w:bottom w:val="single" w:sz="8" w:color="auto"/>
            </w:tcBorders>
          </w:tcPr>
          <w:p>
            <w:pPr>
              <w:spacing w:after="0"/>
              <w:rPr>
                <w:sz w:val="14"/>
                <w:szCs w:val="14"/>
                <w:color w:val="auto"/>
              </w:rPr>
            </w:pPr>
          </w:p>
        </w:tc>
        <w:tc>
          <w:tcPr>
            <w:tcW w:w="3360" w:type="dxa"/>
            <w:vAlign w:val="bottom"/>
            <w:tcBorders>
              <w:bottom w:val="single" w:sz="8" w:color="auto"/>
              <w:right w:val="single" w:sz="8" w:color="auto"/>
            </w:tcBorders>
          </w:tcPr>
          <w:p>
            <w:pPr>
              <w:jc w:val="center"/>
              <w:ind w:right="320"/>
              <w:spacing w:after="0" w:line="166" w:lineRule="exact"/>
              <w:rPr>
                <w:sz w:val="20"/>
                <w:szCs w:val="20"/>
                <w:color w:val="auto"/>
              </w:rPr>
            </w:pPr>
            <w:r>
              <w:rPr>
                <w:rFonts w:ascii="Times New Roman" w:cs="Times New Roman" w:eastAsia="Times New Roman" w:hAnsi="Times New Roman"/>
                <w:sz w:val="16"/>
                <w:szCs w:val="16"/>
                <w:color w:val="auto"/>
              </w:rPr>
              <w:t>The Nasdaq Capital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8" w:lineRule="exact"/>
        <w:rPr>
          <w:sz w:val="24"/>
          <w:szCs w:val="24"/>
          <w:color w:val="auto"/>
        </w:rPr>
      </w:pPr>
    </w:p>
    <w:p>
      <w:pPr>
        <w:ind w:right="400"/>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0" w:lineRule="exact"/>
        <w:rPr>
          <w:sz w:val="24"/>
          <w:szCs w:val="24"/>
          <w:color w:val="auto"/>
        </w:rPr>
      </w:pPr>
    </w:p>
    <w:p>
      <w:pPr>
        <w:ind w:right="260"/>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Accelerated filer</w:t>
            </w:r>
          </w:p>
        </w:tc>
        <w:tc>
          <w:tcPr>
            <w:tcW w:w="9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76"/>
        </w:trPr>
        <w:tc>
          <w:tcPr>
            <w:tcW w:w="19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Non-accelerated filer</w:t>
            </w:r>
          </w:p>
        </w:tc>
        <w:tc>
          <w:tcPr>
            <w:tcW w:w="31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20"/>
              <w:spacing w:after="0" w:line="176" w:lineRule="exact"/>
              <w:rPr>
                <w:sz w:val="20"/>
                <w:szCs w:val="20"/>
                <w:color w:val="auto"/>
              </w:rPr>
            </w:pPr>
            <w:r>
              <w:rPr>
                <w:rFonts w:ascii="Times New Roman" w:cs="Times New Roman" w:eastAsia="Times New Roman" w:hAnsi="Times New Roman"/>
                <w:sz w:val="16"/>
                <w:szCs w:val="16"/>
                <w:color w:val="auto"/>
              </w:rPr>
              <w:t>Smaller reporting company</w:t>
            </w:r>
          </w:p>
        </w:tc>
        <w:tc>
          <w:tcPr>
            <w:tcW w:w="9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502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Emerging growth company</w:t>
            </w:r>
          </w:p>
        </w:tc>
        <w:tc>
          <w:tcPr>
            <w:tcW w:w="9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9" w:lineRule="exact"/>
        <w:rPr>
          <w:sz w:val="24"/>
          <w:szCs w:val="24"/>
          <w:color w:val="auto"/>
        </w:rPr>
      </w:pPr>
    </w:p>
    <w:p>
      <w:pPr>
        <w:ind w:right="580"/>
        <w:spacing w:after="0" w:line="20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1" w:lineRule="exact"/>
        <w:rPr>
          <w:sz w:val="24"/>
          <w:szCs w:val="24"/>
          <w:color w:val="auto"/>
        </w:rPr>
      </w:pPr>
    </w:p>
    <w:p>
      <w:pPr>
        <w:spacing w:after="0" w:line="184" w:lineRule="exact"/>
        <w:tabs>
          <w:tab w:leader="none" w:pos="752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November 3, 2022, there were 70,519,940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181"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and development efforts;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 for our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third parties;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costs involved in developing manufacturing processes and in manufacturing products, as well as agreements with third-party manufacturers;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 of our commercialization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marketing and selling our product candidates, if approved;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our product candidates, if approved;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technological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additional collaborative, licensing or other arrangements that we may establish;</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products and technologies;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54" w:lineRule="exact"/>
        <w:rPr>
          <w:rFonts w:ascii="Times New Roman" w:cs="Times New Roman" w:eastAsia="Times New Roman" w:hAnsi="Times New Roman"/>
          <w:sz w:val="18"/>
          <w:szCs w:val="18"/>
          <w:color w:val="auto"/>
        </w:rPr>
      </w:pPr>
    </w:p>
    <w:p>
      <w:pPr>
        <w:jc w:val="both"/>
        <w:ind w:left="1020" w:right="440" w:hanging="503"/>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major public health concerns, including the novel coronavirus outbreak or other pandemics arising globally, and the current and future impact of it and COVID-19, or geopolitical tensions, such as the armed conflict between Russia and Ukraine, on our clinical trials, business operations and funding requirements; and</w:t>
      </w:r>
    </w:p>
    <w:p>
      <w:pPr>
        <w:spacing w:after="0" w:line="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II, Item 1A. “Risk Factors”.</w:t>
      </w:r>
    </w:p>
    <w:p>
      <w:pPr>
        <w:spacing w:after="0" w:line="212" w:lineRule="exact"/>
        <w:rPr>
          <w:sz w:val="20"/>
          <w:szCs w:val="20"/>
          <w:color w:val="auto"/>
        </w:rPr>
      </w:pPr>
    </w:p>
    <w:p>
      <w:pPr>
        <w:ind w:right="180" w:firstLine="509"/>
        <w:spacing w:after="0" w:line="245"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5" w:lineRule="exact"/>
        <w:rPr>
          <w:sz w:val="20"/>
          <w:szCs w:val="20"/>
          <w:color w:val="auto"/>
        </w:rPr>
      </w:pPr>
    </w:p>
    <w:p>
      <w:pPr>
        <w:ind w:right="140" w:firstLine="509"/>
        <w:spacing w:after="0" w:line="244"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SYNLOGIC,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1060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640" w:type="dxa"/>
            <w:vAlign w:val="bottom"/>
          </w:tcPr>
          <w:p>
            <w:pPr>
              <w:spacing w:after="0"/>
              <w:rPr>
                <w:sz w:val="24"/>
                <w:szCs w:val="24"/>
                <w:color w:val="auto"/>
              </w:rPr>
            </w:pPr>
          </w:p>
        </w:tc>
      </w:tr>
      <w:tr>
        <w:trPr>
          <w:trHeight w:val="35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640" w:type="dxa"/>
            <w:vAlign w:val="bottom"/>
          </w:tcPr>
          <w:p>
            <w:pPr>
              <w:spacing w:after="0"/>
              <w:rPr>
                <w:sz w:val="24"/>
                <w:szCs w:val="24"/>
                <w:color w:val="auto"/>
              </w:rPr>
            </w:pPr>
          </w:p>
        </w:tc>
      </w:tr>
      <w:tr>
        <w:trPr>
          <w:trHeight w:val="310"/>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Balance Sheets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Operations and Comprehensive Loss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Stockholders’ Equity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1060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640" w:type="dxa"/>
            <w:vAlign w:val="bottom"/>
          </w:tcPr>
          <w:p>
            <w:pPr>
              <w:spacing w:after="0"/>
              <w:rPr>
                <w:sz w:val="24"/>
                <w:szCs w:val="24"/>
                <w:color w:val="auto"/>
              </w:rPr>
            </w:pPr>
          </w:p>
        </w:tc>
      </w:tr>
      <w:tr>
        <w:trPr>
          <w:trHeight w:val="31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46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0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46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180" w:type="dxa"/>
            <w:vAlign w:val="bottom"/>
            <w:gridSpan w:val="1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554"/>
        </w:trPr>
        <w:tc>
          <w:tcPr>
            <w:tcW w:w="280" w:type="dxa"/>
            <w:vAlign w:val="bottom"/>
            <w:tcBorders>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Balance Sheets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77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16,438</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112,150</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tcPr>
          <w:p>
            <w:pPr>
              <w:spacing w:after="0"/>
              <w:rPr>
                <w:sz w:val="18"/>
                <w:szCs w:val="18"/>
                <w:color w:val="auto"/>
              </w:rPr>
            </w:pPr>
          </w:p>
        </w:tc>
      </w:tr>
      <w:tr>
        <w:trPr>
          <w:trHeight w:val="209"/>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97,458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133,309</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 - operating lease</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 net of current portion</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128,237</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174,736</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liability - operating lease</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10,080</w:t>
            </w:r>
          </w:p>
        </w:tc>
        <w:tc>
          <w:tcPr>
            <w:tcW w:w="100" w:type="dxa"/>
            <w:vAlign w:val="bottom"/>
          </w:tcPr>
          <w:p>
            <w:pPr>
              <w:spacing w:after="0"/>
              <w:rPr>
                <w:sz w:val="18"/>
                <w:szCs w:val="18"/>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liability - operating lease, net of current portion</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17,372</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obligations, net of current portion</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16,207</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17,390</w:t>
            </w:r>
          </w:p>
        </w:tc>
        <w:tc>
          <w:tcPr>
            <w:tcW w:w="100" w:type="dxa"/>
            <w:vAlign w:val="bottom"/>
          </w:tcPr>
          <w:p>
            <w:pPr>
              <w:spacing w:after="0"/>
              <w:rPr>
                <w:sz w:val="18"/>
                <w:szCs w:val="18"/>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1"/>
        </w:trPr>
        <w:tc>
          <w:tcPr>
            <w:tcW w:w="7700" w:type="dxa"/>
            <w:vAlign w:val="bottom"/>
          </w:tcPr>
          <w:p>
            <w:pPr>
              <w:ind w:left="380"/>
              <w:spacing w:after="0" w:line="170" w:lineRule="exact"/>
              <w:rPr>
                <w:sz w:val="20"/>
                <w:szCs w:val="20"/>
                <w:color w:val="auto"/>
              </w:rPr>
            </w:pPr>
            <w:r>
              <w:rPr>
                <w:rFonts w:ascii="Times New Roman" w:cs="Times New Roman" w:eastAsia="Times New Roman" w:hAnsi="Times New Roman"/>
                <w:sz w:val="18"/>
                <w:szCs w:val="18"/>
                <w:color w:val="auto"/>
              </w:rPr>
              <w:t>250,000,000 shares authorized as of September 30, 2022 and December 31, 2021.</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700" w:type="dxa"/>
            <w:vAlign w:val="bottom"/>
          </w:tcPr>
          <w:p>
            <w:pPr>
              <w:ind w:left="480"/>
              <w:spacing w:after="0" w:line="189" w:lineRule="exact"/>
              <w:rPr>
                <w:sz w:val="20"/>
                <w:szCs w:val="20"/>
                <w:color w:val="auto"/>
              </w:rPr>
            </w:pPr>
            <w:r>
              <w:rPr>
                <w:rFonts w:ascii="Times New Roman" w:cs="Times New Roman" w:eastAsia="Times New Roman" w:hAnsi="Times New Roman"/>
                <w:sz w:val="18"/>
                <w:szCs w:val="18"/>
                <w:color w:val="auto"/>
              </w:rPr>
              <w:t>70,285,495 shares issued and outstanding as of September 30, 2022 and</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7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69,698,844 shares issued and outstanding as of December 31, 2021.</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441,072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438,113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(391 )</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(340,323 )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(290,872 )</w:t>
            </w:r>
          </w:p>
        </w:tc>
      </w:tr>
      <w:tr>
        <w:trPr>
          <w:trHeight w:val="210"/>
        </w:trPr>
        <w:tc>
          <w:tcPr>
            <w:tcW w:w="77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100,428</w:t>
            </w:r>
          </w:p>
        </w:tc>
        <w:tc>
          <w:tcPr>
            <w:tcW w:w="3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147,266</w:t>
            </w:r>
          </w:p>
        </w:tc>
        <w:tc>
          <w:tcPr>
            <w:tcW w:w="100" w:type="dxa"/>
            <w:vAlign w:val="bottom"/>
            <w:tcBorders>
              <w:top w:val="single" w:sz="8" w:color="CFF0FC"/>
            </w:tcBorders>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128,237</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174,736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-3368040</wp:posOffset>
            </wp:positionV>
            <wp:extent cx="685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-2236470</wp:posOffset>
            </wp:positionV>
            <wp:extent cx="6858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-1670685</wp:posOffset>
            </wp:positionV>
            <wp:extent cx="6858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-316865</wp:posOffset>
            </wp:positionV>
            <wp:extent cx="6858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Statements of Operations and Comprehensive Loss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80" w:type="dxa"/>
            <w:vAlign w:val="bottom"/>
          </w:tcPr>
          <w:p>
            <w:pPr>
              <w:spacing w:after="0"/>
              <w:rPr>
                <w:sz w:val="16"/>
                <w:szCs w:val="16"/>
                <w:color w:val="auto"/>
              </w:rPr>
            </w:pPr>
          </w:p>
        </w:tc>
        <w:tc>
          <w:tcPr>
            <w:tcW w:w="2640" w:type="dxa"/>
            <w:vAlign w:val="bottom"/>
            <w:gridSpan w:val="5"/>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69"/>
        </w:trPr>
        <w:tc>
          <w:tcPr>
            <w:tcW w:w="5140" w:type="dxa"/>
            <w:vAlign w:val="bottom"/>
          </w:tcPr>
          <w:p>
            <w:pPr>
              <w:spacing w:after="0"/>
              <w:rPr>
                <w:sz w:val="14"/>
                <w:szCs w:val="14"/>
                <w:color w:val="auto"/>
              </w:rPr>
            </w:pPr>
          </w:p>
        </w:tc>
        <w:tc>
          <w:tcPr>
            <w:tcW w:w="1560" w:type="dxa"/>
            <w:vAlign w:val="bottom"/>
            <w:tcBorders>
              <w:top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320" w:type="dxa"/>
            <w:vAlign w:val="bottom"/>
          </w:tcPr>
          <w:p>
            <w:pPr>
              <w:spacing w:after="0"/>
              <w:rPr>
                <w:sz w:val="14"/>
                <w:szCs w:val="14"/>
                <w:color w:val="auto"/>
              </w:rPr>
            </w:pPr>
          </w:p>
        </w:tc>
        <w:tc>
          <w:tcPr>
            <w:tcW w:w="15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4"/>
                <w:szCs w:val="14"/>
                <w:color w:val="auto"/>
              </w:rPr>
            </w:pPr>
          </w:p>
        </w:tc>
      </w:tr>
      <w:tr>
        <w:trPr>
          <w:trHeight w:val="21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3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13,355</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38,405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35,254</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11,528</w:t>
            </w:r>
          </w:p>
        </w:tc>
        <w:tc>
          <w:tcPr>
            <w:tcW w:w="100" w:type="dxa"/>
            <w:vAlign w:val="bottom"/>
          </w:tcPr>
          <w:p>
            <w:pPr>
              <w:spacing w:after="0"/>
              <w:rPr>
                <w:sz w:val="18"/>
                <w:szCs w:val="18"/>
                <w:color w:val="auto"/>
              </w:rPr>
            </w:pPr>
          </w:p>
        </w:tc>
      </w:tr>
      <w:tr>
        <w:trPr>
          <w:trHeight w:val="210"/>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19,012</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16,971</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51,190</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(18,334 )</w:t>
            </w:r>
          </w:p>
        </w:tc>
        <w:tc>
          <w:tcPr>
            <w:tcW w:w="300" w:type="dxa"/>
            <w:vAlign w:val="bottom"/>
          </w:tcPr>
          <w:p>
            <w:pPr>
              <w:spacing w:after="0"/>
              <w:rPr>
                <w:sz w:val="18"/>
                <w:szCs w:val="18"/>
                <w:color w:val="auto"/>
              </w:rPr>
            </w:pPr>
          </w:p>
        </w:tc>
        <w:tc>
          <w:tcPr>
            <w:tcW w:w="13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(16,055 )</w:t>
            </w:r>
          </w:p>
        </w:tc>
        <w:tc>
          <w:tcPr>
            <w:tcW w:w="28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(50,116 )</w:t>
            </w:r>
          </w:p>
        </w:tc>
        <w:tc>
          <w:tcPr>
            <w:tcW w:w="2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(45,620 )</w:t>
            </w:r>
          </w:p>
        </w:tc>
      </w:tr>
      <w:tr>
        <w:trPr>
          <w:trHeight w:val="216"/>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(1 )</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(3 )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09"/>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(17,912 )</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(16,016 )</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(49,451 )</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(45,472 )</w:t>
            </w:r>
          </w:p>
        </w:tc>
      </w:tr>
      <w:tr>
        <w:trPr>
          <w:trHeight w:val="20"/>
        </w:trPr>
        <w:tc>
          <w:tcPr>
            <w:tcW w:w="5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spacing w:after="0"/>
              <w:rPr>
                <w:sz w:val="17"/>
                <w:szCs w:val="17"/>
                <w:color w:val="auto"/>
              </w:rPr>
            </w:pP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(0.25 )</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(0.29 )</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(0.69 )</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(0.91 )</w:t>
            </w:r>
          </w:p>
        </w:tc>
      </w:tr>
      <w:tr>
        <w:trPr>
          <w:trHeight w:val="20"/>
        </w:trPr>
        <w:tc>
          <w:tcPr>
            <w:tcW w:w="5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14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Weighted-average common stock outstanding - basic and diluted</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72,108,113</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55,336,936</w:t>
            </w:r>
          </w:p>
        </w:tc>
        <w:tc>
          <w:tcPr>
            <w:tcW w:w="3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72,061,935</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49,730,231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5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(17,912 )</w:t>
            </w:r>
          </w:p>
        </w:tc>
        <w:tc>
          <w:tcPr>
            <w:tcW w:w="30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(16,016 )</w:t>
            </w: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(49,451 )</w:t>
            </w:r>
          </w:p>
        </w:tc>
        <w:tc>
          <w:tcPr>
            <w:tcW w:w="2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(45,472 )</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(loss) gain on marketable securities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(346 )</w:t>
            </w:r>
          </w:p>
        </w:tc>
        <w:tc>
          <w:tcPr>
            <w:tcW w:w="2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50"/>
        </w:trPr>
        <w:tc>
          <w:tcPr>
            <w:tcW w:w="5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Borders>
              <w:top w:val="single" w:sz="8" w:color="auto"/>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(17,870</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(16,018</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(49,797</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(45,477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-2056765</wp:posOffset>
            </wp:positionV>
            <wp:extent cx="7747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-2056765</wp:posOffset>
            </wp:positionV>
            <wp:extent cx="6858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-2056765</wp:posOffset>
            </wp:positionV>
            <wp:extent cx="6858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-1216660</wp:posOffset>
            </wp:positionV>
            <wp:extent cx="7747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-1216660</wp:posOffset>
            </wp:positionV>
            <wp:extent cx="685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-1216660</wp:posOffset>
            </wp:positionV>
            <wp:extent cx="685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-607695</wp:posOffset>
            </wp:positionV>
            <wp:extent cx="305181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51810" cy="16319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Statements of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960" w:type="dxa"/>
            <w:vAlign w:val="bottom"/>
            <w:gridSpan w:val="2"/>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1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180" w:type="dxa"/>
            <w:vAlign w:val="bottom"/>
          </w:tcPr>
          <w:p>
            <w:pPr>
              <w:spacing w:after="0"/>
              <w:rPr>
                <w:sz w:val="16"/>
                <w:szCs w:val="16"/>
                <w:color w:val="auto"/>
              </w:rPr>
            </w:pPr>
          </w:p>
        </w:tc>
        <w:tc>
          <w:tcPr>
            <w:tcW w:w="1960" w:type="dxa"/>
            <w:vAlign w:val="bottom"/>
            <w:tcBorders>
              <w:bottom w:val="single" w:sz="8" w:color="auto"/>
            </w:tcBorders>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$0.001 par value</w:t>
            </w: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6"/>
                <w:szCs w:val="16"/>
                <w:color w:val="auto"/>
              </w:rPr>
            </w:pPr>
          </w:p>
        </w:tc>
        <w:tc>
          <w:tcPr>
            <w:tcW w:w="11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6"/>
                <w:szCs w:val="16"/>
                <w:color w:val="auto"/>
              </w:rPr>
            </w:pPr>
          </w:p>
        </w:tc>
        <w:tc>
          <w:tcPr>
            <w:tcW w:w="12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11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180" w:type="dxa"/>
            <w:vAlign w:val="bottom"/>
            <w:gridSpan w:val="7"/>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2022</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June 30, 2022</w:t>
            </w: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70,230,235</w:t>
            </w:r>
          </w:p>
        </w:tc>
        <w:tc>
          <w:tcPr>
            <w:tcW w:w="840" w:type="dxa"/>
            <w:vAlign w:val="bottom"/>
            <w:shd w:val="clear" w:color="auto" w:fill="CFF0FC"/>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440,124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(433 ) $</w:t>
            </w:r>
          </w:p>
        </w:tc>
        <w:tc>
          <w:tcPr>
            <w:tcW w:w="12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(322,411 ) $</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117,350</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66,139</w:t>
            </w:r>
          </w:p>
        </w:tc>
        <w:tc>
          <w:tcPr>
            <w:tcW w:w="840" w:type="dxa"/>
            <w:vAlign w:val="bottom"/>
          </w:tcPr>
          <w:p>
            <w:pPr>
              <w:spacing w:after="0"/>
              <w:rPr>
                <w:sz w:val="15"/>
                <w:szCs w:val="15"/>
                <w:color w:val="auto"/>
              </w:rPr>
            </w:pPr>
          </w:p>
        </w:tc>
        <w:tc>
          <w:tcPr>
            <w:tcW w:w="4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7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Cancellation of restricted stock</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(10,879 )</w:t>
            </w:r>
          </w:p>
        </w:tc>
        <w:tc>
          <w:tcPr>
            <w:tcW w:w="84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4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894</w:t>
            </w:r>
          </w:p>
        </w:tc>
        <w:tc>
          <w:tcPr>
            <w:tcW w:w="1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894</w:t>
            </w:r>
          </w:p>
        </w:tc>
        <w:tc>
          <w:tcPr>
            <w:tcW w:w="0" w:type="dxa"/>
            <w:vAlign w:val="bottom"/>
          </w:tcPr>
          <w:p>
            <w:pPr>
              <w:spacing w:after="0"/>
              <w:rPr>
                <w:sz w:val="1"/>
                <w:szCs w:val="1"/>
                <w:color w:val="auto"/>
              </w:rPr>
            </w:pPr>
          </w:p>
        </w:tc>
      </w:tr>
      <w:tr>
        <w:trPr>
          <w:trHeight w:val="17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gain (loss) on securities</w:t>
            </w: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(17,912 )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(17,912 )</w:t>
            </w:r>
          </w:p>
        </w:tc>
        <w:tc>
          <w:tcPr>
            <w:tcW w:w="0" w:type="dxa"/>
            <w:vAlign w:val="bottom"/>
          </w:tcPr>
          <w:p>
            <w:pPr>
              <w:spacing w:after="0"/>
              <w:rPr>
                <w:sz w:val="1"/>
                <w:szCs w:val="1"/>
                <w:color w:val="auto"/>
              </w:rPr>
            </w:pPr>
          </w:p>
        </w:tc>
      </w:tr>
      <w:tr>
        <w:trPr>
          <w:trHeight w:val="209"/>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September 30, 2022</w:t>
            </w: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70,285,495</w:t>
            </w:r>
          </w:p>
        </w:tc>
        <w:tc>
          <w:tcPr>
            <w:tcW w:w="840" w:type="dxa"/>
            <w:vAlign w:val="bottom"/>
            <w:tcBorders>
              <w:bottom w:val="single" w:sz="8" w:color="auto"/>
            </w:tcBorders>
            <w:shd w:val="clear" w:color="auto" w:fill="CFF0FC"/>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70</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441,072</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(391 ) $</w:t>
            </w:r>
          </w:p>
        </w:tc>
        <w:tc>
          <w:tcPr>
            <w:tcW w:w="12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(340,323 ) $</w:t>
            </w: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100,428</w:t>
            </w:r>
          </w:p>
        </w:tc>
        <w:tc>
          <w:tcPr>
            <w:tcW w:w="0" w:type="dxa"/>
            <w:vAlign w:val="bottom"/>
          </w:tcPr>
          <w:p>
            <w:pPr>
              <w:spacing w:after="0"/>
              <w:rPr>
                <w:sz w:val="1"/>
                <w:szCs w:val="1"/>
                <w:color w:val="auto"/>
              </w:rPr>
            </w:pPr>
          </w:p>
        </w:tc>
      </w:tr>
      <w:tr>
        <w:trPr>
          <w:trHeight w:val="156"/>
        </w:trPr>
        <w:tc>
          <w:tcPr>
            <w:tcW w:w="4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180" w:type="dxa"/>
            <w:vAlign w:val="bottom"/>
            <w:gridSpan w:val="7"/>
          </w:tcPr>
          <w:p>
            <w:pPr>
              <w:jc w:val="center"/>
              <w:ind w:right="1068"/>
              <w:spacing w:after="0" w:line="156" w:lineRule="exact"/>
              <w:rPr>
                <w:sz w:val="20"/>
                <w:szCs w:val="20"/>
                <w:color w:val="auto"/>
              </w:rPr>
            </w:pPr>
            <w:r>
              <w:rPr>
                <w:rFonts w:ascii="Times New Roman" w:cs="Times New Roman" w:eastAsia="Times New Roman" w:hAnsi="Times New Roman"/>
                <w:sz w:val="14"/>
                <w:szCs w:val="14"/>
                <w:b w:val="1"/>
                <w:bCs w:val="1"/>
                <w:color w:val="auto"/>
              </w:rPr>
              <w:t>For the Three Months Ended September 30, 2021</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June 30, 2021</w:t>
            </w: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52,375,344</w:t>
            </w:r>
          </w:p>
        </w:tc>
        <w:tc>
          <w:tcPr>
            <w:tcW w:w="840" w:type="dxa"/>
            <w:vAlign w:val="bottom"/>
            <w:shd w:val="clear" w:color="auto" w:fill="CFF0FC"/>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387,782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(259,767 ) $</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128,078</w:t>
            </w:r>
          </w:p>
        </w:tc>
        <w:tc>
          <w:tcPr>
            <w:tcW w:w="0" w:type="dxa"/>
            <w:vAlign w:val="bottom"/>
          </w:tcPr>
          <w:p>
            <w:pPr>
              <w:spacing w:after="0"/>
              <w:rPr>
                <w:sz w:val="1"/>
                <w:szCs w:val="1"/>
                <w:color w:val="auto"/>
              </w:rPr>
            </w:pPr>
          </w:p>
        </w:tc>
      </w:tr>
      <w:tr>
        <w:trPr>
          <w:trHeight w:val="17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net of issuance costs</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17,250,000</w:t>
            </w:r>
          </w:p>
        </w:tc>
        <w:tc>
          <w:tcPr>
            <w:tcW w:w="840" w:type="dxa"/>
            <w:vAlign w:val="bottom"/>
          </w:tcPr>
          <w:p>
            <w:pPr>
              <w:spacing w:after="0"/>
              <w:rPr>
                <w:sz w:val="15"/>
                <w:szCs w:val="15"/>
                <w:color w:val="auto"/>
              </w:rPr>
            </w:pPr>
          </w:p>
        </w:tc>
        <w:tc>
          <w:tcPr>
            <w:tcW w:w="4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48,426</w:t>
            </w:r>
          </w:p>
        </w:tc>
        <w:tc>
          <w:tcPr>
            <w:tcW w:w="1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48,444</w:t>
            </w:r>
          </w:p>
        </w:tc>
        <w:tc>
          <w:tcPr>
            <w:tcW w:w="0" w:type="dxa"/>
            <w:vAlign w:val="bottom"/>
          </w:tcPr>
          <w:p>
            <w:pPr>
              <w:spacing w:after="0"/>
              <w:rPr>
                <w:sz w:val="1"/>
                <w:szCs w:val="1"/>
                <w:color w:val="auto"/>
              </w:rPr>
            </w:pPr>
          </w:p>
        </w:tc>
      </w:tr>
      <w:tr>
        <w:trPr>
          <w:trHeight w:val="175"/>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Exercise of options</w:t>
            </w: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93,033</w:t>
            </w:r>
          </w:p>
        </w:tc>
        <w:tc>
          <w:tcPr>
            <w:tcW w:w="84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7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23,592</w:t>
            </w:r>
          </w:p>
        </w:tc>
        <w:tc>
          <w:tcPr>
            <w:tcW w:w="840" w:type="dxa"/>
            <w:vAlign w:val="bottom"/>
          </w:tcPr>
          <w:p>
            <w:pPr>
              <w:spacing w:after="0"/>
              <w:rPr>
                <w:sz w:val="15"/>
                <w:szCs w:val="15"/>
                <w:color w:val="auto"/>
              </w:rPr>
            </w:pPr>
          </w:p>
        </w:tc>
        <w:tc>
          <w:tcPr>
            <w:tcW w:w="4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75"/>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Cancellation of restricted stock</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(34,428 )</w:t>
            </w:r>
          </w:p>
        </w:tc>
        <w:tc>
          <w:tcPr>
            <w:tcW w:w="84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4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808</w:t>
            </w:r>
          </w:p>
        </w:tc>
        <w:tc>
          <w:tcPr>
            <w:tcW w:w="1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808</w:t>
            </w:r>
          </w:p>
        </w:tc>
        <w:tc>
          <w:tcPr>
            <w:tcW w:w="0" w:type="dxa"/>
            <w:vAlign w:val="bottom"/>
          </w:tcPr>
          <w:p>
            <w:pPr>
              <w:spacing w:after="0"/>
              <w:rPr>
                <w:sz w:val="1"/>
                <w:szCs w:val="1"/>
                <w:color w:val="auto"/>
              </w:rPr>
            </w:pPr>
          </w:p>
        </w:tc>
      </w:tr>
      <w:tr>
        <w:trPr>
          <w:trHeight w:val="17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gain (loss) on securities</w:t>
            </w: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(16,016 )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(16,016 )</w:t>
            </w:r>
          </w:p>
        </w:tc>
        <w:tc>
          <w:tcPr>
            <w:tcW w:w="0" w:type="dxa"/>
            <w:vAlign w:val="bottom"/>
          </w:tcPr>
          <w:p>
            <w:pPr>
              <w:spacing w:after="0"/>
              <w:rPr>
                <w:sz w:val="1"/>
                <w:szCs w:val="1"/>
                <w:color w:val="auto"/>
              </w:rPr>
            </w:pPr>
          </w:p>
        </w:tc>
      </w:tr>
      <w:tr>
        <w:trPr>
          <w:trHeight w:val="209"/>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September 30, 2021</w:t>
            </w: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69,707,541</w:t>
            </w:r>
          </w:p>
        </w:tc>
        <w:tc>
          <w:tcPr>
            <w:tcW w:w="840" w:type="dxa"/>
            <w:vAlign w:val="bottom"/>
            <w:tcBorders>
              <w:bottom w:val="single" w:sz="8" w:color="auto"/>
            </w:tcBorders>
            <w:shd w:val="clear" w:color="auto" w:fill="CFF0FC"/>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70</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437,286</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(275,783 ) $</w:t>
            </w: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161,582</w:t>
            </w:r>
          </w:p>
        </w:tc>
        <w:tc>
          <w:tcPr>
            <w:tcW w:w="0" w:type="dxa"/>
            <w:vAlign w:val="bottom"/>
          </w:tcPr>
          <w:p>
            <w:pPr>
              <w:spacing w:after="0"/>
              <w:rPr>
                <w:sz w:val="1"/>
                <w:szCs w:val="1"/>
                <w:color w:val="auto"/>
              </w:rPr>
            </w:pPr>
          </w:p>
        </w:tc>
      </w:tr>
      <w:tr>
        <w:trPr>
          <w:trHeight w:val="156"/>
        </w:trPr>
        <w:tc>
          <w:tcPr>
            <w:tcW w:w="4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180" w:type="dxa"/>
            <w:vAlign w:val="bottom"/>
            <w:gridSpan w:val="7"/>
          </w:tcPr>
          <w:p>
            <w:pPr>
              <w:jc w:val="center"/>
              <w:ind w:right="1068"/>
              <w:spacing w:after="0" w:line="156" w:lineRule="exact"/>
              <w:rPr>
                <w:sz w:val="20"/>
                <w:szCs w:val="20"/>
                <w:color w:val="auto"/>
              </w:rPr>
            </w:pPr>
            <w:r>
              <w:rPr>
                <w:rFonts w:ascii="Times New Roman" w:cs="Times New Roman" w:eastAsia="Times New Roman" w:hAnsi="Times New Roman"/>
                <w:sz w:val="14"/>
                <w:szCs w:val="14"/>
                <w:b w:val="1"/>
                <w:bCs w:val="1"/>
                <w:color w:val="auto"/>
              </w:rPr>
              <w:t>For the Nine Months Ended September 30, 2022</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69,698,844</w:t>
            </w:r>
          </w:p>
        </w:tc>
        <w:tc>
          <w:tcPr>
            <w:tcW w:w="840" w:type="dxa"/>
            <w:vAlign w:val="bottom"/>
            <w:shd w:val="clear" w:color="auto" w:fill="CFF0FC"/>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438,113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(45 ) $</w:t>
            </w:r>
          </w:p>
        </w:tc>
        <w:tc>
          <w:tcPr>
            <w:tcW w:w="12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(290,872 ) $</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147,266</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options</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35,562</w:t>
            </w:r>
          </w:p>
        </w:tc>
        <w:tc>
          <w:tcPr>
            <w:tcW w:w="840" w:type="dxa"/>
            <w:vAlign w:val="bottom"/>
          </w:tcPr>
          <w:p>
            <w:pPr>
              <w:spacing w:after="0"/>
              <w:rPr>
                <w:sz w:val="15"/>
                <w:szCs w:val="15"/>
                <w:color w:val="auto"/>
              </w:rPr>
            </w:pPr>
          </w:p>
        </w:tc>
        <w:tc>
          <w:tcPr>
            <w:tcW w:w="4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7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507,260</w:t>
            </w:r>
          </w:p>
        </w:tc>
        <w:tc>
          <w:tcPr>
            <w:tcW w:w="84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106,629</w:t>
            </w:r>
          </w:p>
        </w:tc>
        <w:tc>
          <w:tcPr>
            <w:tcW w:w="840" w:type="dxa"/>
            <w:vAlign w:val="bottom"/>
          </w:tcPr>
          <w:p>
            <w:pPr>
              <w:spacing w:after="0"/>
              <w:rPr>
                <w:sz w:val="15"/>
                <w:szCs w:val="15"/>
                <w:color w:val="auto"/>
              </w:rPr>
            </w:pPr>
          </w:p>
        </w:tc>
        <w:tc>
          <w:tcPr>
            <w:tcW w:w="4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75"/>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Cancellation of restricted stock</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(62,800 )</w:t>
            </w:r>
          </w:p>
        </w:tc>
        <w:tc>
          <w:tcPr>
            <w:tcW w:w="84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4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2,761</w:t>
            </w:r>
          </w:p>
        </w:tc>
        <w:tc>
          <w:tcPr>
            <w:tcW w:w="1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2,761</w:t>
            </w:r>
          </w:p>
        </w:tc>
        <w:tc>
          <w:tcPr>
            <w:tcW w:w="0" w:type="dxa"/>
            <w:vAlign w:val="bottom"/>
          </w:tcPr>
          <w:p>
            <w:pPr>
              <w:spacing w:after="0"/>
              <w:rPr>
                <w:sz w:val="1"/>
                <w:szCs w:val="1"/>
                <w:color w:val="auto"/>
              </w:rPr>
            </w:pPr>
          </w:p>
        </w:tc>
      </w:tr>
      <w:tr>
        <w:trPr>
          <w:trHeight w:val="175"/>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gain (loss) on securities</w:t>
            </w: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(346 )</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(346 )</w:t>
            </w:r>
          </w:p>
        </w:tc>
        <w:tc>
          <w:tcPr>
            <w:tcW w:w="0" w:type="dxa"/>
            <w:vAlign w:val="bottom"/>
          </w:tcPr>
          <w:p>
            <w:pPr>
              <w:spacing w:after="0"/>
              <w:rPr>
                <w:sz w:val="1"/>
                <w:szCs w:val="1"/>
                <w:color w:val="auto"/>
              </w:rPr>
            </w:pPr>
          </w:p>
        </w:tc>
      </w:tr>
      <w:tr>
        <w:trPr>
          <w:trHeight w:val="17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(49,451 )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(49,451 )</w:t>
            </w:r>
          </w:p>
        </w:tc>
        <w:tc>
          <w:tcPr>
            <w:tcW w:w="0" w:type="dxa"/>
            <w:vAlign w:val="bottom"/>
          </w:tcPr>
          <w:p>
            <w:pPr>
              <w:spacing w:after="0"/>
              <w:rPr>
                <w:sz w:val="1"/>
                <w:szCs w:val="1"/>
                <w:color w:val="auto"/>
              </w:rPr>
            </w:pPr>
          </w:p>
        </w:tc>
      </w:tr>
      <w:tr>
        <w:trPr>
          <w:trHeight w:val="209"/>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September 30, 2022</w:t>
            </w: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70,285,495</w:t>
            </w:r>
          </w:p>
        </w:tc>
        <w:tc>
          <w:tcPr>
            <w:tcW w:w="840" w:type="dxa"/>
            <w:vAlign w:val="bottom"/>
            <w:tcBorders>
              <w:bottom w:val="single" w:sz="8" w:color="auto"/>
            </w:tcBorders>
            <w:shd w:val="clear" w:color="auto" w:fill="CFF0FC"/>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70</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441,072</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(391 ) $</w:t>
            </w:r>
          </w:p>
        </w:tc>
        <w:tc>
          <w:tcPr>
            <w:tcW w:w="12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(340,323 ) $</w:t>
            </w: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100,428</w:t>
            </w:r>
          </w:p>
        </w:tc>
        <w:tc>
          <w:tcPr>
            <w:tcW w:w="0" w:type="dxa"/>
            <w:vAlign w:val="bottom"/>
          </w:tcPr>
          <w:p>
            <w:pPr>
              <w:spacing w:after="0"/>
              <w:rPr>
                <w:sz w:val="1"/>
                <w:szCs w:val="1"/>
                <w:color w:val="auto"/>
              </w:rPr>
            </w:pPr>
          </w:p>
        </w:tc>
      </w:tr>
      <w:tr>
        <w:trPr>
          <w:trHeight w:val="156"/>
        </w:trPr>
        <w:tc>
          <w:tcPr>
            <w:tcW w:w="4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180" w:type="dxa"/>
            <w:vAlign w:val="bottom"/>
            <w:gridSpan w:val="7"/>
          </w:tcPr>
          <w:p>
            <w:pPr>
              <w:jc w:val="center"/>
              <w:ind w:right="1068"/>
              <w:spacing w:after="0" w:line="156" w:lineRule="exact"/>
              <w:rPr>
                <w:sz w:val="20"/>
                <w:szCs w:val="20"/>
                <w:color w:val="auto"/>
              </w:rPr>
            </w:pPr>
            <w:r>
              <w:rPr>
                <w:rFonts w:ascii="Times New Roman" w:cs="Times New Roman" w:eastAsia="Times New Roman" w:hAnsi="Times New Roman"/>
                <w:sz w:val="14"/>
                <w:szCs w:val="14"/>
                <w:b w:val="1"/>
                <w:bCs w:val="1"/>
                <w:color w:val="auto"/>
              </w:rPr>
              <w:t>For the Nine Months Ended September 30, 2021</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38,183,273</w:t>
            </w:r>
          </w:p>
        </w:tc>
        <w:tc>
          <w:tcPr>
            <w:tcW w:w="840" w:type="dxa"/>
            <w:vAlign w:val="bottom"/>
            <w:shd w:val="clear" w:color="auto" w:fill="CFF0FC"/>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345,394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(230,311 ) $</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115,135</w:t>
            </w:r>
          </w:p>
        </w:tc>
        <w:tc>
          <w:tcPr>
            <w:tcW w:w="0" w:type="dxa"/>
            <w:vAlign w:val="bottom"/>
          </w:tcPr>
          <w:p>
            <w:pPr>
              <w:spacing w:after="0"/>
              <w:rPr>
                <w:sz w:val="1"/>
                <w:szCs w:val="1"/>
                <w:color w:val="auto"/>
              </w:rPr>
            </w:pPr>
          </w:p>
        </w:tc>
      </w:tr>
      <w:tr>
        <w:trPr>
          <w:trHeight w:val="139"/>
        </w:trPr>
        <w:tc>
          <w:tcPr>
            <w:tcW w:w="41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Proceeds from issuance of common stock in connection with ATM</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2,447,211</w:t>
            </w:r>
          </w:p>
        </w:tc>
        <w:tc>
          <w:tcPr>
            <w:tcW w:w="840" w:type="dxa"/>
            <w:vAlign w:val="bottom"/>
          </w:tcPr>
          <w:p>
            <w:pPr>
              <w:spacing w:after="0"/>
              <w:rPr>
                <w:sz w:val="12"/>
                <w:szCs w:val="12"/>
                <w:color w:val="auto"/>
              </w:rPr>
            </w:pPr>
          </w:p>
        </w:tc>
        <w:tc>
          <w:tcPr>
            <w:tcW w:w="4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2"/>
                <w:szCs w:val="12"/>
                <w:color w:val="auto"/>
              </w:rPr>
            </w:pP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8,047</w:t>
            </w:r>
          </w:p>
        </w:tc>
        <w:tc>
          <w:tcPr>
            <w:tcW w:w="120" w:type="dxa"/>
            <w:vAlign w:val="bottom"/>
          </w:tcPr>
          <w:p>
            <w:pPr>
              <w:spacing w:after="0"/>
              <w:rPr>
                <w:sz w:val="12"/>
                <w:szCs w:val="12"/>
                <w:color w:val="auto"/>
              </w:rPr>
            </w:pPr>
          </w:p>
        </w:tc>
        <w:tc>
          <w:tcPr>
            <w:tcW w:w="11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8,050</w:t>
            </w:r>
          </w:p>
        </w:tc>
        <w:tc>
          <w:tcPr>
            <w:tcW w:w="0" w:type="dxa"/>
            <w:vAlign w:val="bottom"/>
          </w:tcPr>
          <w:p>
            <w:pPr>
              <w:spacing w:after="0"/>
              <w:rPr>
                <w:sz w:val="1"/>
                <w:szCs w:val="1"/>
                <w:color w:val="auto"/>
              </w:rPr>
            </w:pPr>
          </w:p>
        </w:tc>
      </w:tr>
      <w:tr>
        <w:trPr>
          <w:trHeight w:val="18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 net of issuance costs</w:t>
            </w:r>
          </w:p>
        </w:tc>
        <w:tc>
          <w:tcPr>
            <w:tcW w:w="112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net of issuance costs</w:t>
            </w: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28,750,000</w:t>
            </w:r>
          </w:p>
        </w:tc>
        <w:tc>
          <w:tcPr>
            <w:tcW w:w="84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29</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80,990</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81,019</w:t>
            </w:r>
          </w:p>
        </w:tc>
        <w:tc>
          <w:tcPr>
            <w:tcW w:w="0" w:type="dxa"/>
            <w:vAlign w:val="bottom"/>
          </w:tcPr>
          <w:p>
            <w:pPr>
              <w:spacing w:after="0"/>
              <w:rPr>
                <w:sz w:val="1"/>
                <w:szCs w:val="1"/>
                <w:color w:val="auto"/>
              </w:rPr>
            </w:pPr>
          </w:p>
        </w:tc>
      </w:tr>
      <w:tr>
        <w:trPr>
          <w:trHeight w:val="17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options</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125,146</w:t>
            </w:r>
          </w:p>
        </w:tc>
        <w:tc>
          <w:tcPr>
            <w:tcW w:w="840" w:type="dxa"/>
            <w:vAlign w:val="bottom"/>
          </w:tcPr>
          <w:p>
            <w:pPr>
              <w:spacing w:after="0"/>
              <w:rPr>
                <w:sz w:val="15"/>
                <w:szCs w:val="15"/>
                <w:color w:val="auto"/>
              </w:rPr>
            </w:pPr>
          </w:p>
        </w:tc>
        <w:tc>
          <w:tcPr>
            <w:tcW w:w="4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273</w:t>
            </w:r>
          </w:p>
        </w:tc>
        <w:tc>
          <w:tcPr>
            <w:tcW w:w="1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175"/>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242,454</w:t>
            </w:r>
          </w:p>
        </w:tc>
        <w:tc>
          <w:tcPr>
            <w:tcW w:w="84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42,653</w:t>
            </w:r>
          </w:p>
        </w:tc>
        <w:tc>
          <w:tcPr>
            <w:tcW w:w="840" w:type="dxa"/>
            <w:vAlign w:val="bottom"/>
          </w:tcPr>
          <w:p>
            <w:pPr>
              <w:spacing w:after="0"/>
              <w:rPr>
                <w:sz w:val="15"/>
                <w:szCs w:val="15"/>
                <w:color w:val="auto"/>
              </w:rPr>
            </w:pPr>
          </w:p>
        </w:tc>
        <w:tc>
          <w:tcPr>
            <w:tcW w:w="4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39"/>
        </w:trPr>
        <w:tc>
          <w:tcPr>
            <w:tcW w:w="41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Restricted stock awards withheld for payment of employees'</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(18,187 )</w:t>
            </w:r>
          </w:p>
        </w:tc>
        <w:tc>
          <w:tcPr>
            <w:tcW w:w="840" w:type="dxa"/>
            <w:vAlign w:val="bottom"/>
            <w:shd w:val="clear" w:color="auto" w:fill="CFF0FC"/>
          </w:tcPr>
          <w:p>
            <w:pPr>
              <w:spacing w:after="0"/>
              <w:rPr>
                <w:sz w:val="12"/>
                <w:szCs w:val="12"/>
                <w:color w:val="auto"/>
              </w:rPr>
            </w:pPr>
          </w:p>
        </w:tc>
        <w:tc>
          <w:tcPr>
            <w:tcW w:w="4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12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40" w:type="dxa"/>
            <w:vAlign w:val="bottom"/>
            <w:vMerge w:val="restart"/>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0" w:type="dxa"/>
            <w:vAlign w:val="bottom"/>
          </w:tcPr>
          <w:p>
            <w:pPr>
              <w:spacing w:after="0"/>
              <w:rPr>
                <w:sz w:val="1"/>
                <w:szCs w:val="1"/>
                <w:color w:val="auto"/>
              </w:rPr>
            </w:pPr>
          </w:p>
        </w:tc>
      </w:tr>
      <w:tr>
        <w:trPr>
          <w:trHeight w:val="185"/>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withholding tax liability</w:t>
            </w:r>
          </w:p>
        </w:tc>
        <w:tc>
          <w:tcPr>
            <w:tcW w:w="1120" w:type="dxa"/>
            <w:vAlign w:val="bottom"/>
            <w:vMerge w:val="continue"/>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2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vMerge w:val="continue"/>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 of restricted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(65,009 )</w:t>
            </w:r>
          </w:p>
        </w:tc>
        <w:tc>
          <w:tcPr>
            <w:tcW w:w="840" w:type="dxa"/>
            <w:vAlign w:val="bottom"/>
          </w:tcPr>
          <w:p>
            <w:pPr>
              <w:spacing w:after="0"/>
              <w:rPr>
                <w:sz w:val="15"/>
                <w:szCs w:val="15"/>
                <w:color w:val="auto"/>
              </w:rPr>
            </w:pPr>
          </w:p>
        </w:tc>
        <w:tc>
          <w:tcPr>
            <w:tcW w:w="4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2,561</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2,561</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(loss) on securities</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4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20" w:type="dxa"/>
            <w:vAlign w:val="bottom"/>
          </w:tcPr>
          <w:p>
            <w:pPr>
              <w:spacing w:after="0"/>
              <w:rPr>
                <w:sz w:val="15"/>
                <w:szCs w:val="15"/>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75"/>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(45,472 )</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(45,472 )</w:t>
            </w:r>
          </w:p>
        </w:tc>
        <w:tc>
          <w:tcPr>
            <w:tcW w:w="0" w:type="dxa"/>
            <w:vAlign w:val="bottom"/>
          </w:tcPr>
          <w:p>
            <w:pPr>
              <w:spacing w:after="0"/>
              <w:rPr>
                <w:sz w:val="1"/>
                <w:szCs w:val="1"/>
                <w:color w:val="auto"/>
              </w:rPr>
            </w:pPr>
          </w:p>
        </w:tc>
      </w:tr>
      <w:tr>
        <w:trPr>
          <w:trHeight w:val="169"/>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2021</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69,707,541</w:t>
            </w:r>
          </w:p>
        </w:tc>
        <w:tc>
          <w:tcPr>
            <w:tcW w:w="84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437,286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(275,783 ) $</w:t>
            </w: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161,582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 Consolidated Statements of Cash Flows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ectPr>
          <w:pgSz w:w="11900" w:h="16838" w:orient="portrait"/>
          <w:cols w:equalWidth="0" w:num="1">
            <w:col w:w="11240"/>
          </w:cols>
          <w:pgMar w:left="320" w:top="320" w:right="339" w:bottom="1440" w:gutter="0" w:footer="0" w:header="0"/>
        </w:sectPr>
      </w:pPr>
    </w:p>
    <w:p>
      <w:pPr>
        <w:spacing w:after="0" w:line="21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16510</wp:posOffset>
            </wp:positionV>
            <wp:extent cx="10718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16510</wp:posOffset>
            </wp:positionV>
            <wp:extent cx="10198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25" w:lineRule="exact"/>
        <w:rPr>
          <w:sz w:val="20"/>
          <w:szCs w:val="20"/>
          <w:color w:val="auto"/>
        </w:rPr>
      </w:pPr>
    </w:p>
    <w:p>
      <w:pPr>
        <w:sectPr>
          <w:pgSz w:w="11900" w:h="16838" w:orient="portrait"/>
          <w:cols w:equalWidth="0" w:num="2">
            <w:col w:w="9020" w:space="700"/>
            <w:col w:w="1520"/>
          </w:cols>
          <w:pgMar w:left="320" w:top="320"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5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(49,451 )</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(45,472 )</w:t>
            </w: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Accretion/amortization of investment securities</w:t>
            </w:r>
          </w:p>
        </w:tc>
        <w:tc>
          <w:tcPr>
            <w:tcW w:w="6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(364 )</w:t>
            </w: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carrying amount of operating lease right of use asset</w:t>
            </w: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6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(1,500 )</w:t>
            </w:r>
          </w:p>
        </w:tc>
        <w:tc>
          <w:tcPr>
            <w:tcW w:w="5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7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research and development, net of current portion</w:t>
            </w: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(2,932 )</w:t>
            </w:r>
          </w:p>
        </w:tc>
        <w:tc>
          <w:tcPr>
            <w:tcW w:w="5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(1,968 )</w:t>
            </w:r>
          </w:p>
        </w:tc>
      </w:tr>
      <w:tr>
        <w:trPr>
          <w:trHeight w:val="216"/>
        </w:trPr>
        <w:tc>
          <w:tcPr>
            <w:tcW w:w="7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6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(9 )</w:t>
            </w:r>
          </w:p>
        </w:tc>
        <w:tc>
          <w:tcPr>
            <w:tcW w:w="5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0"/>
        </w:trPr>
        <w:tc>
          <w:tcPr>
            <w:tcW w:w="756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(44,495 )</w:t>
            </w:r>
          </w:p>
        </w:tc>
        <w:tc>
          <w:tcPr>
            <w:tcW w:w="5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(39,138 )</w:t>
            </w:r>
          </w:p>
        </w:tc>
      </w:tr>
      <w:tr>
        <w:trPr>
          <w:trHeight w:val="20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6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(66,191 )</w:t>
            </w:r>
          </w:p>
        </w:tc>
        <w:tc>
          <w:tcPr>
            <w:tcW w:w="5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(97,981 )</w:t>
            </w: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maturity of marketable securities</w:t>
            </w: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110,366</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77,272</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redemption of marketable securities</w:t>
            </w:r>
          </w:p>
        </w:tc>
        <w:tc>
          <w:tcPr>
            <w:tcW w:w="6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6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(685 )</w:t>
            </w:r>
          </w:p>
        </w:tc>
        <w:tc>
          <w:tcPr>
            <w:tcW w:w="5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(507 )</w:t>
            </w:r>
          </w:p>
        </w:tc>
      </w:tr>
      <w:tr>
        <w:trPr>
          <w:trHeight w:val="20"/>
        </w:trPr>
        <w:tc>
          <w:tcPr>
            <w:tcW w:w="756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43,490</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(19,946 )</w:t>
            </w:r>
          </w:p>
        </w:tc>
      </w:tr>
      <w:tr>
        <w:trPr>
          <w:trHeight w:val="210"/>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6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(9 )</w:t>
            </w:r>
          </w:p>
        </w:tc>
        <w:tc>
          <w:tcPr>
            <w:tcW w:w="5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6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81,167</w:t>
            </w:r>
          </w:p>
        </w:tc>
        <w:tc>
          <w:tcPr>
            <w:tcW w:w="100" w:type="dxa"/>
            <w:vAlign w:val="bottom"/>
            <w:shd w:val="clear" w:color="auto" w:fill="CFF0FC"/>
          </w:tcPr>
          <w:p>
            <w:pPr>
              <w:spacing w:after="0"/>
              <w:rPr>
                <w:sz w:val="18"/>
                <w:szCs w:val="18"/>
                <w:color w:val="auto"/>
              </w:rPr>
            </w:pPr>
          </w:p>
        </w:tc>
      </w:tr>
      <w:tr>
        <w:trPr>
          <w:trHeight w:val="171"/>
        </w:trPr>
        <w:tc>
          <w:tcPr>
            <w:tcW w:w="756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Proceeds from issuance of common stock in connection with at-the-market offering, net of</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costs</w:t>
            </w:r>
          </w:p>
        </w:tc>
        <w:tc>
          <w:tcPr>
            <w:tcW w:w="6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100" w:type="dxa"/>
            <w:vAlign w:val="bottom"/>
          </w:tcPr>
          <w:p>
            <w:pPr>
              <w:spacing w:after="0"/>
              <w:rPr>
                <w:sz w:val="20"/>
                <w:szCs w:val="20"/>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employee stock purchases and exercise of stock options</w:t>
            </w: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employee withholding taxes relating to restricted stock awards</w:t>
            </w:r>
          </w:p>
        </w:tc>
        <w:tc>
          <w:tcPr>
            <w:tcW w:w="6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r>
      <w:tr>
        <w:trPr>
          <w:trHeight w:val="210"/>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0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6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(816 )</w:t>
            </w: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30,418</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6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2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16,719</w:t>
            </w:r>
          </w:p>
        </w:tc>
        <w:tc>
          <w:tcPr>
            <w:tcW w:w="280" w:type="dxa"/>
            <w:vAlign w:val="bottom"/>
          </w:tcPr>
          <w:p>
            <w:pPr>
              <w:spacing w:after="0"/>
              <w:rPr>
                <w:sz w:val="18"/>
                <w:szCs w:val="18"/>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64,022</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Assets acquired under operating lease obligation</w:t>
            </w: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purchases included in accounts payable and accrued expenses</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financing activities:</w:t>
            </w: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under finance lease</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costs included in accounts payable and accrued expenses</w:t>
            </w: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FF0FC"/>
          </w:tcPr>
          <w:p>
            <w:pPr>
              <w:spacing w:after="0"/>
              <w:rPr>
                <w:sz w:val="18"/>
                <w:szCs w:val="18"/>
                <w:color w:val="auto"/>
              </w:rPr>
            </w:pPr>
          </w:p>
        </w:tc>
      </w:tr>
      <w:tr>
        <w:trPr>
          <w:trHeight w:val="234"/>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-3645535</wp:posOffset>
            </wp:positionV>
            <wp:extent cx="6858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-3645535</wp:posOffset>
            </wp:positionV>
            <wp:extent cx="6858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-2805430</wp:posOffset>
            </wp:positionV>
            <wp:extent cx="6858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-2805430</wp:posOffset>
            </wp:positionV>
            <wp:extent cx="6858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-1562735</wp:posOffset>
            </wp:positionV>
            <wp:extent cx="6858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-1562735</wp:posOffset>
            </wp:positionV>
            <wp:extent cx="6858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-1279525</wp:posOffset>
            </wp:positionV>
            <wp:extent cx="6858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-1279525</wp:posOffset>
            </wp:positionV>
            <wp:extent cx="6858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171"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08" w:lineRule="exact"/>
        <w:rPr>
          <w:sz w:val="20"/>
          <w:szCs w:val="20"/>
          <w:color w:val="auto"/>
        </w:rPr>
      </w:pPr>
    </w:p>
    <w:p>
      <w:pPr>
        <w:jc w:val="both"/>
        <w:ind w:right="180" w:firstLine="509"/>
        <w:spacing w:after="0" w:line="262" w:lineRule="auto"/>
        <w:rPr>
          <w:sz w:val="20"/>
          <w:szCs w:val="20"/>
          <w:color w:val="auto"/>
        </w:rPr>
      </w:pPr>
      <w:r>
        <w:rPr>
          <w:rFonts w:ascii="Times New Roman" w:cs="Times New Roman" w:eastAsia="Times New Roman" w:hAnsi="Times New Roman"/>
          <w:sz w:val="17"/>
          <w:szCs w:val="17"/>
          <w:color w:val="auto"/>
        </w:rPr>
        <w:t>Synlogic, Inc., together with its wholly owned and consolidated subsidiaries (“Synlogic” or “the Company”), is a clinical-stage biopharmaceutical company applying synthetic biology to the discovery and development of Synthetic Biotics. Synthetic Biotics are generated from Synlogic’s proprietary platform, leveraging a reproducible, modular approach to the generation of novel drug candidates that perform or deliver critical therapeutic functions.</w:t>
      </w:r>
    </w:p>
    <w:p>
      <w:pPr>
        <w:spacing w:after="0" w:line="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Synthetic Biotics are designed to metabolize a toxic substance, compensate for missing or damaged metabolic pathways or deliver combinations of therapeutic factors. Synlogic’s goal is to discover, develop and ultimately commercialize Synthetic Biotics. Since incorporation, the Company has devoted substantially all of its efforts to the research and development of its product candidates.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08"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At September 30, 2022, the Company had approximately $91.7 million in cash, cash equivalents, and short-term marketable securities, $1.1 million of restricted cash and an accumulated deficit of approximately $340.3 million. Since its inception through September 30, 2022, the Company has primarily financed its operations through the issuance of preferred stock, units and warrants, the sale of its common stock, collaborations, including with Roche, and cash received in the Merger (defined below). In the absence of positive cash flows from operations, the Company is highly dependent on its ability to find additional sources of funding in the form of debt or equity financing. Management believes that the Company has sufficient cash to fund its operations through at least twelve months from the issuance of these financial statements.</w:t>
      </w:r>
    </w:p>
    <w:p>
      <w:pPr>
        <w:spacing w:after="0" w:line="166" w:lineRule="exact"/>
        <w:rPr>
          <w:sz w:val="20"/>
          <w:szCs w:val="20"/>
          <w:color w:val="auto"/>
        </w:rPr>
      </w:pPr>
    </w:p>
    <w:p>
      <w:pPr>
        <w:ind w:right="340" w:firstLine="509"/>
        <w:spacing w:after="0" w:line="244" w:lineRule="auto"/>
        <w:rPr>
          <w:sz w:val="20"/>
          <w:szCs w:val="20"/>
          <w:color w:val="auto"/>
        </w:rPr>
      </w:pPr>
      <w:r>
        <w:rPr>
          <w:rFonts w:ascii="Times New Roman" w:cs="Times New Roman" w:eastAsia="Times New Roman" w:hAnsi="Times New Roman"/>
          <w:sz w:val="17"/>
          <w:szCs w:val="17"/>
          <w:color w:val="auto"/>
        </w:rPr>
        <w:t>As an early-stage company, the Company is subject to a number of risks common to other life science companies, including, but not limited to, raising additional capital, development by its competitors of new technological innovations, risk of failure in preclinical and clinical studies, safety and</w:t>
      </w:r>
    </w:p>
    <w:p>
      <w:pPr>
        <w:spacing w:after="0" w:line="1" w:lineRule="exact"/>
        <w:rPr>
          <w:sz w:val="20"/>
          <w:szCs w:val="20"/>
          <w:color w:val="auto"/>
        </w:rPr>
      </w:pPr>
    </w:p>
    <w:p>
      <w:pPr>
        <w:ind w:right="280"/>
        <w:spacing w:after="0" w:line="223" w:lineRule="auto"/>
        <w:rPr>
          <w:sz w:val="20"/>
          <w:szCs w:val="20"/>
          <w:color w:val="auto"/>
        </w:rPr>
      </w:pPr>
      <w:r>
        <w:rPr>
          <w:rFonts w:ascii="Times New Roman" w:cs="Times New Roman" w:eastAsia="Times New Roman" w:hAnsi="Times New Roman"/>
          <w:sz w:val="17"/>
          <w:szCs w:val="17"/>
          <w:color w:val="auto"/>
        </w:rPr>
        <w:t>efficacy of its product candidates in clinical trials, the risk of relying on external parties such as contract research organizations (CROs) and contract manufacturing organizations (CMOs), the regulatory approval process, market acceptance of the Company’s products once approved, lack of marketing</w:t>
      </w:r>
    </w:p>
    <w:p>
      <w:pPr>
        <w:spacing w:after="0" w:line="1" w:lineRule="exact"/>
        <w:rPr>
          <w:sz w:val="20"/>
          <w:szCs w:val="20"/>
          <w:color w:val="auto"/>
        </w:rPr>
      </w:pPr>
    </w:p>
    <w:p>
      <w:pPr>
        <w:ind w:right="580"/>
        <w:spacing w:after="0" w:line="219" w:lineRule="auto"/>
        <w:rPr>
          <w:sz w:val="20"/>
          <w:szCs w:val="20"/>
          <w:color w:val="auto"/>
        </w:rPr>
      </w:pPr>
      <w:r>
        <w:rPr>
          <w:rFonts w:ascii="Times New Roman" w:cs="Times New Roman" w:eastAsia="Times New Roman" w:hAnsi="Times New Roman"/>
          <w:sz w:val="18"/>
          <w:szCs w:val="18"/>
          <w:color w:val="auto"/>
        </w:rPr>
        <w:t>and sales history, dependence on key personnel and protection of proprietary technology. The Company’s therapeutic programs are currently pre-commercial, spanning discovery through development and will require significant additional research and development efforts, including extensive</w:t>
      </w:r>
    </w:p>
    <w:p>
      <w:pPr>
        <w:ind w:right="140"/>
        <w:spacing w:after="0" w:line="211" w:lineRule="auto"/>
        <w:rPr>
          <w:sz w:val="20"/>
          <w:szCs w:val="20"/>
          <w:color w:val="auto"/>
        </w:rPr>
      </w:pPr>
      <w:r>
        <w:rPr>
          <w:rFonts w:ascii="Times New Roman" w:cs="Times New Roman" w:eastAsia="Times New Roman" w:hAnsi="Times New Roman"/>
          <w:sz w:val="18"/>
          <w:szCs w:val="18"/>
          <w:color w:val="auto"/>
        </w:rPr>
        <w:t>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w:t>
      </w:r>
    </w:p>
    <w:p>
      <w:pPr>
        <w:spacing w:after="0" w:line="1"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7"/>
          <w:szCs w:val="17"/>
          <w:color w:val="auto"/>
        </w:rPr>
        <w:t>research and development will be successfully completed, that adequate protection for the Company’s intellectual property will be obtained, that any products developed will obtain necessary regulatory approval or that any approved products will be commercially viable. Even if the Company’s product development efforts are successful, it is uncertain when, if ever, the Company will generate revenue from product sales. The Company may never achieve</w:t>
      </w:r>
    </w:p>
    <w:p>
      <w:pPr>
        <w:ind w:right="640"/>
        <w:spacing w:after="0" w:line="226" w:lineRule="auto"/>
        <w:rPr>
          <w:sz w:val="20"/>
          <w:szCs w:val="20"/>
          <w:color w:val="auto"/>
        </w:rPr>
      </w:pPr>
      <w:r>
        <w:rPr>
          <w:rFonts w:ascii="Times New Roman" w:cs="Times New Roman" w:eastAsia="Times New Roman" w:hAnsi="Times New Roman"/>
          <w:sz w:val="18"/>
          <w:szCs w:val="18"/>
          <w:color w:val="auto"/>
        </w:rPr>
        <w:t>profitability, and unless and until it does, it will continue to need to raise additional capital or obtain financing from other sources, such as strategic collaborations or alliances.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While the Company is not aware of a material impact from the continuation of the COVID-19 pandemic through September 30, 2022, the full extent</w:t>
      </w:r>
    </w:p>
    <w:p>
      <w:pPr>
        <w:spacing w:after="0" w:line="14" w:lineRule="exact"/>
        <w:rPr>
          <w:sz w:val="20"/>
          <w:szCs w:val="20"/>
          <w:color w:val="auto"/>
        </w:rPr>
      </w:pPr>
    </w:p>
    <w:p>
      <w:pPr>
        <w:ind w:right="480"/>
        <w:spacing w:after="0" w:line="226" w:lineRule="auto"/>
        <w:rPr>
          <w:sz w:val="20"/>
          <w:szCs w:val="20"/>
          <w:color w:val="auto"/>
        </w:rPr>
      </w:pPr>
      <w:r>
        <w:rPr>
          <w:rFonts w:ascii="Times New Roman" w:cs="Times New Roman" w:eastAsia="Times New Roman" w:hAnsi="Times New Roman"/>
          <w:sz w:val="18"/>
          <w:szCs w:val="18"/>
          <w:color w:val="auto"/>
        </w:rPr>
        <w:t>to which the COVID-19 pandemic will directly or indirectly impact the Company’s business, results of operations, and financial condition, including expenses and manufacturing, clinical trials, and research and development costs, depends on future developments that are uncertain at this time.</w:t>
      </w:r>
    </w:p>
    <w:p>
      <w:pPr>
        <w:spacing w:after="0" w:line="288"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08" w:lineRule="exact"/>
        <w:rPr>
          <w:sz w:val="20"/>
          <w:szCs w:val="20"/>
          <w:color w:val="auto"/>
        </w:rPr>
      </w:pPr>
    </w:p>
    <w:p>
      <w:pPr>
        <w:ind w:right="140" w:firstLine="509"/>
        <w:spacing w:after="0"/>
        <w:rPr>
          <w:sz w:val="20"/>
          <w:szCs w:val="20"/>
          <w:color w:val="auto"/>
        </w:rPr>
      </w:pPr>
      <w:r>
        <w:rPr>
          <w:rFonts w:ascii="Times New Roman" w:cs="Times New Roman" w:eastAsia="Times New Roman" w:hAnsi="Times New Roman"/>
          <w:sz w:val="18"/>
          <w:szCs w:val="18"/>
          <w:color w:val="auto"/>
        </w:rPr>
        <w:t>The significant accounting policies described in the Company’s audited financial statements as of and for the year ended December 31, 2021, and the notes thereto, which are included in the Company’s Annual Report on Form 10-K for the year ended December 31, 2021, filed with the Securities and Exchange Commission (SEC) on March 17, 2022 (the 2021 Annual Report), have had no material changes during the three and nine months ended September 30, 2022.</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ind w:firstLine="509"/>
        <w:spacing w:after="0" w:line="233" w:lineRule="auto"/>
        <w:rPr>
          <w:sz w:val="20"/>
          <w:szCs w:val="20"/>
          <w:color w:val="auto"/>
        </w:rPr>
      </w:pPr>
      <w:r>
        <w:rPr>
          <w:rFonts w:ascii="Times New Roman" w:cs="Times New Roman" w:eastAsia="Times New Roman" w:hAnsi="Times New Roman"/>
          <w:sz w:val="18"/>
          <w:szCs w:val="18"/>
          <w:color w:val="auto"/>
        </w:rPr>
        <w:t>The accompanying consolidated financial statements and the related disclosures as of September 30, 2022 and for the three and nine months ended September 30, 2022 and 2021 are unaudited and have been prepared in accordance with accounting principles generally accepted in the United States (GAAP) and the rules and regulations of the SEC for interim financial statements. Accordingly, they do not include all of the information and notes required by GAAP for complete financial statements. These interim consolidated financial statements should be read in conjunction with the Company’s 2021 and 2020 audited consolidated financial statements and notes included in the 2021 Annual Report. The consolidated balance sheet as of December 31, 2021 included herein was derived from the audited financial statements as of that date but does not include all disclosures including notes required by GAAP for complete financial statements. In the opinion of management, the unaudited interim consolidated financial statements reflect all adjustments, consisting of normal and recurring adjustments, necessary for the fair presentation of the Company’s financial position and results of operations for the three and nine months ended September 30, 2022 and 2021. The results of operations for the interim periods are not necessarily indicative of the results to be expected for the year ending December 31, 2022 or any other interim period or future year or period.</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16" w:lineRule="exact"/>
        <w:rPr>
          <w:sz w:val="20"/>
          <w:szCs w:val="20"/>
          <w:color w:val="auto"/>
        </w:rPr>
      </w:pPr>
    </w:p>
    <w:p>
      <w:pPr>
        <w:ind w:right="620" w:firstLine="562"/>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16"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New accounting pronouncements are issued by the FASB from time to time, and rules are issued by the SEC that the Company has or will adopt as of a specified date. Unless otherwise noted, management does not believe that any recently issued accounting pronouncements issued by the FASB or guidance issued by the SEC had, or is expected to have, a material impact on the Company’s present or future financial statements.</w:t>
      </w:r>
    </w:p>
    <w:p>
      <w:pPr>
        <w:spacing w:after="0" w:line="321"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08" w:lineRule="exact"/>
        <w:rPr>
          <w:sz w:val="20"/>
          <w:szCs w:val="20"/>
          <w:color w:val="auto"/>
        </w:rPr>
      </w:pPr>
    </w:p>
    <w:p>
      <w:pPr>
        <w:jc w:val="both"/>
        <w:ind w:right="300" w:firstLine="509"/>
        <w:spacing w:after="0" w:line="258" w:lineRule="auto"/>
        <w:rPr>
          <w:sz w:val="20"/>
          <w:szCs w:val="20"/>
          <w:color w:val="auto"/>
        </w:rPr>
      </w:pPr>
      <w:r>
        <w:rPr>
          <w:rFonts w:ascii="Times New Roman" w:cs="Times New Roman" w:eastAsia="Times New Roman" w:hAnsi="Times New Roman"/>
          <w:sz w:val="18"/>
          <w:szCs w:val="18"/>
          <w:color w:val="auto"/>
        </w:rPr>
        <w:t>The tables below present information about the Company’s assets that are measured at fair value on a recurring basis and indicate the fair value hierarchy of the valuation techniques the Company utilized to determine such fair value, as described under Note 2</w:t>
      </w:r>
      <w:r>
        <w:rPr>
          <w:rFonts w:ascii="Times New Roman" w:cs="Times New Roman" w:eastAsia="Times New Roman" w:hAnsi="Times New Roman"/>
          <w:sz w:val="18"/>
          <w:szCs w:val="18"/>
          <w:i w:val="1"/>
          <w:iCs w:val="1"/>
          <w:color w:val="auto"/>
        </w:rPr>
        <w:t>, 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w:t>
      </w:r>
      <w:r>
        <w:rPr>
          <w:rFonts w:ascii="Times New Roman" w:cs="Times New Roman" w:eastAsia="Times New Roman" w:hAnsi="Times New Roman"/>
          <w:sz w:val="18"/>
          <w:szCs w:val="18"/>
          <w:color w:val="auto"/>
        </w:rPr>
        <w:t>in the audited financial statements included in the 2021 Annual Report.</w:t>
      </w:r>
    </w:p>
    <w:p>
      <w:pPr>
        <w:spacing w:after="0" w:line="169"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9" w:name="page10"/>
    <w:bookmarkEnd w:id="9"/>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At September 30, 2022 and December 31, 2021, the Company has classified assets measured at fair value on a recurring basis as follows (in thousands):</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8"/>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5"/>
                <w:szCs w:val="15"/>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980" w:type="dxa"/>
            <w:vAlign w:val="bottom"/>
            <w:gridSpan w:val="2"/>
          </w:tcPr>
          <w:p>
            <w:pPr>
              <w:ind w:left="1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11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center"/>
              <w:ind w:right="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98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auto"/>
              </w:rPr>
              <w:t>Commercial paper (included in cash and cash</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equivalents)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56,758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56,758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19,276</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19,276</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91,656</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32,903</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58,753</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5"/>
                <w:szCs w:val="15"/>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980" w:type="dxa"/>
            <w:vAlign w:val="bottom"/>
            <w:gridSpan w:val="2"/>
          </w:tcPr>
          <w:p>
            <w:pPr>
              <w:ind w:left="1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11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16,437</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16,437</w:t>
            </w: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center"/>
              <w:ind w:right="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106,277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106,277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136,628</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24,478</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center"/>
              <w:ind w:right="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112,150</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-1765300</wp:posOffset>
            </wp:positionV>
            <wp:extent cx="68580" cy="308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-1765300</wp:posOffset>
            </wp:positionV>
            <wp:extent cx="60325" cy="308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30861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-1765300</wp:posOffset>
            </wp:positionV>
            <wp:extent cx="60325"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30861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-1765300</wp:posOffset>
            </wp:positionV>
            <wp:extent cx="60325" cy="1045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1045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-25400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-25400</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-8255</wp:posOffset>
            </wp:positionV>
            <wp:extent cx="603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603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Cash equivalents, prepaid expenses and other current assets, accounts payable and accrued expenses at September 30, 2022 and December 31, 2021 are carried at amounts that approximate fair value due to their short-term maturities. Finance lease obligations at September 30, 2022 and December 31, 2021 approximate fair value as they bear interest at a rate approximating a market interest rate.</w:t>
      </w:r>
    </w:p>
    <w:p>
      <w:pPr>
        <w:spacing w:after="0" w:line="273"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Available-for-Sale Investments</w:t>
      </w:r>
    </w:p>
    <w:p>
      <w:pPr>
        <w:spacing w:after="0" w:line="21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summarize the available-for-sale securities held at September 30, 2022 and December 31, 2021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4"/>
                <w:szCs w:val="14"/>
                <w:color w:val="auto"/>
              </w:rPr>
            </w:pPr>
          </w:p>
        </w:tc>
        <w:tc>
          <w:tcPr>
            <w:tcW w:w="1280" w:type="dxa"/>
            <w:vAlign w:val="bottom"/>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4"/>
                <w:szCs w:val="14"/>
                <w:color w:val="auto"/>
              </w:rPr>
            </w:pPr>
          </w:p>
        </w:tc>
        <w:tc>
          <w:tcPr>
            <w:tcW w:w="108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56,943</w:t>
            </w:r>
          </w:p>
        </w:tc>
        <w:tc>
          <w:tcPr>
            <w:tcW w:w="24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56,758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19,482</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(206 )</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76,425</w:t>
            </w:r>
          </w:p>
        </w:tc>
        <w:tc>
          <w:tcPr>
            <w:tcW w:w="240" w:type="dxa"/>
            <w:vAlign w:val="bottom"/>
          </w:tcPr>
          <w:p>
            <w:pPr>
              <w:spacing w:after="0"/>
              <w:rPr>
                <w:sz w:val="18"/>
                <w:szCs w:val="18"/>
                <w:color w:val="auto"/>
              </w:rPr>
            </w:pP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(391 )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80" w:type="dxa"/>
            <w:vAlign w:val="bottom"/>
          </w:tcPr>
          <w:p>
            <w:pPr>
              <w:spacing w:after="0"/>
              <w:rPr>
                <w:sz w:val="24"/>
                <w:szCs w:val="24"/>
                <w:color w:val="auto"/>
              </w:rPr>
            </w:pPr>
          </w:p>
        </w:tc>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24"/>
                <w:szCs w:val="24"/>
                <w:color w:val="auto"/>
              </w:rPr>
            </w:pPr>
          </w:p>
        </w:tc>
        <w:tc>
          <w:tcPr>
            <w:tcW w:w="1280" w:type="dxa"/>
            <w:vAlign w:val="bottom"/>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24"/>
                <w:szCs w:val="24"/>
                <w:color w:val="auto"/>
              </w:rPr>
            </w:pPr>
          </w:p>
        </w:tc>
        <w:tc>
          <w:tcPr>
            <w:tcW w:w="108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106,298</w:t>
            </w:r>
          </w:p>
        </w:tc>
        <w:tc>
          <w:tcPr>
            <w:tcW w:w="24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106,277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(21 )</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120,236</w:t>
            </w:r>
          </w:p>
        </w:tc>
        <w:tc>
          <w:tcPr>
            <w:tcW w:w="240" w:type="dxa"/>
            <w:vAlign w:val="bottom"/>
          </w:tcPr>
          <w:p>
            <w:pPr>
              <w:spacing w:after="0"/>
              <w:rPr>
                <w:sz w:val="18"/>
                <w:szCs w:val="18"/>
                <w:color w:val="auto"/>
              </w:rPr>
            </w:pP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(53 )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120,191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37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-1585595</wp:posOffset>
            </wp:positionV>
            <wp:extent cx="68580" cy="523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52324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-1585595</wp:posOffset>
            </wp:positionV>
            <wp:extent cx="60325" cy="523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52324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-1585595</wp:posOffset>
            </wp:positionV>
            <wp:extent cx="60325" cy="523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52324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-1585595</wp:posOffset>
            </wp:positionV>
            <wp:extent cx="60325" cy="523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52324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-650875</wp:posOffset>
            </wp:positionV>
            <wp:extent cx="6858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-650875</wp:posOffset>
            </wp:positionV>
            <wp:extent cx="6032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-650875</wp:posOffset>
            </wp:positionV>
            <wp:extent cx="6032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-650875</wp:posOffset>
            </wp:positionV>
            <wp:extent cx="6032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 w:name="page11"/>
    <w:bookmarkEnd w:id="10"/>
    <w:p>
      <w:pPr>
        <w:ind w:firstLine="509"/>
        <w:spacing w:after="0" w:line="243" w:lineRule="auto"/>
        <w:rPr>
          <w:sz w:val="20"/>
          <w:szCs w:val="20"/>
          <w:color w:val="auto"/>
        </w:rPr>
      </w:pPr>
      <w:r>
        <w:rPr>
          <w:rFonts w:ascii="Times New Roman" w:cs="Times New Roman" w:eastAsia="Times New Roman" w:hAnsi="Times New Roman"/>
          <w:sz w:val="18"/>
          <w:szCs w:val="18"/>
          <w:color w:val="auto"/>
        </w:rPr>
        <w:t>The contractual maturity of all securities held at September 30, 2022 was eight months or less. There were 28 and 20 investments in an unrealized loss position at September 30, 2022 and December 31, 2021, respectively, none of which had been in an unrealized loss position for more than twelve months. The aggregate fair value of the securities in an unrealized loss position at September 30, 2022 and December 31, 2021 was $76.0 million and $72.2 million, respectively. The Company reviews its investments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 The Company did not hold any securities with an other-than-temporary impairment at September 30, 2022.</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Gross realized gains and losses on the sales of investments have not been material to the Company’s consolidated statement of operations.</w:t>
      </w:r>
    </w:p>
    <w:p>
      <w:pPr>
        <w:spacing w:after="0" w:line="316"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0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9,561</w:t>
            </w:r>
          </w:p>
        </w:tc>
        <w:tc>
          <w:tcPr>
            <w:tcW w:w="80" w:type="dxa"/>
            <w:vAlign w:val="bottom"/>
          </w:tcPr>
          <w:p>
            <w:pPr>
              <w:spacing w:after="0"/>
              <w:rPr>
                <w:sz w:val="18"/>
                <w:szCs w:val="18"/>
                <w:color w:val="auto"/>
              </w:rPr>
            </w:pPr>
          </w:p>
        </w:tc>
      </w:tr>
      <w:tr>
        <w:trPr>
          <w:trHeight w:val="216"/>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19,714</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(12,527 )</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(10,626 )</w:t>
            </w:r>
          </w:p>
        </w:tc>
      </w:tr>
      <w:tr>
        <w:trPr>
          <w:trHeight w:val="209"/>
        </w:trPr>
        <w:tc>
          <w:tcPr>
            <w:tcW w:w="5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80" w:type="dxa"/>
            <w:vAlign w:val="bottom"/>
            <w:tcBorders>
              <w:top w:val="single" w:sz="8" w:color="CFF0FC"/>
            </w:tcBorders>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-454025</wp:posOffset>
            </wp:positionV>
            <wp:extent cx="5143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-454025</wp:posOffset>
            </wp:positionV>
            <wp:extent cx="4318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180" cy="14605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-170815</wp:posOffset>
            </wp:positionV>
            <wp:extent cx="5143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0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 of the following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r>
      <w:tr>
        <w:trPr>
          <w:trHeight w:val="187"/>
        </w:trPr>
        <w:tc>
          <w:tcPr>
            <w:tcW w:w="5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related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8"/>
                <w:szCs w:val="18"/>
                <w:color w:val="auto"/>
              </w:rPr>
            </w:pPr>
          </w:p>
        </w:tc>
      </w:tr>
      <w:tr>
        <w:trPr>
          <w:trHeight w:val="249"/>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-25400</wp:posOffset>
            </wp:positionV>
            <wp:extent cx="514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514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08" w:lineRule="exact"/>
        <w:rPr>
          <w:sz w:val="20"/>
          <w:szCs w:val="20"/>
          <w:color w:val="auto"/>
        </w:rPr>
      </w:pPr>
    </w:p>
    <w:p>
      <w:pPr>
        <w:jc w:val="both"/>
        <w:ind w:right="160" w:firstLine="509"/>
        <w:spacing w:after="0" w:line="250" w:lineRule="auto"/>
        <w:rPr>
          <w:sz w:val="20"/>
          <w:szCs w:val="20"/>
          <w:color w:val="auto"/>
        </w:rPr>
      </w:pPr>
      <w:r>
        <w:rPr>
          <w:rFonts w:ascii="Times New Roman" w:cs="Times New Roman" w:eastAsia="Times New Roman" w:hAnsi="Times New Roman"/>
          <w:sz w:val="18"/>
          <w:szCs w:val="18"/>
          <w:color w:val="auto"/>
        </w:rPr>
        <w:t xml:space="preserve">In June 2019, the Company issued to Ginkgo Bioworks, Inc. (Ginkgo) an aggregate of 6,340,771 shares of common stock at a purchase price per share of $9.00, and pre-funded warrants (the Pre-Funded Warrants) to purchase an aggregate of 2,548,117 shares of common stock at an exercise price of $9.00 per share, with $8.99 of such exercise price paid at the closing of the offering. The net proceeds to the Company were approximately $79.9 million. None of the Pre-Funded Warrants have been exercised as of September 30, 2022. (See Note 9, </w:t>
      </w:r>
      <w:r>
        <w:rPr>
          <w:rFonts w:ascii="Times New Roman" w:cs="Times New Roman" w:eastAsia="Times New Roman" w:hAnsi="Times New Roman"/>
          <w:sz w:val="18"/>
          <w:szCs w:val="18"/>
          <w:i w:val="1"/>
          <w:iCs w:val="1"/>
          <w:color w:val="auto"/>
        </w:rPr>
        <w:t>Collaboration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Ginkgo Collaboration</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The Company had a previous sales agreement with Cowen and Company, LLC (Cowen) with respect to an at-the-market (ATM) offering program, which was entered into on October 13, 2017. In an ATM offering, exchange-listed companies incrementally sell newly issued shares into the secondary trading market through a designated broker-dealer at prevailing market prices. During the three months ended March 31, 2021, 2,447,211 shares of common stock were sold pursuant to the ATM, resulting in net proceeds of approximately $8.1 million. There were no sales pursuant to the Cowen ATM subsequent to March 31, 2021.</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1" w:name="page12"/>
    <w:bookmarkEnd w:id="11"/>
    <w:p>
      <w:pPr>
        <w:ind w:firstLine="509"/>
        <w:spacing w:after="0" w:line="250" w:lineRule="auto"/>
        <w:rPr>
          <w:sz w:val="20"/>
          <w:szCs w:val="20"/>
          <w:color w:val="auto"/>
        </w:rPr>
      </w:pPr>
      <w:r>
        <w:rPr>
          <w:rFonts w:ascii="Times New Roman" w:cs="Times New Roman" w:eastAsia="Times New Roman" w:hAnsi="Times New Roman"/>
          <w:sz w:val="18"/>
          <w:szCs w:val="18"/>
          <w:color w:val="auto"/>
        </w:rPr>
        <w:t>In July 2021, the Company entered into a new sales agreement with Jefferies, LLC (Jefferies) with respect to an ATM offering program, under which the Company may offer and sell, from time to time at its sole discretion, shares of its common stock having aggregate sales proceeds of up to $50.0 million. Jefferies is not required to sell any specific amount but acts as the Company’s sales agent using commercially reasonable efforts consistent with its normal trading and sales practices. During the nine months ended September 30, 2022, no shares of common stock were sold pursuant to the sales agreement with Jefferies.</w:t>
      </w:r>
    </w:p>
    <w:p>
      <w:pPr>
        <w:spacing w:after="0" w:line="177"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Company has reserved for future issuance the following shares of common stock related to the potential exercise of Pre-Funded Warrants, exercise of stock options, and the employee stock purchase plan:</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28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issuable under pre-funded warrants</w:t>
            </w:r>
          </w:p>
        </w:tc>
        <w:tc>
          <w:tcPr>
            <w:tcW w:w="28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2,548,117</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to purchase common stock</w:t>
            </w:r>
          </w:p>
        </w:tc>
        <w:tc>
          <w:tcPr>
            <w:tcW w:w="2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3,028,542</w:t>
            </w:r>
          </w:p>
        </w:tc>
      </w:tr>
      <w:tr>
        <w:trPr>
          <w:trHeight w:val="216"/>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84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5,576,659</w:t>
            </w:r>
          </w:p>
        </w:tc>
      </w:tr>
      <w:tr>
        <w:trPr>
          <w:trHeight w:val="20"/>
        </w:trPr>
        <w:tc>
          <w:tcPr>
            <w:tcW w:w="614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left="520" w:hanging="512"/>
        <w:spacing w:after="0" w:line="207" w:lineRule="exact"/>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132"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7"/>
          <w:szCs w:val="17"/>
          <w:color w:val="auto"/>
        </w:rPr>
        <w:t>On January 1, 2022, the number of shares of common stock available for issuance under the 2015 Equity Incentive Award Plan (the “2015 Plan”) and the 2015 Employee Stock Purchase Plan (“ESPP”) was increased by 3,484,942 shares and 696,988 shares, respectively, due to the annual evergreen provision to increase shares available under the 2015 Plan and the ESPP. As of September 30, 2022, there were an aggregate of 1,824,645 shares available for future grant under the 2017 Stock Incentive Plan (the "2017 Plan") and the 2015 Plan, and 1,275,200 shares available for future grant under the ESPP.</w:t>
      </w:r>
    </w:p>
    <w:p>
      <w:pPr>
        <w:spacing w:after="0" w:line="131" w:lineRule="exact"/>
        <w:rPr>
          <w:sz w:val="20"/>
          <w:szCs w:val="20"/>
          <w:color w:val="auto"/>
        </w:rPr>
      </w:pPr>
    </w:p>
    <w:p>
      <w:pPr>
        <w:ind w:right="1020" w:firstLine="509"/>
        <w:spacing w:after="0" w:line="226" w:lineRule="exact"/>
        <w:rPr>
          <w:sz w:val="20"/>
          <w:szCs w:val="20"/>
          <w:color w:val="auto"/>
        </w:rPr>
      </w:pPr>
      <w:r>
        <w:rPr>
          <w:rFonts w:ascii="Times New Roman" w:cs="Times New Roman" w:eastAsia="Times New Roman" w:hAnsi="Times New Roman"/>
          <w:sz w:val="18"/>
          <w:szCs w:val="18"/>
          <w:color w:val="auto"/>
        </w:rPr>
        <w:t>The following table summarizes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within the Company’s consolidated statements of operations and comprehensive loss for the three and nine months ended September 30, 2022 and 2021 (in thousands):</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18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180" w:type="dxa"/>
            <w:vAlign w:val="bottom"/>
          </w:tcPr>
          <w:p>
            <w:pPr>
              <w:spacing w:after="0"/>
              <w:rPr>
                <w:sz w:val="14"/>
                <w:szCs w:val="14"/>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4"/>
                <w:szCs w:val="14"/>
                <w:color w:val="auto"/>
              </w:rPr>
            </w:pPr>
          </w:p>
        </w:tc>
        <w:tc>
          <w:tcPr>
            <w:tcW w:w="13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4"/>
                <w:szCs w:val="14"/>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8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50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8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FF0FC"/>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5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Pr>
          <w:p>
            <w:pPr>
              <w:spacing w:after="0"/>
              <w:rPr>
                <w:sz w:val="18"/>
                <w:szCs w:val="18"/>
                <w:color w:val="auto"/>
              </w:rPr>
            </w:pPr>
          </w:p>
        </w:tc>
      </w:tr>
      <w:tr>
        <w:trPr>
          <w:trHeight w:val="249"/>
        </w:trPr>
        <w:tc>
          <w:tcPr>
            <w:tcW w:w="31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5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-25400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603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0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-25400</wp:posOffset>
            </wp:positionV>
            <wp:extent cx="60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60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3" w:lineRule="exact"/>
        <w:rPr>
          <w:sz w:val="20"/>
          <w:szCs w:val="20"/>
          <w:color w:val="auto"/>
        </w:rPr>
      </w:pPr>
    </w:p>
    <w:p>
      <w:pPr>
        <w:ind w:right="20" w:firstLine="509"/>
        <w:spacing w:after="0" w:line="232" w:lineRule="exact"/>
        <w:rPr>
          <w:sz w:val="20"/>
          <w:szCs w:val="20"/>
          <w:color w:val="auto"/>
        </w:rPr>
      </w:pPr>
      <w:r>
        <w:rPr>
          <w:rFonts w:ascii="Times New Roman" w:cs="Times New Roman" w:eastAsia="Times New Roman" w:hAnsi="Times New Roman"/>
          <w:sz w:val="18"/>
          <w:szCs w:val="18"/>
          <w:color w:val="auto"/>
        </w:rPr>
        <w:t>The following table summarizes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by type of award for the three and nine months ended September 30, 2022 and 2021 (in thousands):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20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200" w:type="dxa"/>
            <w:vAlign w:val="bottom"/>
          </w:tcPr>
          <w:p>
            <w:pPr>
              <w:spacing w:after="0"/>
              <w:rPr>
                <w:sz w:val="14"/>
                <w:szCs w:val="14"/>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4"/>
                <w:szCs w:val="14"/>
                <w:color w:val="auto"/>
              </w:rPr>
            </w:pP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4"/>
                <w:szCs w:val="14"/>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30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46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shd w:val="clear" w:color="auto" w:fill="CFF0FC"/>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8"/>
                <w:szCs w:val="18"/>
                <w:color w:val="auto"/>
              </w:rPr>
            </w:pPr>
          </w:p>
        </w:tc>
      </w:tr>
      <w:tr>
        <w:trPr>
          <w:trHeight w:val="216"/>
        </w:trPr>
        <w:tc>
          <w:tcPr>
            <w:tcW w:w="3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10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38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380" w:type="dxa"/>
            <w:vAlign w:val="bottom"/>
            <w:gridSpan w:val="2"/>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2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-170815</wp:posOffset>
            </wp:positionV>
            <wp:extent cx="6858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-170815</wp:posOffset>
            </wp:positionV>
            <wp:extent cx="6858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-170815</wp:posOffset>
            </wp:positionV>
            <wp:extent cx="5969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64" w:lineRule="exact"/>
        <w:rPr>
          <w:sz w:val="20"/>
          <w:szCs w:val="20"/>
          <w:color w:val="auto"/>
        </w:rPr>
      </w:pPr>
    </w:p>
    <w:p>
      <w:pPr>
        <w:jc w:val="both"/>
        <w:ind w:right="60" w:firstLine="509"/>
        <w:spacing w:after="0"/>
        <w:rPr>
          <w:sz w:val="20"/>
          <w:szCs w:val="20"/>
          <w:color w:val="auto"/>
        </w:rPr>
      </w:pPr>
      <w:r>
        <w:rPr>
          <w:rFonts w:ascii="Times New Roman" w:cs="Times New Roman" w:eastAsia="Times New Roman" w:hAnsi="Times New Roman"/>
          <w:sz w:val="18"/>
          <w:szCs w:val="18"/>
          <w:color w:val="auto"/>
        </w:rPr>
        <w:t>During the nine months ended September 30, 2022, the Company granted 3,440,399 stock options with a weighted average exercise price of $1.70. As of September 30, 2022, there was $6.1 million of unrecognized share-based compensation related to unvested stock option grants which is expected to be recognized over a weighted average period of 2.71 years. The total unrecognized share-based compensation cost will be adjusted for actual forfeitures as they occur.</w:t>
      </w:r>
    </w:p>
    <w:p>
      <w:pPr>
        <w:spacing w:after="0" w:line="185" w:lineRule="exact"/>
        <w:rPr>
          <w:sz w:val="20"/>
          <w:szCs w:val="20"/>
          <w:color w:val="auto"/>
        </w:rPr>
      </w:pPr>
    </w:p>
    <w:p>
      <w:pPr>
        <w:jc w:val="both"/>
        <w:ind w:right="100" w:firstLine="509"/>
        <w:spacing w:after="0"/>
        <w:rPr>
          <w:sz w:val="20"/>
          <w:szCs w:val="20"/>
          <w:color w:val="auto"/>
        </w:rPr>
      </w:pPr>
      <w:r>
        <w:rPr>
          <w:rFonts w:ascii="Times New Roman" w:cs="Times New Roman" w:eastAsia="Times New Roman" w:hAnsi="Times New Roman"/>
          <w:sz w:val="18"/>
          <w:szCs w:val="18"/>
          <w:color w:val="auto"/>
        </w:rPr>
        <w:t>During the nine months ended September 30, 2022, the Company granted 507,260 restricted stock awards with a weighted average grant date fair value per share of $1.97. As of September 30, 2022, there was approximately $1.3 million of unrecognized share-based compensation related to restricted stock awards granted, which is expected to be recognized over a weighted average period of 3.0 years. The total unrecognized share-based compensation cost will be adjusted for actual forfeitures as they occur.</w:t>
      </w:r>
    </w:p>
    <w:p>
      <w:pPr>
        <w:spacing w:after="0" w:line="19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For a full description of the Company’s equity plans, refer to Note 9, Equity-based Compensation and Equity Incentive Plans in the 2021 Annual Report.</w:t>
      </w: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12" w:name="page13"/>
    <w:bookmarkEnd w:id="12"/>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Roche Collaboration</w:t>
      </w:r>
    </w:p>
    <w:p>
      <w:pPr>
        <w:spacing w:after="0" w:line="108"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In June 2021, the Company entered into a Pilot Collaboration and Option Agreement (the Roche Collaboration and Option Agreement) with F. Hoffmann-La Roche Ltd (Roche Basel) and Hoffmann-La Roche Inc. (Roche US, and together with Roche Basel, Roche). Under the terms of the Roche Collaboration and Option Agreement, the Company and Roche will seek to collaborate to research and pre-clinically develop Synthetic Biotics for addressing an undisclosed novel target for the treatment of inflammatory bowel disease.</w:t>
      </w:r>
    </w:p>
    <w:p>
      <w:pPr>
        <w:spacing w:after="0" w:line="177"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During the nine months ended September 30, 2022 and 2021, the Company recognized $1.1 million and $1.2 million, respectively, as collaboration revenue associated with the Roche Collaboration and Option Agreement. During the three months ended September 30, 2022 and 2021, the Company recognized $0.7 million and $0.9 million, respectively, as collaboration revenue associated with the Roche Collaboration and Option Agreement. Deferred revenue from the collaboration amounted to $1.0 million as of September 30, 2022, all of which is included in current liabilities. Additionally, the Company recorded accounts receivable of $1.5 million as of September 30, 2022 as a result of having earned a milestone under the Roche Collaboration and Option Agreement in August 2022.</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 full description of the Roche Collaboration and Option Agreement, refer to Note 10, Collaboration Agreements in the 2021 Annual Report.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Ginkgo Collaboration</w:t>
      </w:r>
    </w:p>
    <w:p>
      <w:pPr>
        <w:spacing w:after="0" w:line="189" w:lineRule="exact"/>
        <w:rPr>
          <w:sz w:val="20"/>
          <w:szCs w:val="20"/>
          <w:color w:val="auto"/>
        </w:rPr>
      </w:pPr>
    </w:p>
    <w:p>
      <w:pPr>
        <w:ind w:right="140" w:firstLine="509"/>
        <w:spacing w:after="0" w:line="243" w:lineRule="auto"/>
        <w:rPr>
          <w:sz w:val="20"/>
          <w:szCs w:val="20"/>
          <w:color w:val="auto"/>
        </w:rPr>
      </w:pPr>
      <w:r>
        <w:rPr>
          <w:rFonts w:ascii="Times New Roman" w:cs="Times New Roman" w:eastAsia="Times New Roman" w:hAnsi="Times New Roman"/>
          <w:sz w:val="18"/>
          <w:szCs w:val="18"/>
          <w:color w:val="auto"/>
        </w:rPr>
        <w:t>In 2017, the Company established a technology collaboration with Ginkgo. In June 2019, the Company expanded its collaboration and entered into an agreement with Ginkgo for the research and development of engineered microbial therapeutic products (See Note 7). Under the 2019 expanded agreement, the Company made a prepayment to Ginkgo of $30.0 million for its foundry services that will be provided to the Company over an initial term of five years. The prepayment of foundry services is recorded in Prepaid expenses and other current assets and Prepaid research and development, net of current portion on the September 30, 2022 consolidated balance sheet. At September 30, 2022, the Company had remaining balances of $1.3 million and $7.5 million of current and non-current prepaid research and development costs related to this transaction, respectively. Upon the expiration of such initial term and, if applicable, an additional period, any portion of the prepayment that has not been used to purchase services from Ginkgo will be retained by Ginkgo.</w:t>
      </w:r>
    </w:p>
    <w:p>
      <w:pPr>
        <w:spacing w:after="0" w:line="290"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120" w:firstLine="509"/>
        <w:spacing w:after="0" w:line="242" w:lineRule="auto"/>
        <w:rPr>
          <w:sz w:val="20"/>
          <w:szCs w:val="20"/>
          <w:color w:val="auto"/>
        </w:rPr>
      </w:pPr>
      <w:r>
        <w:rPr>
          <w:rFonts w:ascii="Times New Roman" w:cs="Times New Roman" w:eastAsia="Times New Roman" w:hAnsi="Times New Roman"/>
          <w:sz w:val="18"/>
          <w:szCs w:val="18"/>
          <w:color w:val="auto"/>
        </w:rPr>
        <w:t>Basic net loss per share is computed using the weighted-average number of shares of common stock outstanding during the period. Diluted net loss per share is computed using the sum of the weighted-average number of shares of common stock outstanding during the period and if dilutive, the weighted-average number of potential shares of common stock, including unvested restricted common stock and outstanding stock options. In June 2019, the Company sold 6,340,771 shares of common stock and Pre-Funded Warrants to purchase an aggregate of 2,548,117 shares of common stock at an exercise price of $9.00 per share, with $8.99 of such exercise price paid at the closing of the offering (see Note 10</w:t>
      </w:r>
      <w:r>
        <w:rPr>
          <w:rFonts w:ascii="Times New Roman" w:cs="Times New Roman" w:eastAsia="Times New Roman" w:hAnsi="Times New Roman"/>
          <w:sz w:val="18"/>
          <w:szCs w:val="18"/>
          <w:i w:val="1"/>
          <w:iCs w:val="1"/>
          <w:color w:val="auto"/>
        </w:rPr>
        <w:t>, Ginkgo Collaboration,</w:t>
      </w:r>
      <w:r>
        <w:rPr>
          <w:rFonts w:ascii="Times New Roman" w:cs="Times New Roman" w:eastAsia="Times New Roman" w:hAnsi="Times New Roman"/>
          <w:sz w:val="18"/>
          <w:szCs w:val="18"/>
          <w:color w:val="auto"/>
        </w:rPr>
        <w:t xml:space="preserve"> in the audited financial statements included in the 2021 Annual Report). The shares of common stock into which the warrants may be exercised are considered outstanding for the purposes of computing net loss per share.</w:t>
      </w:r>
    </w:p>
    <w:p>
      <w:pPr>
        <w:spacing w:after="0" w:line="200"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The Company’s potentially dilutive shares, which include outstanding stock options, unvested restricted common stock and potential shares issuable under the ESPP, are considered to be common share equivalents and are only included in the calculation of diluted net loss per share when their effect is dilutive.</w:t>
      </w:r>
    </w:p>
    <w:p>
      <w:pPr>
        <w:spacing w:after="0" w:line="190" w:lineRule="exact"/>
        <w:rPr>
          <w:sz w:val="20"/>
          <w:szCs w:val="20"/>
          <w:color w:val="auto"/>
        </w:rPr>
      </w:pPr>
    </w:p>
    <w:p>
      <w:pPr>
        <w:jc w:val="both"/>
        <w:ind w:right="420" w:firstLine="509"/>
        <w:spacing w:after="0" w:line="296" w:lineRule="auto"/>
        <w:rPr>
          <w:sz w:val="20"/>
          <w:szCs w:val="20"/>
          <w:color w:val="auto"/>
        </w:rPr>
      </w:pPr>
      <w:r>
        <w:rPr>
          <w:rFonts w:ascii="Times New Roman" w:cs="Times New Roman" w:eastAsia="Times New Roman" w:hAnsi="Times New Roman"/>
          <w:sz w:val="17"/>
          <w:szCs w:val="17"/>
          <w:color w:val="auto"/>
        </w:rPr>
        <w:t>The following potential common shares, presented based on amounts outstanding at each period end, were excluded from the calculation of the diluted net loss per share attributable to common stockholders for the period indicated because including them would have had an anti-dilutive effect.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78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6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20" w:type="dxa"/>
            <w:vAlign w:val="bottom"/>
          </w:tcPr>
          <w:p>
            <w:pPr>
              <w:spacing w:after="0"/>
              <w:rPr>
                <w:sz w:val="14"/>
                <w:szCs w:val="14"/>
                <w:color w:val="auto"/>
              </w:rPr>
            </w:pPr>
          </w:p>
        </w:tc>
      </w:tr>
      <w:tr>
        <w:trPr>
          <w:trHeight w:val="210"/>
        </w:trPr>
        <w:tc>
          <w:tcPr>
            <w:tcW w:w="114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common stock awards</w:t>
            </w:r>
          </w:p>
        </w:tc>
        <w:tc>
          <w:tcPr>
            <w:tcW w:w="228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660,071</w:t>
            </w:r>
          </w:p>
        </w:tc>
        <w:tc>
          <w:tcPr>
            <w:tcW w:w="14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312,033</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36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7,369,534</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4,537,618</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Potential shares issuable under the ESPP</w:t>
            </w:r>
          </w:p>
        </w:tc>
        <w:tc>
          <w:tcPr>
            <w:tcW w:w="2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823"/>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8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92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3" w:name="page14"/>
    <w:bookmarkEnd w:id="13"/>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16"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177"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 xml:space="preserve">The Company’s commitments are described in the Company’s consolidated financial statements as of and for the year ended December 31, 2021 and the notes thereto included in the Annual Report on Form 10-K filed with the SEC on March 17, 2022. On January 21, 2022, the Company entered into two Statements of Work with Azzur Group, LLC (Azzur). Pursuant to the first of the SOWs (the Third SOW), the Company has agreed to pay Azzur $650,000 to renovate and upgrade the cleanroom space at Azzur for the Company’s expanded use. The second of the SOWs (the Fourth SOW) replaces the Second SOW that the Company entered into with Azzur on April 29, 2021. The Fourth SOW extends the term of the lease, for the period beginning January 2022 through March 2023 (the Third Term). The Fourth SOW contains an option to extend the lease. As of September 30, 2022, the Company determined that it was more likely than not to exercise the option to extend the lease. The Third and Fourth SOWs resulted in an adjustment to the operating lease right-of-use asset and corresponding operating lease liabilities of $1.8 million. The total remaining liability associated with the Azzur lease is approximately $2.4 million as of September 30, 2022. For a full description of the Azzur embedded lease, refer to Note 13,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in the 2021 Annual Report.</w:t>
      </w:r>
    </w:p>
    <w:p>
      <w:pPr>
        <w:spacing w:after="0" w:line="277"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108"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June 2019, the Company expanded its collaboration and entered into an agreement with Ginkgo for the research and development of engineered microbial therapeutic products. As of September 30, 2022, Ginkgo owned 6,340,771 shares of the Company’s outstanding common stock. See Note 10, </w:t>
      </w:r>
      <w:r>
        <w:rPr>
          <w:rFonts w:ascii="Times New Roman" w:cs="Times New Roman" w:eastAsia="Times New Roman" w:hAnsi="Times New Roman"/>
          <w:sz w:val="18"/>
          <w:szCs w:val="18"/>
          <w:i w:val="1"/>
          <w:iCs w:val="1"/>
          <w:color w:val="auto"/>
        </w:rPr>
        <w:t xml:space="preserve">Ginkgo Collaboration, </w:t>
      </w:r>
      <w:r>
        <w:rPr>
          <w:rFonts w:ascii="Times New Roman" w:cs="Times New Roman" w:eastAsia="Times New Roman" w:hAnsi="Times New Roman"/>
          <w:sz w:val="18"/>
          <w:szCs w:val="18"/>
          <w:color w:val="auto"/>
        </w:rPr>
        <w:t>in the audited financial statements included in the 2021 Annual Report.</w:t>
      </w:r>
    </w:p>
    <w:p>
      <w:pPr>
        <w:spacing w:after="0" w:line="169"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Under the agreement the Company made a prepayment to Ginkgo of $30.0 million for its foundry services that will be provided to the Company over an initial term of five years. At September 30, 2022, the Company had remaining balances of $1.3 million and $7.5 million of current and non-current prepaid research and development costs related to this transaction, respectively. The Company used $0.7 million and $2.4 million of the prepaid research and development expenses for the three and nine months ended September 30, 2022.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06" w:lineRule="exact"/>
        <w:rPr>
          <w:sz w:val="20"/>
          <w:szCs w:val="20"/>
          <w:color w:val="auto"/>
        </w:rPr>
      </w:pPr>
    </w:p>
    <w:p>
      <w:pPr>
        <w:ind w:firstLine="509"/>
        <w:spacing w:after="0" w:line="224" w:lineRule="auto"/>
        <w:rPr>
          <w:sz w:val="20"/>
          <w:szCs w:val="20"/>
          <w:color w:val="auto"/>
        </w:rPr>
      </w:pPr>
      <w:r>
        <w:rPr>
          <w:rFonts w:ascii="Times New Roman" w:cs="Times New Roman" w:eastAsia="Times New Roman" w:hAnsi="Times New Roman"/>
          <w:sz w:val="18"/>
          <w:szCs w:val="18"/>
          <w:i w:val="1"/>
          <w:iCs w:val="1"/>
          <w:color w:val="auto"/>
        </w:rPr>
        <w:t>The interim financial statements and this Management’s Discussion and Analysis of Financial Condition and Results of Operations should be read together with our audited financial statements and accompanying notes for the year ended December 31, 2021 and 2020 included in our Annual Report on Form 10-K filed with the SEC on March 17, 2022 (the 2021 Annual Report).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Please see “Risk Factors” beginning on page [27] of this Quarterly Report on Form 10-Q for a discussion of certain risk factors applicable to our business, financial condition, and results of operations. Operating results are not necessarily indicative of results that may occur for the full fiscal year or any other future period. On August 28, 2017, Synlogic, Inc., formerly known as Mirna Therapeutics, Inc. (NASDAQ: MIRN) (Mirna), completed a business combination with Synlogic, a private company, pursuant to the Agreement and Plan of Merger and Reorganization, dated as of May 15, 2017 (the Merger Agreement), pursuant to which the private Synlogic entity survived as a wholly owned subsidiary of Mirna (the Merger). Immediately after completion of the Merger, Mirna changed its name to “Synlogic, Inc.” (NASDAQ: SYBX). The term “Private Synlogic” refers to Synlogic Operating Company, Inc. (formerly known as Synlogic, Inc.) prior to the consummation of the Merger. Unless otherwise indicated, references to the terms the "combined company”, “Synlogic”, the "Company”, “we”, “our” and “us” refer to Private Synlogic prior to the consummation of the Merger and Synlogic, Inc. (formerly known as Mirna Therapeutics, Inc.) and its subsidiaries upon the consummation of the Merger described herein. The term "Mirna" refers to the Mirna Therapeutics, Inc. and its subsidiaries prior to the Merger.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ind w:right="120" w:firstLine="509"/>
        <w:spacing w:after="0" w:line="229" w:lineRule="auto"/>
        <w:rPr>
          <w:sz w:val="20"/>
          <w:szCs w:val="20"/>
          <w:color w:val="auto"/>
        </w:rPr>
      </w:pPr>
      <w:r>
        <w:rPr>
          <w:rFonts w:ascii="Times New Roman" w:cs="Times New Roman" w:eastAsia="Times New Roman" w:hAnsi="Times New Roman"/>
          <w:sz w:val="18"/>
          <w:szCs w:val="18"/>
          <w:color w:val="auto"/>
        </w:rPr>
        <w:t>Synlogic is a clinical-stage biotechnology company advancing a new paradigm of biotherapeutics through its unique and proprietary approach to synthetic biology. Synthetic biology leverages engineering principles to enable the design of new biological systems, genetic circuits and molecular components. Synlogic is delivering the power of synthetic biology to medicine, combining the precision of engineering with rational drug development to develop what are called Synthetic Biotics. Synthetic Biotics are a novel drug modality that uses programmable, precision genetic engineering of well-characterized probiotics to exert localized activity for therapeutic benefit, with a focus on metabolic and immunologic diseases.</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0"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Our Drug Candidate Pipeline</w:t>
      </w:r>
    </w:p>
    <w:p>
      <w:pPr>
        <w:spacing w:after="0" w:line="94" w:lineRule="exact"/>
        <w:rPr>
          <w:sz w:val="20"/>
          <w:szCs w:val="20"/>
          <w:color w:val="auto"/>
        </w:rPr>
      </w:pPr>
    </w:p>
    <w:p>
      <w:pPr>
        <w:ind w:right="40" w:firstLine="509"/>
        <w:spacing w:after="0" w:line="227" w:lineRule="auto"/>
        <w:rPr>
          <w:sz w:val="20"/>
          <w:szCs w:val="20"/>
          <w:color w:val="auto"/>
        </w:rPr>
      </w:pPr>
      <w:r>
        <w:rPr>
          <w:rFonts w:ascii="Times New Roman" w:cs="Times New Roman" w:eastAsia="Times New Roman" w:hAnsi="Times New Roman"/>
          <w:sz w:val="18"/>
          <w:szCs w:val="18"/>
          <w:color w:val="auto"/>
        </w:rPr>
        <w:t>Synlogic’s pipeline includes its lead program in phenylketonuria (PKU), which has demonstrated proof of concept with plans to start a pivotal, Phase 3 study in the first half of 2023, and additional novel drug candidates designed to treat homocystinuria (HCU), enteric hyperoxaluria and gout. The rapid advancement of these Synthetic Biotics has been enabled by Synlogic’s reproducible, target-specific drug design, with a focus on metabolic and immunological diseases. In addition to its clinical programs, Synlogic has a research collaboration with Roche focused on the discovery of a novel Synthetic Biotic for the treatment of inflammatory bowel disease (IBD). Synlogic has also developed two drug candidates through a research collaboration with Ginkgo Bioworks, Inc. (Ginkgo), SYNB1353, designed to consume methionine for the potential treatment of HCU, and SYNB2081, designed to lower uric acid for the potential treatment of gout, as well as additional undisclosed preclinical assets by combining Synlogic’s approach to Synthetic Biotics with Ginkgo’s Codebase and Foundry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251460</wp:posOffset>
            </wp:positionV>
            <wp:extent cx="6172200" cy="30600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72200"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Metabolic Disease</w:t>
      </w:r>
    </w:p>
    <w:p>
      <w:pPr>
        <w:spacing w:after="0" w:line="216"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There are a number of metabolic diseases involving a lack of certain enzymes that are responsible for metabolizing commonly occurring byproducts of digestion. The absence of these enzymes is caused by either a genetic mutation characterized by a dysfunctional metabolic pathway, such as PKU or HCU, or organ dysfunction, such as enteric hyperoxaluria. In patients with these diseases, the absence of certain enzymes causes metabolites to accumulate to in the gut and systemically throughout the body. In patients with PKU and HCU, these metabolites build up to toxic levels resulting in serious health consequences, including irreversible neurological dysfunction.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PKU</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16"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Our PKU program historically has included two development candidates, SYNB1618 and SYNB1934. We developed both first generation SYNB1618 and the further optimized, next-generation SYNB1934, as orally administered, non-systemically absorbed potential biotherapeutics for the treatment for PKU, a genetic disease caused by inherited mutations that impair the PAH enzyme’s ability to metabolize phenylalanine (Phe), an amino acid found in natural protein that can become neurotoxic at high levels and lead to neurocognitive impairments and developmental disorders. The key to risk reduction in PKU is lifelong metabolic control of Phe levels. The PKU population is relatively large for a rare disease, with ~17,000 in the US and more than ~150,000 globally diagnosed due to widespread newborn screening.</w:t>
      </w: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30" w:right="379" w:bottom="1440" w:gutter="0" w:footer="0" w:header="0"/>
        </w:sectPr>
      </w:pPr>
    </w:p>
    <w:bookmarkStart w:id="16" w:name="page17"/>
    <w:bookmarkEnd w:id="16"/>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 xml:space="preserve">Treatment options for PKU are currently limited due to efficacy and safety, and many of those who are treated remain in need of additional Phe-lowering. Our approach focuses on reducing plasma levels of Phe by consuming Phe in the gastrointestinal (GI) tract. Both candidate strains are based on the shared </w:t>
      </w:r>
      <w:r>
        <w:rPr>
          <w:rFonts w:ascii="Times New Roman" w:cs="Times New Roman" w:eastAsia="Times New Roman" w:hAnsi="Times New Roman"/>
          <w:sz w:val="18"/>
          <w:szCs w:val="18"/>
          <w:i w:val="1"/>
          <w:iCs w:val="1"/>
          <w:color w:val="auto"/>
        </w:rPr>
        <w:t>chassis</w:t>
      </w:r>
      <w:r>
        <w:rPr>
          <w:rFonts w:ascii="Times New Roman" w:cs="Times New Roman" w:eastAsia="Times New Roman" w:hAnsi="Times New Roman"/>
          <w:sz w:val="18"/>
          <w:szCs w:val="18"/>
          <w:color w:val="auto"/>
        </w:rPr>
        <w:t xml:space="preserve"> of the well-characterized probiotic E. coli Nissle, and were designed as Synthetic Biotics using precision genetic engineering to produce PAL and LAAD, both phe-consuming enzymes. We introduced SYNB1934 as a next generation strain, and it reflects additional optimization of the PAL enzyme specifically for greater Phe consumption. Findings to date support the potential for an efficacious, safe, convenient, and flexible treatment option for PKU that could be used as both a monotherapy for currently untreated patients, as well as an adjunctive treatment option for patients currently taking sapropterin (Kuvan®). SYNB1618 has received both Orphan Drug and Fast Track designations by the US Food and Drug Administration (FDA) and orphan medicinal product designation by the European Medicines Agency.</w:t>
      </w:r>
    </w:p>
    <w:p>
      <w:pPr>
        <w:spacing w:after="0" w:line="213" w:lineRule="exact"/>
        <w:rPr>
          <w:sz w:val="20"/>
          <w:szCs w:val="20"/>
          <w:color w:val="auto"/>
        </w:rPr>
      </w:pPr>
    </w:p>
    <w:p>
      <w:pPr>
        <w:jc w:val="both"/>
        <w:ind w:right="160" w:firstLine="509"/>
        <w:spacing w:after="0" w:line="258" w:lineRule="auto"/>
        <w:rPr>
          <w:sz w:val="20"/>
          <w:szCs w:val="20"/>
          <w:color w:val="auto"/>
        </w:rPr>
      </w:pPr>
      <w:r>
        <w:rPr>
          <w:rFonts w:ascii="Times New Roman" w:cs="Times New Roman" w:eastAsia="Times New Roman" w:hAnsi="Times New Roman"/>
          <w:sz w:val="18"/>
          <w:szCs w:val="18"/>
          <w:color w:val="auto"/>
        </w:rPr>
        <w:t>We have completed enrollment in our Phase 2 study, Synpheny-1, with the objective of evaluating the safety, tolerability, and efficacy of both drug candidates. The study also served to provide confirmation of Phe-consuming activity as expected in PKU patients, and to inform the trial design and dose ramp that are expected for the pivotal Phase 3 study.</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Phase 2 Synpheny-1 study met these objectives, with top-line results including:</w:t>
      </w:r>
    </w:p>
    <w:p>
      <w:pPr>
        <w:spacing w:after="0" w:line="117" w:lineRule="exact"/>
        <w:rPr>
          <w:sz w:val="20"/>
          <w:szCs w:val="20"/>
          <w:color w:val="auto"/>
        </w:rPr>
      </w:pPr>
    </w:p>
    <w:p>
      <w:pPr>
        <w:ind w:left="1020" w:right="66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study enrolled 20 patients with PKU; eleven patients were enrolled in the SYNB1618 arm and nine patients were enrolled in the SYNB1934 arm.</w:t>
      </w:r>
    </w:p>
    <w:p>
      <w:pPr>
        <w:spacing w:after="0" w:line="54"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strains demonstrated clinically meaningful reductions on fasting plasma Phe levels. On an “all comers” basis, the day 14 mean change from baseline in fasting plasma Phe was -20% for SYNB1618 and -34% for SYNB1934.</w:t>
      </w:r>
    </w:p>
    <w:p>
      <w:pPr>
        <w:spacing w:after="0" w:line="40" w:lineRule="exact"/>
        <w:rPr>
          <w:rFonts w:ascii="Times New Roman" w:cs="Times New Roman" w:eastAsia="Times New Roman" w:hAnsi="Times New Roman"/>
          <w:sz w:val="18"/>
          <w:szCs w:val="18"/>
          <w:color w:val="auto"/>
        </w:rPr>
      </w:pPr>
    </w:p>
    <w:p>
      <w:pPr>
        <w:jc w:val="both"/>
        <w:ind w:left="1020" w:right="260" w:hanging="503"/>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were consistent and positive across all measured indicators of activity for both drug candidates, including plasma D5-Phe, plasma D5-trans-cinnamic acid (TCA); and urinary D5-hippuric acid (HA), with numerically greater changes observed for SYNB1934, consistent with previously shared results in healthy volunteers in our Phase 1 study.</w:t>
      </w:r>
    </w:p>
    <w:p>
      <w:pPr>
        <w:spacing w:after="0" w:line="61" w:lineRule="exact"/>
        <w:rPr>
          <w:rFonts w:ascii="Times New Roman" w:cs="Times New Roman" w:eastAsia="Times New Roman" w:hAnsi="Times New Roman"/>
          <w:sz w:val="18"/>
          <w:szCs w:val="18"/>
          <w:color w:val="auto"/>
        </w:rPr>
      </w:pPr>
    </w:p>
    <w:p>
      <w:pPr>
        <w:ind w:left="1020" w:right="54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patients who were already taking sapropterin (Kuvan®) at baseline, and then received SYNB1618 and SYNB1934, were consistent with the overall efficacy profile, demonstrating the potential for adjunctive use.</w:t>
      </w:r>
    </w:p>
    <w:p>
      <w:pPr>
        <w:spacing w:after="0" w:line="54"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adverse events were mild or moderate in severity, were predominantly gastrointestinal (GI) in nature, and resolved upon cessation of treatment. There were no serious adverse events (SAEs).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Synpheny-1 Phase 2 Study</w:t>
      </w:r>
    </w:p>
    <w:p>
      <w:pPr>
        <w:spacing w:after="0" w:line="216" w:lineRule="exact"/>
        <w:rPr>
          <w:sz w:val="20"/>
          <w:szCs w:val="20"/>
          <w:color w:val="auto"/>
        </w:rPr>
      </w:pPr>
    </w:p>
    <w:p>
      <w:pPr>
        <w:ind w:right="100" w:firstLine="509"/>
        <w:spacing w:after="0" w:line="232" w:lineRule="auto"/>
        <w:rPr>
          <w:sz w:val="20"/>
          <w:szCs w:val="20"/>
          <w:color w:val="auto"/>
        </w:rPr>
      </w:pPr>
      <w:r>
        <w:rPr>
          <w:rFonts w:ascii="Times New Roman" w:cs="Times New Roman" w:eastAsia="Times New Roman" w:hAnsi="Times New Roman"/>
          <w:sz w:val="18"/>
          <w:szCs w:val="18"/>
          <w:color w:val="auto"/>
        </w:rPr>
        <w:t>The Synpheny-1 study was a Phase 2, open-label, 29-day study to assess safety, tolerability and efficacy in SYNB1618 and SYNB1934 in patients with PKU. The study included a dose-ramp regimen over 15 days of treatment, with days 7 through 14 at the constant dose of 1x10</w:t>
      </w:r>
      <w:r>
        <w:rPr>
          <w:rFonts w:ascii="Times New Roman" w:cs="Times New Roman" w:eastAsia="Times New Roman" w:hAnsi="Times New Roman"/>
          <w:sz w:val="24"/>
          <w:szCs w:val="24"/>
          <w:color w:val="auto"/>
          <w:vertAlign w:val="superscript"/>
        </w:rPr>
        <w:t>12</w:t>
      </w:r>
      <w:r>
        <w:rPr>
          <w:rFonts w:ascii="Times New Roman" w:cs="Times New Roman" w:eastAsia="Times New Roman" w:hAnsi="Times New Roman"/>
          <w:sz w:val="18"/>
          <w:szCs w:val="18"/>
          <w:color w:val="auto"/>
        </w:rPr>
        <w:t>live cells. Endpoints included plasma Phe, the biomarker used in the clinical management of PKU and primary endpoint in pivotal studies of previously approved PKU medications.</w:t>
      </w:r>
    </w:p>
    <w:p>
      <w:pPr>
        <w:spacing w:after="0" w:line="213" w:lineRule="exact"/>
        <w:rPr>
          <w:sz w:val="20"/>
          <w:szCs w:val="20"/>
          <w:color w:val="auto"/>
        </w:rPr>
      </w:pPr>
    </w:p>
    <w:p>
      <w:pPr>
        <w:ind w:right="220" w:firstLine="509"/>
        <w:spacing w:after="0" w:line="245" w:lineRule="auto"/>
        <w:rPr>
          <w:sz w:val="20"/>
          <w:szCs w:val="20"/>
          <w:color w:val="auto"/>
        </w:rPr>
      </w:pPr>
      <w:r>
        <w:rPr>
          <w:rFonts w:ascii="Times New Roman" w:cs="Times New Roman" w:eastAsia="Times New Roman" w:hAnsi="Times New Roman"/>
          <w:sz w:val="18"/>
          <w:szCs w:val="18"/>
          <w:color w:val="auto"/>
        </w:rPr>
        <w:t>We also assessed the effectiveness of our approach to consuming Phe through these Synthetic Biotics by reviewing multiple strain-specific biomarkers. An important goal of Synpheny-1 was to confirm proof of concept by demonstrating phe-metabolizing activity in patients with these biomarkers. One assessment included a tracer study in which patients took labeled D5-Phe as part of a test meal followed by a 24-hour collection period. This was done at baseline and after the treatment period to assess the drug’s effect. We also measured two metabolic byproducts which can only be produced if the strains are consuming Phe via the PAL enzyme TCA in plasma and HA in urine. These highly specific biomarkers enabled us to confirm strain activity. Additional endpoints include the incidence of treatment-emergent adverse events (TEAEs). During the study, dietary intake of Phe was carefully managed to match patients’ usual protein and Phe intake to ensure that each patient provided their own internal control.</w:t>
      </w:r>
    </w:p>
    <w:p>
      <w:pPr>
        <w:spacing w:after="0" w:line="208"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The Phase 2 study was initiated in August 2020, as a single-arm open label study with SYNB1618. Positive interim analysis findings, achieving proof of concept for SYNB1618, were reported in September 2021. In parallel, we shared findings from a Phase 1 study in healthy volunteers with SYNB1934, which included a cohort designed to provide a head-to-head safety bridge with SYNB1618. The Phase 1 study confirmed greater potency in Phe-consuming activity by SYNB1934 in healthy volunteers.</w:t>
      </w:r>
    </w:p>
    <w:p>
      <w:pPr>
        <w:spacing w:after="0" w:line="204"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Based on the positive interim analysis with SYNB1618 and the Phase 1 findings with SYNB1934, including the safety bridge with SYNB1618, a second study arm with SYNB1934 was added to the Synpheny-1 Phase 2 study. In addition, the protocol was amended to include patients who were already taking sapropterin (Kuvan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enabling the ability to obtain data regarding the drug candidates as adjunctive treatments to sapropterin (Kuvan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as well as monotherapy treatment options.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Synpheny-1 enrolled 20 adults with PKU who had Phe levels over 600 micromolar at screening despite existing management, with an average Phe level of approximately 1,000 micromolar. Patient baseline demographics represented a balance of ages and genders, in addition to a range in terms of</w:t>
      </w:r>
    </w:p>
    <w:p>
      <w:pPr>
        <w:spacing w:after="0"/>
        <w:rPr>
          <w:sz w:val="20"/>
          <w:szCs w:val="20"/>
          <w:color w:val="auto"/>
        </w:rPr>
      </w:pPr>
      <w:r>
        <w:rPr>
          <w:rFonts w:ascii="Times New Roman" w:cs="Times New Roman" w:eastAsia="Times New Roman" w:hAnsi="Times New Roman"/>
          <w:sz w:val="18"/>
          <w:szCs w:val="18"/>
          <w:color w:val="auto"/>
        </w:rPr>
        <w:t>baseline Phe levels as well as diet and sapropterin (Kuvan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use, across both arms of the study, that is consistent with the broader population.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Top-Line Efficacy Findings</w:t>
      </w:r>
    </w:p>
    <w:p>
      <w:pPr>
        <w:spacing w:after="0" w:line="216"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Results included achieving reductions in levels of fasting plasma Phe from baseline for both strains. On an “all comers” basis, the day 14 mean change from baseline in fasting plasma Phe was -20% for SYNB1618 and -34% for SYNB1934.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106045</wp:posOffset>
            </wp:positionV>
            <wp:extent cx="3326130" cy="18516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2613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Response was defined as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20% reduction in Phe at either day 7 or day 14. Overall, 60% of patients enrolled in the study met these criteria (six of the ten patients dosed with SYNB1618 and three of the five patients that have completed dosing with SYNB1934). Phe reduction for those responders in aggregate averaged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-17145</wp:posOffset>
            </wp:positionV>
            <wp:extent cx="4500245" cy="20916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50024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Among the responders, the ranges for Phe reduction by the strain were 20%-61% and 29%-80% for SYNB1618 and SYNB1934, respectively.</w:t>
      </w:r>
    </w:p>
    <w:p>
      <w:pPr>
        <w:spacing w:after="0" w:line="239"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Data includes findings from both SYNB1618 and SYNB1934 when provided as monotherapy or in addition to a treated baseline that included sapropterin (Kuvan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results were consistent with the broader efficacy findings. This was expected based on the distinct mechanism of action of these strains, and provides support for advancing into Phase 3 with the goal of a design that would support adjunctive use to sapropterin in addition to monotherapy.</w:t>
      </w: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18" w:name="page19"/>
    <w:bookmarkEnd w:id="18"/>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As noted earlier, an important objective of the Phase 2 Synpheny-1 study was to confirm proof of concept in PKU patients by demonstrating the strains’ ability to consume Phe as designed, through the GI-restricted mechanism that converts Phe to the metabolic byproducts of TCA and HA. We were able to confirm this activity in both strains, across each measured endpoint. In addition, across each endpoint, we saw indicators of greater potency of SYNB1934. These findings are consistent with those shared last year from the head-to-head healthy volunteer Phase 1 study done with both strains. We now believe we have the additional data needed to advance to Phase 3 in the first half of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-1270</wp:posOffset>
            </wp:positionV>
            <wp:extent cx="4551680" cy="20148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55168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Top-Line Safety Summary</w:t>
      </w:r>
    </w:p>
    <w:p>
      <w:pPr>
        <w:spacing w:after="0" w:line="216"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Adverse events were all mild to moderate, predominantly GI in nature, and similar across SYNB1618 and SYNB1934. All AEs resolved upon cessation of treatment. There were no SAEs. Across the study, three patients discontinued due to GI-related adverse events, one withdrew consent, and one patient withdrew following an adverse event of facial flushing which was attributed to a possible allergic reaction.</w:t>
      </w:r>
    </w:p>
    <w:p>
      <w:pPr>
        <w:spacing w:after="0" w:line="217"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Across the program, we have found GI-related adverse events to be dose-related, and to vary by individual. We have also learned through our ongoing clinical programs with Synthetic Biotics across our platform, that the incidence and severity of these adverse effects can be reduced through the use of a dose-ramp.</w:t>
      </w:r>
    </w:p>
    <w:p>
      <w:pPr>
        <w:spacing w:after="0" w:line="217"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For our planned Phase 3 study, we plan on starting at a low dose and on incorporating best practices from probiotic dosing of a slower dose ramp, with extended time at each dose prior to advancing to the next dose. Based on these data and learnings to date, we believe this will improve the dosing experience, and ultimately help more patients benefit from treatment.</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Next Steps and Phase 3 Planning</w:t>
      </w:r>
    </w:p>
    <w:p>
      <w:pPr>
        <w:spacing w:after="0" w:line="202" w:lineRule="exact"/>
        <w:rPr>
          <w:sz w:val="20"/>
          <w:szCs w:val="20"/>
          <w:color w:val="auto"/>
        </w:rPr>
      </w:pPr>
    </w:p>
    <w:p>
      <w:pPr>
        <w:jc w:val="both"/>
        <w:ind w:right="280" w:firstLine="509"/>
        <w:spacing w:after="0" w:line="258" w:lineRule="auto"/>
        <w:rPr>
          <w:sz w:val="20"/>
          <w:szCs w:val="20"/>
          <w:color w:val="auto"/>
        </w:rPr>
      </w:pPr>
      <w:r>
        <w:rPr>
          <w:rFonts w:ascii="Times New Roman" w:cs="Times New Roman" w:eastAsia="Times New Roman" w:hAnsi="Times New Roman"/>
          <w:sz w:val="18"/>
          <w:szCs w:val="18"/>
          <w:color w:val="auto"/>
        </w:rPr>
        <w:t>Based on our data to date, we have confirmed that SYNB1934 will be the candidate for the pivotal Phase 3 study we expect to initiate in the first half of 2023. These results are now incorporated into a total of four studies in our clinical development program that includes more than 230 individuals dosed.</w:t>
      </w:r>
    </w:p>
    <w:p>
      <w:pPr>
        <w:spacing w:after="0" w:line="19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Phase 3 study readiness activities are underway, and we have progressed our work on process development and stability, further de-risking the path to potential commercialization from a Chemistry, Manufacturing, and Control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CMC) perspective.</w:t>
      </w:r>
    </w:p>
    <w:p>
      <w:pPr>
        <w:spacing w:after="0" w:line="203"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For our planned Phase 3 study, we have the precedents of two FDA-approved therapies, with similar designs. Both were approved based on a primary endpoint of plasma Phe reduction vs. placebo. Based on these precedents and learnings from our own program, we also expect our Phase 3 study to include three parts: Part 1, to identify responders and non-responders using a pre-defined responder definition of greater than or equal to 20% Phe reduction; Part 2, a placebo controlled primary analysis of plasma Phe levels in that responder population; and Part 3, an open-label extension for safety assessment purposes.</w:t>
      </w:r>
    </w:p>
    <w:p>
      <w:pPr>
        <w:spacing w:after="0" w:line="20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noted above, we expect Part 1 to include a more gradual and extended dose ramp compared to what was used in the Phase 2 study, and we expect to start patients consistently at the lowest dose.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Homocystinuria</w:t>
      </w:r>
    </w:p>
    <w:p>
      <w:pPr>
        <w:spacing w:after="0" w:line="216"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HCU is a rare inherited metabolic disorder that affects the metabolism of the amino acid methionine, a protein found in many foods including meat, fish, and dairy products. HCU is caused by a genetic defect which results in the absence of an enzyme known as cystathionine beta-synthase (CBS). When CBS is absent, homocysteine and other toxic chemicals and their byproducts, including methionine, build up in the blood and urine. Elevated homocysteine levels are associated with a multisystem disorder, including impairments of the eye (ectopia lentis and/or severe myopia), skeletal system (excessive height, long limbs, scoliosis, pectus excavatum), vascular system (thromboembolism), and CNS (development delay and intellectual disability).</w:t>
      </w:r>
    </w:p>
    <w:p>
      <w:pPr>
        <w:spacing w:after="0" w:line="208"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18"/>
          <w:szCs w:val="18"/>
          <w:color w:val="auto"/>
        </w:rPr>
        <w:t>In November 2021 we announced the nomination of SYNB1353, a novel, orally administered, non-systemically absorbed live biotherapeutic drug candidate engineered to consume methionine in the gastrointestinal (GI) tract thereby lowering an amino acid known as tHcy in HCU patients and potentially allowing an increase in natural protein intake. SYNB1353 was developed as part of a research collaboration with Ginkgo. We hold worldwide development and commercialization rights to SYNB1353. We initiated a Phase 1 clinical trial of SYNB1353 for the treatment of HCU in July 2022 and expect to report Phase 1 trial data in healthy volunteers in the second half of 2022.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Enteric Hyperoxaluria</w:t>
      </w:r>
    </w:p>
    <w:p>
      <w:pPr>
        <w:spacing w:after="0" w:line="202" w:lineRule="exact"/>
        <w:rPr>
          <w:sz w:val="20"/>
          <w:szCs w:val="20"/>
          <w:color w:val="auto"/>
        </w:rPr>
      </w:pPr>
    </w:p>
    <w:p>
      <w:pPr>
        <w:ind w:firstLine="554"/>
        <w:spacing w:after="0" w:line="243" w:lineRule="auto"/>
        <w:rPr>
          <w:sz w:val="20"/>
          <w:szCs w:val="20"/>
          <w:color w:val="auto"/>
        </w:rPr>
      </w:pPr>
      <w:r>
        <w:rPr>
          <w:rFonts w:ascii="Times New Roman" w:cs="Times New Roman" w:eastAsia="Times New Roman" w:hAnsi="Times New Roman"/>
          <w:sz w:val="18"/>
          <w:szCs w:val="18"/>
          <w:color w:val="auto"/>
        </w:rPr>
        <w:t>Enteric hyperoxaluria is an acquired metabolic disorder with no approved treatment options. It is characterized by recurrent kidney stones, caused by increased absorption of dietary oxalate, which is present in many common foods including leafy greens, nuts, and chocolate and results in oxalate deposition and resultant crystal formation in the kidneys. Enteric hyperoxaluria often occurs as a result of a primary insult to the bowel, such as inflammatory bowel disease, short bowel syndrome, or surgical procedures such as Roux-en-Y bariatric weight-loss surgery. The disorder may cause dangerously high levels of urinary oxalate and progressive kidney damage. In May 2020, we announced the nomination of a clinical candidate for enteric hyperoxaluria, SYNB8802. We initiated a Phase 1 clinical trial of SYNB8802 in the fourth quarter of 2020. SYNB8802 is being assessed for safety and tolerability, strain kinetics, changes in plasma and urine biomarkers of strain activity, and the potential to reduce urinary oxalate in the Phase 1 clinical trial. In 2021, Synlogic reported positive proof-of-mechanism for SYNB8802 from a Phase 1b clinical trial that demonstrated lowering of urinary and fecal oxalate levels in healthy volunteers with diet-induced hyperoxaluria. Data from a proof-of-concept trial assessing the lowering of urinary oxalate in patients who have undergone Roux-en-Y gastric bypass surgery is expected in the second half of 2022.</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Gout</w:t>
      </w:r>
    </w:p>
    <w:p>
      <w:pPr>
        <w:spacing w:after="0" w:line="148"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Gout is a metabolic disease that results in a complex and severe form of inflammatory arthritis that occurs when excess uric acid in the body forms crystals in the joints. Patients experience symptoms such as intense joint pain, inflammation and redness, and limited range of motion in the affected joints. Current treatment options present limitations in both safety and efficacy, highlighting a need for new approaches. In addition, gout is a recognized risk factor in chronic kidney disease. SYNB2081 is a Synthetic Biotic designed to lower uric acid levels systemically by metabolizing uric acid in the GI tract. We believe that this approach offers potential benefits as an orally administered, non-systemically absorbed treatment option to lower systemic levels of uric acid, thereby reducing the burden of gout. We are currently advancing SYNB2081 through IND-enabling studies.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Pipeline Programs in Metabolic &amp; Immunological Diseases</w:t>
      </w:r>
    </w:p>
    <w:p>
      <w:pPr>
        <w:spacing w:after="0" w:line="21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Synthetic Biotics are well-suited for addressing known disease targets that have been associated with validated biological pathways in metabolic and immunological diseases. Building on our progress in metabolic diseases, we are increasingly focusing our research efforts on immunological diseases, such as IBD, where an orally administered, non-systemically absorbed and locally acting mechanism could address medical needs by offering a differentiated product profile and patient experience.</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20" w:name="page21"/>
    <w:bookmarkEnd w:id="20"/>
    <w:p>
      <w:pPr>
        <w:ind w:right="60" w:firstLine="509"/>
        <w:spacing w:after="0" w:line="241" w:lineRule="auto"/>
        <w:rPr>
          <w:sz w:val="20"/>
          <w:szCs w:val="20"/>
          <w:color w:val="auto"/>
        </w:rPr>
      </w:pPr>
      <w:r>
        <w:rPr>
          <w:rFonts w:ascii="Times New Roman" w:cs="Times New Roman" w:eastAsia="Times New Roman" w:hAnsi="Times New Roman"/>
          <w:sz w:val="18"/>
          <w:szCs w:val="18"/>
          <w:color w:val="auto"/>
        </w:rPr>
        <w:t xml:space="preserve">IBD is a group of diseases characterized by significant local inflammation in the GI tract typically driven by T cells, activated macrophages and compromised function of the epithelial barrier. IBD pathogenesis is linked to both genetic and environmental factors and may be caused by altered interactions between gut microbes and the intestinal immune system. Compromised gut barrier function also plays a central role in autoimmune diseases pathogenesis. A single layer of epithelial cells separates the luminal contents of the gut from the host circulatory system and the immune cells in the body. Disrupting the epithelial layer can lead to pathological exposure of foreign antigens from the lumen resulting in increased susceptibility to autoimmune disorders. The interplay between the gut microbiota and the host is thought to play a key role in the maintenance of the epithelial barrier as well as homeostatic immunity. Thus, enhancing barrier function and reducing inflammation in the gastrointestinal tract are potential therapeutic mechanisms for the treatment or prevention of autoimmune disorders. Our Synthetic Biotic platform is designed to allow for the effective programming of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Nissle to execute these functions, including the metabolic production of factors such as short chain fatty acids to enhance barrier function, and secreting proteins, such as immunomodulatory cytokines.</w:t>
      </w:r>
    </w:p>
    <w:p>
      <w:pPr>
        <w:spacing w:after="0" w:line="230" w:lineRule="exact"/>
        <w:rPr>
          <w:sz w:val="20"/>
          <w:szCs w:val="20"/>
          <w:color w:val="auto"/>
        </w:rPr>
      </w:pPr>
    </w:p>
    <w:p>
      <w:pPr>
        <w:ind w:right="20" w:firstLine="509"/>
        <w:spacing w:after="0" w:line="235" w:lineRule="auto"/>
        <w:rPr>
          <w:sz w:val="20"/>
          <w:szCs w:val="20"/>
          <w:color w:val="auto"/>
        </w:rPr>
      </w:pPr>
      <w:r>
        <w:rPr>
          <w:rFonts w:ascii="Times New Roman" w:cs="Times New Roman" w:eastAsia="Times New Roman" w:hAnsi="Times New Roman"/>
          <w:sz w:val="18"/>
          <w:szCs w:val="18"/>
          <w:color w:val="auto"/>
        </w:rPr>
        <w:t>Current approaches to treat IBD are focused on therapeutics that modulate the immune system and suppress inflammation. These therapies include steroids, such as prednisone, and tumor necrosis factor inhibitors, such as Humira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(adalimumab). However, these approaches are associated with systemic immunosuppression, which includes greater susceptibility to infectious diseases and cancer. According to the Centers for Disease Control (CDC), in 2015 an estimated three million adults in the United States were reported as being diagnosed with IBD. In June of 2021 we entered into a research collaboration and option agreement with Roche (the Roche Collaboration and Option Agreement) for the discovery of a novel Synthetic Biotic for the treatment of IBD. In addition, we continue to advance additional, wholly-owned preclinical research efforts in IBD. In August 2022, we achieved our second pre-specified research milestone and earned a second milestone payment due under the terms of the Roche Collaboration and Option Agreement.</w:t>
      </w:r>
    </w:p>
    <w:p>
      <w:pPr>
        <w:spacing w:after="0" w:line="215"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Among immune conditions, working to treat IBD allows us to leverage knowledge and expertise gained from our oral metabolic programs to develop living medicines that can act locally at the site of disease in the gut. Because our approach is based on local delivery to the site of inflammation and not on systemic administration, we anticipate that our Synthetic Biotics may offer an attractive safety profile in this therapeutic category, where safety is a particularly desirable attribute in a product profile compared to options available today.</w:t>
      </w:r>
    </w:p>
    <w:p>
      <w:pPr>
        <w:spacing w:after="0" w:line="204"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We hold all rights to develop IBD Synthetic Biotics for all effectors targeting IBD. This allows us to leverage our expertise in strain engineering, quantitative biology, regulatory, and manufacturing to expand our wholly owned GI-based program portfolio to include IBD. We may enter into strategic alliances in the future to maximize the value of our programs and our Synthetic Biotic platform.</w:t>
      </w:r>
    </w:p>
    <w:p>
      <w:pPr>
        <w:spacing w:after="0" w:line="196"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We developed a portfolio of Synthetic Biotics to treat certain cancers which were designed to modify the tumor microenvironment, activate the immune system and result in tumor reduction. These Synthetic Biotics could be used in combination with other cancer therapies such as checkpoint inhibitors. Our Synthetic Biotic clinical immuno-oncology (IO) candidate is SYNB1891, an intratumorally administered Synthetic Biotic medicine engineered to act as a dual innate and adaptive immune activator. On November 10, 2021, we announced that our Phase 1 trial of SYNB1891 in combination with PD-L1 checkpoint inhibitor patients with advanced solid tumors or lymphoma had completed enrollment. No further studies are planned for SYNB1891 and we are focusing our research and development efforts specifically on metabolic and immunological diseases.</w:t>
      </w:r>
    </w:p>
    <w:p>
      <w:pPr>
        <w:spacing w:after="0" w:line="180"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currently operate in one reportable business segment—the discovery and development of Synthetic Biotics. To date, we have dedicated substantially all of our activities to the research and development of our product candidates. We have funded our operations to date primarily with proceeds from the sale of preferred stock, common stock, preferred units, warrants, payments received under the Roche Collaboration and Option agreement, prior collaborations, interest earned on investments, and cash received in the Merger.</w:t>
      </w:r>
    </w:p>
    <w:p>
      <w:pPr>
        <w:spacing w:after="0" w:line="177"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We have not generated any revenue to date from product sales and have incurred significant operating losses since our inception. We have incurred net losses of approximately $17.9 million and $49.5 million for the three and nine months ended September 30, 2022, respectively and $16.0 million and $45.5 million for the three and nine months ended September 30, 2021, respectively. As of September 30, 2022, we had an accumulated deficit of approximately $340.3 million, and we expect to incur losses for the foreseeable future as we develop our product candidates. We expect our expenses and capital requirements will increase substantially in connection with our ongoing activities, as we:</w:t>
      </w:r>
    </w:p>
    <w:p>
      <w:pPr>
        <w:spacing w:after="0" w:line="8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preclinical studies, initiate and complete clinical trials for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product candidates or manufacture product candidates internally;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5" w:right="379" w:bottom="1440" w:gutter="0" w:footer="0" w:header="0"/>
        </w:sectPr>
      </w:pPr>
    </w:p>
    <w:bookmarkStart w:id="21" w:name="page22"/>
    <w:bookmarkEnd w:id="21"/>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commercial, and management personnel;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existing infrastructure and secure space in a facility to support continued growth in our research and development efforts;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and finance personnel to support product development efforts and to support operating as a public company.</w:t>
      </w:r>
    </w:p>
    <w:p>
      <w:pPr>
        <w:spacing w:after="0" w:line="212"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finance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COVID-19 pandemic on our business</w:t>
      </w:r>
    </w:p>
    <w:p>
      <w:pPr>
        <w:spacing w:after="0" w:line="108" w:lineRule="exact"/>
        <w:rPr>
          <w:sz w:val="20"/>
          <w:szCs w:val="20"/>
          <w:color w:val="auto"/>
        </w:rPr>
      </w:pPr>
    </w:p>
    <w:p>
      <w:pPr>
        <w:jc w:val="both"/>
        <w:ind w:right="180" w:firstLine="509"/>
        <w:spacing w:after="0" w:line="247" w:lineRule="auto"/>
        <w:rPr>
          <w:sz w:val="20"/>
          <w:szCs w:val="20"/>
          <w:color w:val="auto"/>
        </w:rPr>
      </w:pPr>
      <w:r>
        <w:rPr>
          <w:rFonts w:ascii="Times New Roman" w:cs="Times New Roman" w:eastAsia="Times New Roman" w:hAnsi="Times New Roman"/>
          <w:sz w:val="18"/>
          <w:szCs w:val="18"/>
          <w:color w:val="auto"/>
        </w:rPr>
        <w:t>The COVID-19 pandemic continues to affect economies and business around the world. The extent and duration of such effects remain uncertain and difficult to predict, particularly as virus variants continue to spread. We are actively monitoring and managing our response and assessing actual and potential impacts to our operating results and financial condition, as well as developments in our business, which could further impact the developments, trends and expectations described below. See the risk factor titled, “A pandemic, epidemic, or outbreak of an infectious disease, such as COVID-19 may materially and adversely affect our business and our financial results.” described in “Risk Factors” in Part II, Item 1A, found elsewhere in this Quarterly Report on Form 10-Q.</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08"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We do not believe that inflation has had a material impact on our business or operating results during the periods presented. However, inflation, has had, and may continue to have, an impact on the labor costs we incur to attract and retain qualified personnel, costs to conduct clinical trials and other operational costs. Inflationary costs could adversely affect our business, financial condition and results of operations. In addition, increased inflation has had, and may continue to have, an effect on interest rates. Increased interest rates may adversely affect our borrowing rate and our ability to obtain, or the terms under which we can obtain, any potential additional funding.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8"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 xml:space="preserve">Revenue for the three and nine months ended September 30, 2022 was generated from the Roche Collaboration and Option Agreement. In June 2021, we announced that we entered into the Roche Collaboration and Option Agreement for the discovery of novel Synthetic Biotics for the treatment of IBD. The collaboration agreement contains multiple deliverables, which include an exclusive option for Roche to negotiate a definitive collaboration and license agreement for further development of the Product Candidate and acquire research and development milestones. See Note 9, </w:t>
      </w:r>
      <w:r>
        <w:rPr>
          <w:rFonts w:ascii="Times New Roman" w:cs="Times New Roman" w:eastAsia="Times New Roman" w:hAnsi="Times New Roman"/>
          <w:sz w:val="18"/>
          <w:szCs w:val="18"/>
          <w:i w:val="1"/>
          <w:iCs w:val="1"/>
          <w:color w:val="auto"/>
        </w:rPr>
        <w:t>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Roche Collaboration </w:t>
      </w:r>
      <w:r>
        <w:rPr>
          <w:rFonts w:ascii="Times New Roman" w:cs="Times New Roman" w:eastAsia="Times New Roman" w:hAnsi="Times New Roman"/>
          <w:sz w:val="18"/>
          <w:szCs w:val="18"/>
          <w:color w:val="auto"/>
        </w:rPr>
        <w:t>in the notes to the unaudited consolidated financial statements appearing elsewhere in this Quarterly Report on Form 10-Q for a full discussion of the arrangement.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380"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69"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benefits and other employee related expenses;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22" w:name="page23"/>
    <w:bookmarkEnd w:id="22"/>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supplies to support our internal research and development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related facility and depreciation costs;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leased manufacturing space; and</w:t>
      </w:r>
    </w:p>
    <w:p>
      <w:pPr>
        <w:spacing w:after="0" w:line="103"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process and formulation development, preclinical and clinical studies and regulatory operations.</w:t>
      </w:r>
    </w:p>
    <w:p>
      <w:pPr>
        <w:spacing w:after="0" w:line="14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77"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successful development of our product candidates is highly uncertain and subject to a number of risks. Refer to the risk factors under the heading </w:t>
      </w:r>
      <w:r>
        <w:rPr>
          <w:rFonts w:ascii="Times New Roman" w:cs="Times New Roman" w:eastAsia="Times New Roman" w:hAnsi="Times New Roman"/>
          <w:sz w:val="18"/>
          <w:szCs w:val="18"/>
          <w:i w:val="1"/>
          <w:iCs w:val="1"/>
          <w:color w:val="auto"/>
        </w:rPr>
        <w:t>Risks Related to the Development of Our Product Candidates</w:t>
      </w:r>
      <w:r>
        <w:rPr>
          <w:rFonts w:ascii="Times New Roman" w:cs="Times New Roman" w:eastAsia="Times New Roman" w:hAnsi="Times New Roman"/>
          <w:sz w:val="18"/>
          <w:szCs w:val="18"/>
          <w:color w:val="auto"/>
        </w:rPr>
        <w:t xml:space="preserve"> in Part II, Item 1A, found elsewhere in this Quarterly Report on Form 10-Q.</w:t>
      </w:r>
    </w:p>
    <w:p>
      <w:pPr>
        <w:spacing w:after="0" w:line="176"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We invest carefully in our pipeline, and the commitment of funding for each subsequent stage of our development programs is dependent upon the receipt of clear, supportive data. We anticipate that we will make determinations as to which additional programs to pursue and how much funding to direct to each program on an ongoing basis in response to the scientific and clinical data of each product candidate, as well as the competitive landscape and ongoing assessments of such product candidate’s commercial potential. We expect our research and development costs will be substantial for the foreseeable future. We expect costs associated with our drug development candidates to increase as the programs progress through clinical trials and new programs progress toward IND and into development.</w:t>
      </w:r>
    </w:p>
    <w:p>
      <w:pPr>
        <w:spacing w:after="0" w:line="195"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 product candidate programs under research and development and, as such, are separately classified. The table below summarizes our research and development expenses by categories of costs for the periods presented (in thousands):</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3980" w:type="dxa"/>
            <w:vAlign w:val="bottom"/>
          </w:tcPr>
          <w:p>
            <w:pPr>
              <w:spacing w:after="0"/>
              <w:rPr>
                <w:sz w:val="15"/>
                <w:szCs w:val="15"/>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6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9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SYNB1618</w:t>
            </w:r>
          </w:p>
        </w:tc>
        <w:tc>
          <w:tcPr>
            <w:tcW w:w="800" w:type="dxa"/>
            <w:vAlign w:val="bottom"/>
            <w:tcBorders>
              <w:top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30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26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SYNB1934</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SYNB8802</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SYNB1353</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SYNB1891</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40" w:type="dxa"/>
            <w:vAlign w:val="bottom"/>
            <w:shd w:val="clear" w:color="auto" w:fill="CCEEFF"/>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External pre-development candidate expenses</w:t>
            </w:r>
          </w:p>
        </w:tc>
        <w:tc>
          <w:tcPr>
            <w:tcW w:w="8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and unallocated expenses</w:t>
            </w:r>
          </w:p>
        </w:tc>
        <w:tc>
          <w:tcPr>
            <w:tcW w:w="80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Internal research and development expenses</w:t>
            </w:r>
          </w:p>
        </w:tc>
        <w:tc>
          <w:tcPr>
            <w:tcW w:w="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22,155</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14,610</w:t>
            </w:r>
          </w:p>
        </w:tc>
        <w:tc>
          <w:tcPr>
            <w:tcW w:w="11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13,355</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38,405</w:t>
            </w:r>
          </w:p>
        </w:tc>
        <w:tc>
          <w:tcPr>
            <w:tcW w:w="6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-170815</wp:posOffset>
            </wp:positionV>
            <wp:extent cx="685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-170815</wp:posOffset>
            </wp:positionV>
            <wp:extent cx="6032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-170815</wp:posOffset>
            </wp:positionV>
            <wp:extent cx="60325"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08"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General and administrative expense consists primarily of compensation, benefits and other employee-related expenses for personnel in our administrative, finance, legal, information technology, investor relations, business development and human resource functions. Other general and administrative costs include the legal costs of pursuing patent protection of our intellectual property, facility and information technology infrastructure costs, directors’ and officers’ insurance, and professional fees for accounting, tax, legal and consulting services. We anticipate that our general and administrative expenses will increase in the future as we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94"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Interest and investment income consists of income earned on investments. Interest expense consists of expense related to our finance leases. Other expense consists primarily of gains and losses on foreign currency invoices.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consolidated financial statements prepared in accordance with generally accepted accounting principles in the U.S. (GAAP). The preparation of these financial statements requires us to make certain estimates and assumptions that affect the reported amounts of assets and liabilities, the reported amounts of revenues and expenses during the reported periods and related disclosures.</w:t>
      </w:r>
    </w:p>
    <w:p>
      <w:pPr>
        <w:spacing w:after="0" w:line="177"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Our critical accounting policies are described in our 2021 Annual Report. During the nine months ended September 30, 2022, there were no new or material changes to our existing critical accounting policies. We believe that these identified policies are critical to fully understanding and evaluating our financial condition and results of operations.</w:t>
      </w:r>
    </w:p>
    <w:p>
      <w:pPr>
        <w:spacing w:after="0" w:line="169"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Our estimates and assumptions, including those related to revenue recognition and research and development expenses are monitored and analyzed by us for changes in facts and circumstances, and material changes in these estimates could occur in the future. The estimates and assumptions involved in our revenue recognition policy, particularly (a) assessing the number of performance obligations; (b) determination of transaction price; (c) determining the pattern over which performance obligations are satisfied, including estimates to complete performance obligations, and those estimates and assumptions involved in our contract research accrual process, particularly estimates of work completed to date; involve a greater degree of judgment, and therefore we consider revenue recognition and research and development expenses to be our critical accounting policies. We evaluate our estimates and assumptions on an ongoing basis. Actual results may differ from our estimates under different assumptions or conditions.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following discussion summarizes the key factors our management believes are necessary for an understanding of our consolidated financial results.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 Compared to Three Months Ended September 30, 2021</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300" w:type="dxa"/>
            <w:vAlign w:val="bottom"/>
          </w:tcPr>
          <w:p>
            <w:pPr>
              <w:spacing w:after="0"/>
              <w:rPr>
                <w:sz w:val="11"/>
                <w:szCs w:val="11"/>
                <w:color w:val="auto"/>
              </w:rPr>
            </w:pPr>
          </w:p>
        </w:tc>
        <w:tc>
          <w:tcPr>
            <w:tcW w:w="1160" w:type="dxa"/>
            <w:vAlign w:val="bottom"/>
            <w:gridSpan w:val="2"/>
          </w:tcPr>
          <w:p>
            <w:pPr>
              <w:jc w:val="right"/>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1180" w:type="dxa"/>
            <w:vAlign w:val="bottom"/>
            <w:gridSpan w:val="2"/>
          </w:tcPr>
          <w:p>
            <w:pPr>
              <w:jc w:val="center"/>
              <w:ind w:right="52"/>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vMerge w:val="restart"/>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678</w:t>
            </w:r>
          </w:p>
        </w:tc>
        <w:tc>
          <w:tcPr>
            <w:tcW w:w="3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916</w:t>
            </w:r>
          </w:p>
        </w:tc>
        <w:tc>
          <w:tcPr>
            <w:tcW w:w="5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14,610</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13,355</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4,402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3,616</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09"/>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19,012</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16,971</w:t>
            </w: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(18,334 )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(16,055 )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(2,279 )</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0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(17,912 )</w:t>
            </w:r>
          </w:p>
        </w:tc>
        <w:tc>
          <w:tcPr>
            <w:tcW w:w="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(16,016 )</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-1010920</wp:posOffset>
            </wp:positionV>
            <wp:extent cx="77470"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-1010920</wp:posOffset>
            </wp:positionV>
            <wp:extent cx="6858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-170815</wp:posOffset>
            </wp:positionV>
            <wp:extent cx="7747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6858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Revenue was $0.7 million for the three months ended September 30, 2022, as compared to $0.9 million for the three months ended September 30, 2021. The revenue for both periods was related to services performed under the Roche collaboration that we entered into in June 2021.</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08"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Research and development expense was $14.6 million for the three months ended September 30, 2022 compared to $13.4 million in the corresponding period in 2021. The increase in research and development expense was primarily due to an increase of $1.1 million of clinical development costs for SYNB1353, $0.5 million in professional services, $0.4 million of manufacturing costs, $0.3 million of nonclinical development costs, $0.3 million in research and development support costs, $0.3 million in compensation, benefits and other employee-related expenses and $0.1 million of clinical development costs for SYNB1618. These increases were offset by decreases of $1.2 million of clinical development costs for SYNB8802, $0.4 million of clinical development costs for SYNB1891 and $0.2 million of clinical development costs for SYNB1934.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08"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was $4.4 million for the three months ended September 30, 2022, compared to $3.6 million for the corresponding period in 2021.The increase was primarily due to increased compensation, benefits and other employee-related expenses of $0.4 million, increased professional services of $0.3 million and increase support costs of $0.1 million.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0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Other income was $0.4 million for the three months ended September 30, 2022, compared to $0.1 million for the corresponding period in 2021. The increase in other income was related to an increase in interest income generated by our investment account.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 Compared to Nine Months Ended September 30, 2021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6640" w:type="dxa"/>
            <w:vAlign w:val="bottom"/>
          </w:tcPr>
          <w:p>
            <w:pPr>
              <w:spacing w:after="0"/>
              <w:rPr>
                <w:sz w:val="14"/>
                <w:szCs w:val="14"/>
                <w:color w:val="auto"/>
              </w:rPr>
            </w:pPr>
          </w:p>
        </w:tc>
        <w:tc>
          <w:tcPr>
            <w:tcW w:w="1580" w:type="dxa"/>
            <w:vAlign w:val="bottom"/>
            <w:tcBorders>
              <w:top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r>
      <w:tr>
        <w:trPr>
          <w:trHeight w:val="169"/>
        </w:trPr>
        <w:tc>
          <w:tcPr>
            <w:tcW w:w="66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38,405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18"/>
                <w:szCs w:val="18"/>
                <w:color w:val="auto"/>
              </w:rPr>
            </w:pPr>
          </w:p>
        </w:tc>
      </w:tr>
      <w:tr>
        <w:trPr>
          <w:trHeight w:val="21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51,190</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(50,116 )</w:t>
            </w:r>
          </w:p>
        </w:tc>
        <w:tc>
          <w:tcPr>
            <w:tcW w:w="1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(45,620 )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(4,496 )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r>
      <w:tr>
        <w:trPr>
          <w:trHeight w:val="21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(49,451 )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(45,472 )</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(3,979 )</w:t>
            </w:r>
          </w:p>
        </w:tc>
      </w:tr>
      <w:tr>
        <w:trPr>
          <w:trHeight w:val="20"/>
        </w:trPr>
        <w:tc>
          <w:tcPr>
            <w:tcW w:w="6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-1010920</wp:posOffset>
            </wp:positionV>
            <wp:extent cx="76835"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-1010920</wp:posOffset>
            </wp:positionV>
            <wp:extent cx="68580"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145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76835"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was $1.1 million for the nine months ended September 30, 2022, compared to $1.2 million for the nine months ended September 30, 2021.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both periods was related to services performed under the Roche collaboration that we entered into in June 2021.</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08"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Research and development expense was $38.4 million for the nine months ended September 30, 2022, compared to $35.3 million in the corresponding period in 2021. The increase in research and development expense was due to increases of $1.3 million of clinical development costs for SYNB1353, $1.2 million in professional services, $1.0 million in research and development support costs, $1.0 million of compensation, benefits and other employee-related expenses, $0.8 million of manufacturing costs, $0.7 million of nonclinical development costs and $0.2 million of clinical development costs for SYNB1618. These increases were partially offset by decreases of $1.6 million of clinical development costs for SYNB8802, $1.3 million of clinical development costs for SYNB1891 and $0.2 million of clinical development costs for SYNB1934.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 was $12.8 million for the nine months ended September 30, 2022, compared to $11.5 million for the corresponding period in 2021. The increase was primarily due to increased compensation, benefits and other employee-related expenses of $1.0 million and increased professional services of $0.4 million, offset by decreases of support costs of $0.1 million.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0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Other income was $0.7 million for the nine months ended September 30, 2022, compared to $0.2 million for the corresponding period in 2021. The increase in other income was related to an increase in interest income generated by our investment account.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have incurred losses since our inception on March 14, 2014 and, as of September 30, 2022, we had an accumulated deficit of approximately $340.3 million. We have financed our operations to date primarily through the sale of preferred stock, common stock, preferred units and warrants, payments received under collaboration agreements, including the technology collaboration with Ginkgo, the Roche Collaboration and Option agreement, and prior collaborations, interest earned on investments, and cash received in the Merger. At September 30, 2022, we had approximately $91.7 million in cash, cash equivalents, and short-term marketable securities. Our cash and cash equivalents include amounts held in money market funds, stated at cost plus unrealized gain and loss, which approximates fair market value. Our available-for-sale securities include amounts held in corporate debt securities, commercial paper and U.S. government agency securities and treasuries. We invest cash in excess of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w:t>
      </w:r>
    </w:p>
    <w:p>
      <w:pPr>
        <w:spacing w:after="0" w:line="201"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During the nine months ended September 30, 2022, our cash, cash equivalents and short-term marketable securities balance decreased approximately $44.9 million. This decrease was primarily due to the cash used to operate our business, including payments related to, among other things, research and development and general and administrative expenses as we continue to invest in our primary drug candidates and support the development of our proprietary platform. These decreases were offset by the proceeds from maturity of marketable securities.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cash equivalents and restricted cash for each of the periods below (in thousands):</w:t>
      </w:r>
    </w:p>
    <w:p>
      <w:pPr>
        <w:spacing w:after="0" w:line="205"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6"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61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9"/>
        </w:trPr>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4"/>
                <w:szCs w:val="14"/>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cash equivalents and restricted cash provided by (used in)</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(44,495 )</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(39,138 )</w:t>
            </w:r>
          </w:p>
        </w:tc>
      </w:tr>
      <w:tr>
        <w:trPr>
          <w:trHeight w:val="216"/>
        </w:trPr>
        <w:tc>
          <w:tcPr>
            <w:tcW w:w="6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43,490</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(19,946 )</w:t>
            </w:r>
          </w:p>
        </w:tc>
      </w:tr>
      <w:tr>
        <w:trPr>
          <w:trHeight w:val="216"/>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89,502</w:t>
            </w:r>
          </w:p>
        </w:tc>
      </w:tr>
      <w:tr>
        <w:trPr>
          <w:trHeight w:val="250"/>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(816 )</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30,418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-24765</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cash equivalents and restricted cash used in operating activities was approximately $44.5 million for the nine months ended September 30,</w:t>
      </w:r>
    </w:p>
    <w:p>
      <w:pPr>
        <w:spacing w:after="0" w:line="16"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18"/>
          <w:szCs w:val="18"/>
          <w:color w:val="auto"/>
        </w:rPr>
        <w:t>2022. The primary use of cash was our net loss of $49.5 million, changes in our assets and liabilities of $1.7 million, partially offset by $6.7 million of non-cash items primarily including depreciation, equity-based compensation, and the right of use asset. The changes in our assets and liabilities include decreases in prepaid research and development expenses, as a result of the work being completed on the Ginkgo collaboration, decreases in the operating lease liability, decreases in prepaid expenses and other current assets, increases in accounts receivable, as a result of having earned a milestone with the Roche collaboration in August 2022, increases in accounts payable and accrued expenses, and increases in deferred revenue.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color w:val="auto"/>
        </w:rPr>
        <w:t>Net cash, cash equivalents and restricted cash used in operating activities was approximately $39.1 million for the nine months ended September 30,</w:t>
      </w:r>
    </w:p>
    <w:p>
      <w:pPr>
        <w:spacing w:after="0" w:line="27"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2021. The primary use of cash was our net loss of $45.5 million, changes in our assets and liabilities of $0.2 million, partially offset by $6.2 million of non-cash items primarily including depreciation, equity-based compensation, and the right of use asset. The changes in our assets and liabilities includes the addition of accounts receivable due to the $1.0 million to be received from Roche for the milestone that was achieved in September 2021, decreases in prepaid research and development expenses, as a result of the work being completed on the Ginkgo collaboration, decreases in prepaid expenses and other current assets, decreases in the operating lease liability, increases in accounts payable and accrued expenses, and increases in deferred revenue.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2022 was $43.5 million and resulted primarily from the proceeds from maturity of marketable securities of $110.4 million. This was offset by the purchases of marketable securities of $66.2 million and property and equipment of $0.7 million.</w:t>
      </w:r>
    </w:p>
    <w:p>
      <w:pPr>
        <w:spacing w:after="0" w:line="177"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2021 was $19.9 million and resulted primarily from the purchases of marketable securities of $98.0 million and property and equipment of $0.5 million. This was offset by proceeds from maturity of marketable securities of $77.3 million and proceeds from redemption of marketable securities of $1.3 million.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ind w:right="96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2022 totaled $0.2 million, primarily related to ESPP contributions.</w:t>
      </w:r>
    </w:p>
    <w:p>
      <w:pPr>
        <w:spacing w:after="0" w:line="162" w:lineRule="exact"/>
        <w:rPr>
          <w:sz w:val="20"/>
          <w:szCs w:val="20"/>
          <w:color w:val="auto"/>
        </w:rPr>
      </w:pPr>
    </w:p>
    <w:p>
      <w:pPr>
        <w:jc w:val="both"/>
        <w:ind w:right="40" w:firstLine="509"/>
        <w:spacing w:after="0" w:line="250"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2021 totaled $89.5 million, primarily related to net proceeds of $81.2 million from the sale of our common stock in underwritten public offerings in April and September 2021, $8.1 million from the sale of our common stock in the ATM offering program and proceeds of $0.4 million from exercise of stock options and ESPP contributions, offset by payments of withholding taxes for employees relating to restricted stock awards.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08"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To date, we have not commercialized any products and have not achieved profitability. We anticipate that we will continue to incur substantial net losses for the next several years as we further develop our product candidates, invest in our proprietary platform technology and operate as a publicly traded company.</w:t>
      </w:r>
    </w:p>
    <w:p>
      <w:pPr>
        <w:spacing w:after="0" w:line="169"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are currently generating revenue from our Roche collaboration but have not generated any product revenue since our inception and do not expect to generate any product revenue unless we receive regulatory approval for our product candidates. We believe that our cash, cash equivalents, and short-term marketable securities as of September 30, 2022, will be sufficient to meet our anticipated cash requirements for at least the next 12 months from the date of this filing. Our forecast of the period of time through which our financial resources will be adequate to support our operations is a forward-looking statement that involves risks and uncertainties, and actual results could vary materially and negatively as a result of a number of factors, including the factors discussed in the section entitled “Risk Factors” in this Quarterly Report on Form 10-Q. We have based our estimates on assumptions that may prove to be wrong, and we could utilize our available capital resources sooner than we currently expect.</w:t>
      </w:r>
    </w:p>
    <w:p>
      <w:pPr>
        <w:spacing w:after="0" w:line="181" w:lineRule="exact"/>
        <w:rPr>
          <w:sz w:val="20"/>
          <w:szCs w:val="20"/>
          <w:color w:val="auto"/>
        </w:rPr>
      </w:pPr>
    </w:p>
    <w:p>
      <w:pPr>
        <w:ind w:right="420" w:firstLine="509"/>
        <w:spacing w:after="0" w:line="258" w:lineRule="auto"/>
        <w:rPr>
          <w:sz w:val="20"/>
          <w:szCs w:val="20"/>
          <w:color w:val="auto"/>
        </w:rPr>
      </w:pPr>
      <w:r>
        <w:rPr>
          <w:rFonts w:ascii="Times New Roman" w:cs="Times New Roman" w:eastAsia="Times New Roman" w:hAnsi="Times New Roman"/>
          <w:sz w:val="18"/>
          <w:szCs w:val="18"/>
          <w:color w:val="auto"/>
        </w:rPr>
        <w:t>Due to the numerous risks and uncertainties associated with the development of our product candidates, we are unable to estimate precisely the amounts of capital outlays and operating expenditures necessary to complete the development of, and to obtain regulatory approval for, our product candidates. Our funding requirements will depend on many factors, including, but not limited to, the following:</w:t>
      </w:r>
    </w:p>
    <w:p>
      <w:pPr>
        <w:spacing w:after="0" w:line="61"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and development efforts;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 for our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costs involved in developing manufacturing processes and agreements with third-party manufacturers;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 of our commercialization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marketing and selling our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our product candidates;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7" w:name="page28"/>
    <w:bookmarkEnd w:id="27"/>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technological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additional collaborative, licensing or other arrangements that we may establish;</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products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03"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add personnel and financial and management information systems to support our product development and potential future commercialization efforts, and to enable us to operate as a public company;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business is adversely impacted by the effects of the coronavirus outbreak or by other health epidemics or pandemics; and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II, Item IA. “Risk Factors”.</w:t>
      </w:r>
    </w:p>
    <w:p>
      <w:pPr>
        <w:spacing w:after="0" w:line="21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As an early-stage company, we are subject to a number of risks common to other life science companies, including, but not limited to, the ability to raise additional capital, development by our competitors of new technological innovations, risk of failure in preclinical studies, the safety and efficacy of our product candidates in clinical trials, the regulatory approval process, the ability to efficiently manufacture our products, market acceptance of our products once approved, lack of marketing and sales history, dependence on key personnel and protection of proprietary technology. Our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our research and development will be successfully completed, that adequate protection for our intellectual property will be obtained, that any products developed will obtain necessary regulatory approval or that any approved products will be commercially viable. Even if our product development efforts are successful, it is uncertain when, if ever, we will generate revenue from product sales. We may never achieve profitability, and unless and until we do, we will continue to need to raise additional capital or obtain financing from other sources, such as strategic collaborations or partnerships. If we cannot expand our operations or otherwise capitalize on our business opportunities because we lack sufficient capital, our business, financial condition and results of operations could be materially adversely affected.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Commitments and Obligations</w:t>
      </w:r>
    </w:p>
    <w:p>
      <w:pPr>
        <w:spacing w:after="0" w:line="108"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contractual obligations and commitments set forth under the heading “Management’s Discussion and Analysis of Financial Condition and Results of Operations- Contractual Obligations and Commitments” in our 2021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For a description of transactions with related parties which may fall outside of the reporting period of this section, please see the section entitled “</w:t>
      </w:r>
      <w:r>
        <w:rPr>
          <w:rFonts w:ascii="Times New Roman" w:cs="Times New Roman" w:eastAsia="Times New Roman" w:hAnsi="Times New Roman"/>
          <w:sz w:val="18"/>
          <w:szCs w:val="18"/>
          <w:i w:val="1"/>
          <w:iCs w:val="1"/>
          <w:color w:val="auto"/>
        </w:rPr>
        <w:t>Certain Relationships and Related Person Transactions”</w:t>
      </w:r>
      <w:r>
        <w:rPr>
          <w:rFonts w:ascii="Times New Roman" w:cs="Times New Roman" w:eastAsia="Times New Roman" w:hAnsi="Times New Roman"/>
          <w:sz w:val="18"/>
          <w:szCs w:val="18"/>
          <w:color w:val="auto"/>
        </w:rPr>
        <w:t xml:space="preserve"> in our proxy statement filed with the SEC on April 27,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 xml:space="preserve">For detailed information regarding recently issued accounting pronouncements and the expected impact on our consolidated financial statements,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unaudited consolidated financial statements appearing elsewhere in this Quarterly Report on Form 10-Q.</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this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disclosure controls</w:t>
      </w:r>
    </w:p>
    <w:p>
      <w:pPr>
        <w:spacing w:after="0" w:line="108"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Securities Exchange Act of 1934, as amended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spacing w:after="0" w:line="195"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after evaluating the effectiveness of our disclosure controls and procedures (as defined in Exchange Act Rules 13a-15(e) and 15d-15(e)) as of the end of the period covered by this Form 10-Q,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108"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There have not been any changes in our internal controls over financial reporting (as defined in Rules 13a-15(f) and 15d-15(f) under the Exchange Act) identified in connection with the evaluation of such internal control that occurred during our fiscal quarter ended September 30, 2022 that have materially affected, or are reasonably likely to materially affect, our internal controls over financial reporting.</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1A. Risk Factors.</w:t>
      </w:r>
    </w:p>
    <w:p>
      <w:pPr>
        <w:spacing w:after="0" w:line="106" w:lineRule="exact"/>
        <w:rPr>
          <w:sz w:val="20"/>
          <w:szCs w:val="20"/>
          <w:color w:val="auto"/>
        </w:rPr>
      </w:pPr>
    </w:p>
    <w:p>
      <w:pPr>
        <w:ind w:right="14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Quarterly Report on Form 10-Q and our other public filings with the SEC. The following risk factors may be amended, supplemented or superseded from time to time by other reports we file with the SEC in the future.</w:t>
      </w:r>
    </w:p>
    <w:p>
      <w:pPr>
        <w:spacing w:after="0" w:line="18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the following discussion of risk factors, References to “we”, “us”, “our” and similar terms refer to the combined business of Synlogic, Inc. after the Merger on August 28, 2017.</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89"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this section below, that represent challenges that we face in connection with the successful implementation of our strategy. The occurrence of one or more of the events or circumstances described in more detail in the risk factors below, alone or in combination with other events or circumstances, may have an adverse effect on our business, cash flows, financial condition and results of operations. Such risks include, but are not limited to:</w:t>
      </w:r>
    </w:p>
    <w:p>
      <w:pPr>
        <w:spacing w:after="0" w:line="56" w:lineRule="exact"/>
        <w:rPr>
          <w:sz w:val="20"/>
          <w:szCs w:val="20"/>
          <w:color w:val="auto"/>
        </w:rPr>
      </w:pPr>
    </w:p>
    <w:p>
      <w:pPr>
        <w:ind w:left="1020" w:right="380" w:hanging="503"/>
        <w:spacing w:after="0" w:line="250"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history of losses, and we expect to continue to incur losses for the foreseeable future, and we may never achieve or maintain profitability.</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funding, which may not be available on acceptable terms, or at all.</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and annual operating results may fluctuate in the future. As a result, we may fail to meet the expectations of research analysts or investors, which could cause our stock price to decline.</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 and our stockholders may not be able to resell shares of our common stock at or above the price they paid.</w:t>
      </w:r>
    </w:p>
    <w:p>
      <w:pPr>
        <w:spacing w:after="0" w:line="10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short operating history may make it difficult for stockholders to evaluate the success of our business to date and to assess our future viability.</w:t>
      </w:r>
    </w:p>
    <w:p>
      <w:pPr>
        <w:spacing w:after="0" w:line="40" w:lineRule="exact"/>
        <w:rPr>
          <w:rFonts w:ascii="Times New Roman" w:cs="Times New Roman" w:eastAsia="Times New Roman" w:hAnsi="Times New Roman"/>
          <w:sz w:val="18"/>
          <w:szCs w:val="18"/>
          <w:color w:val="auto"/>
        </w:rPr>
      </w:pPr>
    </w:p>
    <w:p>
      <w:pPr>
        <w:ind w:left="1020" w:right="54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costly, time consuming and inherently risky, and we may fail to demonstrate safety and efficacy to the satisfaction of applicable regulatory authorities.</w:t>
      </w:r>
    </w:p>
    <w:p>
      <w:pPr>
        <w:spacing w:after="0" w:line="67"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approach we are taking to discover and develop novel therapeutics using synthetic biology to create novel medicines is unproven and may never lead to marketable products.</w:t>
      </w:r>
    </w:p>
    <w:p>
      <w:pPr>
        <w:spacing w:after="0" w:line="40"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54" w:lineRule="exact"/>
        <w:rPr>
          <w:rFonts w:ascii="Times New Roman" w:cs="Times New Roman" w:eastAsia="Times New Roman" w:hAnsi="Times New Roman"/>
          <w:sz w:val="18"/>
          <w:szCs w:val="18"/>
          <w:color w:val="auto"/>
        </w:rPr>
      </w:pPr>
    </w:p>
    <w:p>
      <w:pPr>
        <w:ind w:left="1020" w:right="480" w:hanging="503"/>
        <w:spacing w:after="0" w:line="250"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involves a lengthy and expensive process with an uncertain outcome, and results of earlier preclinical studies and clinical trials may not be predictive of future clinical trial results.</w:t>
      </w:r>
    </w:p>
    <w:p>
      <w:pPr>
        <w:spacing w:after="0" w:line="8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costs might be higher than expected and our receipt of necessary regulatory approvals could be delayed or prevented.</w:t>
      </w:r>
    </w:p>
    <w:p>
      <w:pPr>
        <w:spacing w:after="0" w:line="54"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0" w:name="page31"/>
    <w:bookmarkEnd w:id="30"/>
    <w:p>
      <w:pPr>
        <w:ind w:left="503" w:right="8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epidemic, or outbreak of an infectious disease, such as COVID-19, or geopolitical tensions, such as the armed conflict between Russia and Ukraine, may materially and adversely affect our business and our financial results.</w:t>
      </w:r>
    </w:p>
    <w:p>
      <w:pPr>
        <w:spacing w:after="0" w:line="40"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regulatory approval for a product candidate, we will remain subject to ongoing regulatory requirements.</w:t>
      </w:r>
    </w:p>
    <w:p>
      <w:pPr>
        <w:spacing w:after="0" w:line="90" w:lineRule="exact"/>
        <w:rPr>
          <w:rFonts w:ascii="Times New Roman" w:cs="Times New Roman" w:eastAsia="Times New Roman" w:hAnsi="Times New Roman"/>
          <w:sz w:val="18"/>
          <w:szCs w:val="18"/>
          <w:color w:val="auto"/>
        </w:rPr>
      </w:pPr>
    </w:p>
    <w:p>
      <w:pPr>
        <w:ind w:left="503" w:right="440" w:hanging="503"/>
        <w:spacing w:after="0" w:line="279" w:lineRule="auto"/>
        <w:tabs>
          <w:tab w:leader="none" w:pos="503"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45" w:lineRule="exact"/>
        <w:rPr>
          <w:rFonts w:ascii="Times New Roman" w:cs="Times New Roman" w:eastAsia="Times New Roman" w:hAnsi="Times New Roman"/>
          <w:sz w:val="17"/>
          <w:szCs w:val="17"/>
          <w:color w:val="auto"/>
        </w:rPr>
      </w:pPr>
    </w:p>
    <w:p>
      <w:pPr>
        <w:ind w:left="503" w:right="120" w:hanging="503"/>
        <w:spacing w:after="0" w:line="250"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69" w:lineRule="exact"/>
        <w:rPr>
          <w:rFonts w:ascii="Times New Roman" w:cs="Times New Roman" w:eastAsia="Times New Roman" w:hAnsi="Times New Roman"/>
          <w:sz w:val="18"/>
          <w:szCs w:val="18"/>
          <w:color w:val="auto"/>
        </w:rPr>
      </w:pPr>
    </w:p>
    <w:p>
      <w:pPr>
        <w:ind w:left="503" w:right="100" w:hanging="503"/>
        <w:spacing w:after="0" w:line="266"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67" w:lineRule="exact"/>
        <w:rPr>
          <w:rFonts w:ascii="Times New Roman" w:cs="Times New Roman" w:eastAsia="Times New Roman" w:hAnsi="Times New Roman"/>
          <w:sz w:val="18"/>
          <w:szCs w:val="18"/>
          <w:color w:val="auto"/>
        </w:rPr>
      </w:pPr>
    </w:p>
    <w:p>
      <w:pPr>
        <w:ind w:left="503" w:right="180" w:hanging="503"/>
        <w:spacing w:after="0" w:line="266"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computer systems, or those of our collaborators or other contractors or consultants, may fail or suffer security breaches, which could result in a material disruption of our product development programs.</w:t>
      </w:r>
    </w:p>
    <w:p>
      <w:pPr>
        <w:spacing w:after="0" w:line="54"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Ethical, legal and social concerns about synthetic biology and genetic engineering could limit or prevent the use of our technologies and limit our revenues.</w:t>
      </w:r>
    </w:p>
    <w:p>
      <w:pPr>
        <w:spacing w:after="0" w:line="40" w:lineRule="exact"/>
        <w:rPr>
          <w:rFonts w:ascii="Times New Roman" w:cs="Times New Roman" w:eastAsia="Times New Roman" w:hAnsi="Times New Roman"/>
          <w:sz w:val="18"/>
          <w:szCs w:val="18"/>
          <w:color w:val="auto"/>
        </w:rPr>
      </w:pPr>
    </w:p>
    <w:p>
      <w:pPr>
        <w:ind w:left="503" w:right="640" w:hanging="503"/>
        <w:spacing w:after="0" w:line="266"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or maintaining necessary rights to Synthetic Biotics, product candidates and processes for our development pipeline through acquisitions and in-licenses.</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patent term protections for our product candidates to effectively protect our business.</w:t>
      </w:r>
    </w:p>
    <w:p>
      <w:pPr>
        <w:spacing w:after="0" w:line="103" w:lineRule="exact"/>
        <w:rPr>
          <w:rFonts w:ascii="Times New Roman" w:cs="Times New Roman" w:eastAsia="Times New Roman" w:hAnsi="Times New Roman"/>
          <w:sz w:val="18"/>
          <w:szCs w:val="18"/>
          <w:color w:val="auto"/>
        </w:rPr>
      </w:pPr>
    </w:p>
    <w:p>
      <w:pPr>
        <w:ind w:left="503" w:right="220" w:hanging="503"/>
        <w:spacing w:after="0" w:line="266"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effective proprietary rights for our product candidates or any future product candidates, we may not be able to compete effectively in our proposed markets.</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claims of intellectual property infringement may prevent or delay our development and commercialization efforts.</w:t>
      </w:r>
    </w:p>
    <w:p>
      <w:pPr>
        <w:spacing w:after="0" w:line="103" w:lineRule="exact"/>
        <w:rPr>
          <w:rFonts w:ascii="Times New Roman" w:cs="Times New Roman" w:eastAsia="Times New Roman" w:hAnsi="Times New Roman"/>
          <w:sz w:val="18"/>
          <w:szCs w:val="18"/>
          <w:color w:val="auto"/>
        </w:rPr>
      </w:pPr>
    </w:p>
    <w:p>
      <w:pPr>
        <w:ind w:left="503" w:right="120" w:hanging="503"/>
        <w:spacing w:after="0" w:line="266"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our patents or the patents of our licensors, which could be expensive, time consuming, and unsuccessful.</w:t>
      </w:r>
    </w:p>
    <w:p>
      <w:pPr>
        <w:spacing w:after="0" w:line="54"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challenging the inventorship of our patents and other intellectual property.</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throughout the world.</w:t>
      </w:r>
    </w:p>
    <w:p>
      <w:pPr>
        <w:spacing w:after="0" w:line="103" w:lineRule="exact"/>
        <w:rPr>
          <w:rFonts w:ascii="Times New Roman" w:cs="Times New Roman" w:eastAsia="Times New Roman" w:hAnsi="Times New Roman"/>
          <w:sz w:val="18"/>
          <w:szCs w:val="18"/>
          <w:color w:val="auto"/>
        </w:rPr>
      </w:pPr>
    </w:p>
    <w:p>
      <w:pPr>
        <w:jc w:val="both"/>
        <w:ind w:left="503" w:right="40" w:hanging="503"/>
        <w:spacing w:after="0" w:line="258"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61" w:lineRule="exact"/>
        <w:rPr>
          <w:rFonts w:ascii="Times New Roman" w:cs="Times New Roman" w:eastAsia="Times New Roman" w:hAnsi="Times New Roman"/>
          <w:sz w:val="18"/>
          <w:szCs w:val="18"/>
          <w:color w:val="auto"/>
        </w:rPr>
      </w:pPr>
    </w:p>
    <w:p>
      <w:pPr>
        <w:ind w:left="503" w:right="120" w:hanging="503"/>
        <w:spacing w:after="0" w:line="266"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supply and manufacturing partners for drug supplies for our late-stage clinical activities and may do the same for any commercial supplies of our product candidates.</w:t>
      </w:r>
    </w:p>
    <w:p>
      <w:pPr>
        <w:spacing w:after="0" w:line="67" w:lineRule="exact"/>
        <w:rPr>
          <w:rFonts w:ascii="Times New Roman" w:cs="Times New Roman" w:eastAsia="Times New Roman" w:hAnsi="Times New Roman"/>
          <w:sz w:val="18"/>
          <w:szCs w:val="18"/>
          <w:color w:val="auto"/>
        </w:rPr>
      </w:pPr>
    </w:p>
    <w:p>
      <w:pPr>
        <w:ind w:left="503" w:right="400" w:hanging="503"/>
        <w:spacing w:after="0" w:line="266"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attempt to form collaborations in the future with respect to our product candidates, but we may not be able to do so, which may cause us to alter our development and commercialization plans.</w:t>
      </w:r>
    </w:p>
    <w:p>
      <w:pPr>
        <w:spacing w:after="0" w:line="54" w:lineRule="exact"/>
        <w:rPr>
          <w:rFonts w:ascii="Times New Roman" w:cs="Times New Roman" w:eastAsia="Times New Roman" w:hAnsi="Times New Roman"/>
          <w:sz w:val="18"/>
          <w:szCs w:val="18"/>
          <w:color w:val="auto"/>
        </w:rPr>
      </w:pPr>
    </w:p>
    <w:p>
      <w:pPr>
        <w:ind w:left="503" w:right="100" w:hanging="503"/>
        <w:spacing w:after="0" w:line="280" w:lineRule="auto"/>
        <w:tabs>
          <w:tab w:leader="none" w:pos="503"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44" w:lineRule="exact"/>
        <w:rPr>
          <w:rFonts w:ascii="Times New Roman" w:cs="Times New Roman" w:eastAsia="Times New Roman" w:hAnsi="Times New Roman"/>
          <w:sz w:val="17"/>
          <w:szCs w:val="17"/>
          <w:color w:val="auto"/>
        </w:rPr>
      </w:pPr>
    </w:p>
    <w:p>
      <w:pPr>
        <w:ind w:left="503" w:hanging="503"/>
        <w:spacing w:after="0"/>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and our competitors may discover, develop or commercialize products faster or more successfully than us.</w:t>
      </w:r>
    </w:p>
    <w:p>
      <w:pPr>
        <w:spacing w:after="0" w:line="117" w:lineRule="exact"/>
        <w:rPr>
          <w:rFonts w:ascii="Times New Roman" w:cs="Times New Roman" w:eastAsia="Times New Roman" w:hAnsi="Times New Roman"/>
          <w:sz w:val="18"/>
          <w:szCs w:val="18"/>
          <w:color w:val="auto"/>
        </w:rPr>
      </w:pPr>
    </w:p>
    <w:p>
      <w:pPr>
        <w:ind w:left="503" w:right="300" w:hanging="503"/>
        <w:spacing w:after="0" w:line="266"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54" w:lineRule="exact"/>
        <w:rPr>
          <w:rFonts w:ascii="Times New Roman" w:cs="Times New Roman" w:eastAsia="Times New Roman" w:hAnsi="Times New Roman"/>
          <w:sz w:val="18"/>
          <w:szCs w:val="18"/>
          <w:color w:val="auto"/>
        </w:rPr>
      </w:pPr>
    </w:p>
    <w:p>
      <w:pPr>
        <w:ind w:left="503" w:right="20" w:hanging="503"/>
        <w:spacing w:after="0" w:line="266"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employment agreements with our executive officers may require us to pay severance benefits to any of those persons who are terminated in connection with a change of control, which could harm our business, financial condition or results of operations.</w:t>
      </w:r>
    </w:p>
    <w:p>
      <w:pPr>
        <w:spacing w:after="0" w:line="176"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32" w:right="359" w:bottom="1440" w:gutter="0" w:footer="0" w:header="0"/>
        </w:sectPr>
      </w:pPr>
    </w:p>
    <w:bookmarkStart w:id="31" w:name="page32"/>
    <w:bookmarkEnd w:id="31"/>
    <w:p>
      <w:pPr>
        <w:ind w:left="1020" w:right="2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are able to exert significant control over matters subject to stockholder approval.</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securities convertible or exchangeable for our common stock may depress our stock price.</w:t>
      </w:r>
    </w:p>
    <w:p>
      <w:pPr>
        <w:spacing w:after="0" w:line="10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40"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anticipate paying any cash dividends on our common stock in the foreseeable future; therefore, capital appreciation, if any, of our common stock will be your sole source of gain for the foreseeable future.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Capital Requirements and Operating Results</w:t>
      </w:r>
    </w:p>
    <w:p>
      <w:pPr>
        <w:spacing w:after="0" w:line="1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history of losses, and we expect to continue to incur losses for the foreseeable future, and we may never achieve or maintain profitability.</w:t>
      </w:r>
    </w:p>
    <w:p>
      <w:pPr>
        <w:spacing w:after="0" w:line="77"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of Synthetic Biotics and we have incurred significant operating losses since our inception. Our net loss was approximately $17.9 million and $49.5 million for the three and nine months ended September 30, 2022, respectively and $16.0 million and $45.5 million for the three and nine months ended September 30, 2021, respectively. As of September 30, 2022, we had an accumulated deficit of approximately $340.3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and expect that it will be many years, if ever, before we have a product candidate approved for commercialization.</w:t>
      </w:r>
    </w:p>
    <w:p>
      <w:pPr>
        <w:spacing w:after="0" w:line="168" w:lineRule="exact"/>
        <w:rPr>
          <w:sz w:val="20"/>
          <w:szCs w:val="20"/>
          <w:color w:val="auto"/>
        </w:rPr>
      </w:pPr>
    </w:p>
    <w:p>
      <w:pPr>
        <w:ind w:right="40" w:firstLine="509"/>
        <w:spacing w:after="0" w:line="232" w:lineRule="auto"/>
        <w:rPr>
          <w:sz w:val="20"/>
          <w:szCs w:val="20"/>
          <w:color w:val="auto"/>
        </w:rPr>
      </w:pPr>
      <w:r>
        <w:rPr>
          <w:rFonts w:ascii="Times New Roman" w:cs="Times New Roman" w:eastAsia="Times New Roman" w:hAnsi="Times New Roman"/>
          <w:sz w:val="18"/>
          <w:szCs w:val="18"/>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which may not be available on acceptable terms, or at all.</w:t>
      </w:r>
    </w:p>
    <w:p>
      <w:pPr>
        <w:spacing w:after="0" w:line="108" w:lineRule="exact"/>
        <w:rPr>
          <w:sz w:val="20"/>
          <w:szCs w:val="20"/>
          <w:color w:val="auto"/>
        </w:rPr>
      </w:pPr>
    </w:p>
    <w:p>
      <w:pPr>
        <w:ind w:right="100" w:firstLine="509"/>
        <w:spacing w:after="0" w:line="233" w:lineRule="auto"/>
        <w:rPr>
          <w:sz w:val="20"/>
          <w:szCs w:val="20"/>
          <w:color w:val="auto"/>
        </w:rPr>
      </w:pPr>
      <w:r>
        <w:rPr>
          <w:rFonts w:ascii="Times New Roman" w:cs="Times New Roman" w:eastAsia="Times New Roman" w:hAnsi="Times New Roman"/>
          <w:sz w:val="18"/>
          <w:szCs w:val="18"/>
          <w:color w:val="auto"/>
        </w:rPr>
        <w:t>We have used substantial funds to discover and develop our programs and proprietary drug development platform in synthetic biology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86"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or we enter into third-party arrangements with collaborators. To date, we have primarily financed our operations through sales of our securities, our third-party collaborations and the Merger.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2" w:name="page33"/>
    <w:bookmarkEnd w:id="32"/>
    <w:p>
      <w:pPr>
        <w:ind w:right="400" w:firstLine="509"/>
        <w:spacing w:after="0" w:line="250"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95"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5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Quarterly Report on Form 10-Q and others:</w:t>
      </w:r>
    </w:p>
    <w:p>
      <w:pPr>
        <w:spacing w:after="0" w:line="61"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maintain profitability;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Synthetic Biotic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research programs, clinical trials, or other product development and approval processes;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report our financial results in a timely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and the need to attract and retain, key management and other personnel;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protect and enforce our intellectual property rights;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the theft or misappropriation of our intellectual property, know-how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milestones with our collaborators, such as Roche;</w:t>
      </w:r>
    </w:p>
    <w:p>
      <w:pPr>
        <w:spacing w:after="0" w:line="10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advantages that our competitors and potential competitors may have in securing funding or developing competing technologies or products;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that may be necessary to expand our business.</w:t>
      </w:r>
    </w:p>
    <w:p>
      <w:pPr>
        <w:spacing w:after="0" w:line="21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Due to the various factors mentioned above, and others, the results of any prior quarterly or annual periods should not be relied upon as indications of our future operating performance.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 and our stockholders may not be able to resell shares of our common stock at or above the price they paid.</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could be subject to wide fluctuations in response to various factors, some of which are beyond our control, such as reports by industry analysts, investor perceptions, general industry trends or negative announcements by other companies involving similar technologies or diseases. These factors also include those discussed in this “Risk Factors” section of this Quarterly Report on Form 10-Q and others such as:</w:t>
      </w:r>
    </w:p>
    <w:p>
      <w:pPr>
        <w:spacing w:after="0" w:line="69" w:lineRule="exact"/>
        <w:rPr>
          <w:sz w:val="20"/>
          <w:szCs w:val="20"/>
          <w:color w:val="auto"/>
        </w:rPr>
      </w:pPr>
    </w:p>
    <w:p>
      <w:pPr>
        <w:ind w:left="1020" w:right="5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collaborations that we may enter into with respect to the development or commercialization of our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the receipt, modification or termination of government contracts or grants;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delay of a development program;</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related to our clinical trials 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perspectives on synthetic biology and genetic engineering;</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natural disasters;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concerning our intellectual property or other proprietary rights;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other U.S. or foreign regulatory actions affecting us or our industry;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33" w:name="page34"/>
    <w:bookmarkEnd w:id="33"/>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the company, our executive officers and directors or our stockholders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issuances of equity or debt securities by us;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 active, liquid and orderly market in our common stock;</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operating results;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 regarding us.</w:t>
      </w:r>
    </w:p>
    <w:p>
      <w:pPr>
        <w:spacing w:after="0" w:line="212" w:lineRule="exact"/>
        <w:rPr>
          <w:sz w:val="20"/>
          <w:szCs w:val="20"/>
          <w:color w:val="auto"/>
        </w:rPr>
      </w:pPr>
    </w:p>
    <w:p>
      <w:pPr>
        <w:ind w:right="220" w:firstLine="509"/>
        <w:spacing w:after="0" w:line="246"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short operating history may make it difficult for stockholders to evaluate the success of our business to date and to assess our future viability.</w:t>
      </w:r>
    </w:p>
    <w:p>
      <w:pPr>
        <w:spacing w:after="0" w:line="12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We commenced active operations in 2014. Our operations to date have been limited to organizing and staffing our company, research and development activities, business planning and raising capital. We will need to transition from a company with a focus on research and clinical development to a company capable of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04"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50" w:lineRule="exact"/>
        <w:rPr>
          <w:sz w:val="20"/>
          <w:szCs w:val="20"/>
          <w:color w:val="auto"/>
        </w:rPr>
      </w:pPr>
    </w:p>
    <w:p>
      <w:pPr>
        <w:ind w:right="60" w:firstLine="509"/>
        <w:spacing w:after="0" w:line="272" w:lineRule="auto"/>
        <w:rPr>
          <w:sz w:val="20"/>
          <w:szCs w:val="20"/>
          <w:color w:val="auto"/>
        </w:rPr>
      </w:pPr>
      <w:r>
        <w:rPr>
          <w:rFonts w:ascii="Times New Roman" w:cs="Times New Roman" w:eastAsia="Times New Roman" w:hAnsi="Times New Roman"/>
          <w:sz w:val="17"/>
          <w:szCs w:val="17"/>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Events that may prevent successful or timely completion of clinical development of our product candidates include but are not limited to:</w:t>
      </w:r>
    </w:p>
    <w:p>
      <w:pPr>
        <w:spacing w:after="0" w:line="35" w:lineRule="exact"/>
        <w:rPr>
          <w:sz w:val="20"/>
          <w:szCs w:val="20"/>
          <w:color w:val="auto"/>
        </w:rPr>
      </w:pPr>
    </w:p>
    <w:p>
      <w:pPr>
        <w:ind w:left="1020" w:right="140" w:hanging="503"/>
        <w:spacing w:after="0" w:line="268"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satisfactory preclinical or other nonclinical data, including,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or diagnostics to support the initiation or continuation of clinical trials;</w:t>
      </w:r>
    </w:p>
    <w:p>
      <w:pPr>
        <w:spacing w:after="0" w:line="52" w:lineRule="exact"/>
        <w:rPr>
          <w:rFonts w:ascii="Times New Roman" w:cs="Times New Roman" w:eastAsia="Times New Roman" w:hAnsi="Times New Roman"/>
          <w:sz w:val="18"/>
          <w:szCs w:val="18"/>
          <w:color w:val="auto"/>
        </w:rPr>
      </w:pPr>
    </w:p>
    <w:p>
      <w:pPr>
        <w:ind w:left="1020" w:right="78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institutional review board approval at each clinical trial site;</w:t>
      </w:r>
    </w:p>
    <w:p>
      <w:pPr>
        <w:spacing w:after="0" w:line="103"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permit the conduct of a clinical trial by regulatory authorities, after review of an investigational new drug or equivalent foreign application or amendment;</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qualified patients in our clinical trials;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clinical sites or CROs or other third parties to adhere to clinical trial requirements;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4" w:name="page35"/>
    <w:bookmarkEnd w:id="34"/>
    <w:p>
      <w:pPr>
        <w:ind w:left="1020" w:right="10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clinical sites, CROs or other third parties to perform in accordance with the good clinical practices requirements of the FDA or applicable foreign regulatory guidelines;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dropping out of the clinical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unacceptable side effects or toxicity issues associated with our product candidates;</w:t>
      </w:r>
    </w:p>
    <w:p>
      <w:pPr>
        <w:spacing w:after="0" w:line="10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by the FDA of a clinical hold or the requirement by other similar regulatory agencies that one or more clinical trials be delayed or halted;</w:t>
      </w:r>
    </w:p>
    <w:p>
      <w:pPr>
        <w:spacing w:after="0" w:line="54" w:lineRule="exact"/>
        <w:rPr>
          <w:rFonts w:ascii="Times New Roman" w:cs="Times New Roman" w:eastAsia="Times New Roman" w:hAnsi="Times New Roman"/>
          <w:sz w:val="18"/>
          <w:szCs w:val="18"/>
          <w:color w:val="auto"/>
        </w:rPr>
      </w:pPr>
    </w:p>
    <w:p>
      <w:pPr>
        <w:ind w:left="1020" w:right="60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 or performing additional nonclinical studies;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affordability of the cost of clinical trials of our product candidates;</w:t>
      </w:r>
    </w:p>
    <w:p>
      <w:pPr>
        <w:spacing w:after="0" w:line="103"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68" w:lineRule="exact"/>
        <w:rPr>
          <w:rFonts w:ascii="Times New Roman" w:cs="Times New Roman" w:eastAsia="Times New Roman" w:hAnsi="Times New Roman"/>
          <w:sz w:val="18"/>
          <w:szCs w:val="18"/>
          <w:color w:val="auto"/>
        </w:rPr>
      </w:pPr>
    </w:p>
    <w:p>
      <w:pPr>
        <w:ind w:left="1020" w:right="160" w:hanging="503"/>
        <w:spacing w:after="0" w:line="23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or reaching agreement on acceptable terms with third-party manufacturers, delays in developing and transferring a reproducible, scalable manufacturing process, or delays or failure in manufacturing sufficient quantities of our product candidates for use in clinical trials.</w:t>
      </w:r>
    </w:p>
    <w:p>
      <w:pPr>
        <w:spacing w:after="0" w:line="172" w:lineRule="exact"/>
        <w:rPr>
          <w:sz w:val="20"/>
          <w:szCs w:val="20"/>
          <w:color w:val="auto"/>
        </w:rPr>
      </w:pPr>
    </w:p>
    <w:p>
      <w:pPr>
        <w:ind w:right="40" w:firstLine="509"/>
        <w:spacing w:after="0" w:line="230" w:lineRule="auto"/>
        <w:rPr>
          <w:sz w:val="20"/>
          <w:szCs w:val="20"/>
          <w:color w:val="auto"/>
        </w:rPr>
      </w:pPr>
      <w:r>
        <w:rPr>
          <w:rFonts w:ascii="Times New Roman" w:cs="Times New Roman" w:eastAsia="Times New Roman" w:hAnsi="Times New Roman"/>
          <w:sz w:val="18"/>
          <w:szCs w:val="18"/>
          <w:color w:val="auto"/>
        </w:rPr>
        <w:t>Any inability to successfully complete clinical development and obtain regulatory approval for our product candidates could result in additional costs to us or impair our ability to generate revenue. In addition, if we make manufacturing or formulation changes to our product candidates, we may need to conduct additional preclinical studies and/or clinical trials, or the results obtained from such new formulation may not be consistent with previous results obtained.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277"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50" w:lineRule="exact"/>
        <w:rPr>
          <w:sz w:val="20"/>
          <w:szCs w:val="20"/>
          <w:color w:val="auto"/>
        </w:rPr>
      </w:pPr>
    </w:p>
    <w:p>
      <w:pPr>
        <w:ind w:firstLine="509"/>
        <w:spacing w:after="0" w:line="228" w:lineRule="auto"/>
        <w:rPr>
          <w:sz w:val="20"/>
          <w:szCs w:val="20"/>
          <w:color w:val="auto"/>
        </w:rPr>
      </w:pPr>
      <w:r>
        <w:rPr>
          <w:rFonts w:ascii="Times New Roman" w:cs="Times New Roman" w:eastAsia="Times New Roman" w:hAnsi="Times New Roman"/>
          <w:sz w:val="18"/>
          <w:szCs w:val="18"/>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We have also not yet succeeded and may never succeed in demonstrating efficacy and safety for our current or any future product candidates in a pivotal clinical trial. If we are not able to successfully develop and commercialize product candidates based upon this technological approach, we may never become profitable, and the value of our capital stock may decline.</w:t>
      </w:r>
    </w:p>
    <w:p>
      <w:pPr>
        <w:spacing w:after="0" w:line="2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50" w:lineRule="exact"/>
        <w:rPr>
          <w:sz w:val="20"/>
          <w:szCs w:val="20"/>
          <w:color w:val="auto"/>
        </w:rPr>
      </w:pPr>
    </w:p>
    <w:p>
      <w:pPr>
        <w:ind w:right="200" w:firstLine="509"/>
        <w:spacing w:after="0" w:line="229" w:lineRule="auto"/>
        <w:rPr>
          <w:sz w:val="20"/>
          <w:szCs w:val="20"/>
          <w:color w:val="auto"/>
        </w:rPr>
      </w:pPr>
      <w:r>
        <w:rPr>
          <w:rFonts w:ascii="Times New Roman" w:cs="Times New Roman" w:eastAsia="Times New Roman" w:hAnsi="Times New Roman"/>
          <w:sz w:val="18"/>
          <w:szCs w:val="18"/>
          <w:color w:val="auto"/>
        </w:rPr>
        <w:t>We have concentrated our research and development efforts to date on a limited number of product candidates based on our Synthetic Biotic therapeutic platform, including demonstrating proof of concept of our lead program in PKU, proof of mechanism for enteric hyperoxaluria, and the initiation of IND-enabling for a potential treatment for HCU.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w:t>
      </w:r>
    </w:p>
    <w:p>
      <w:pPr>
        <w:spacing w:after="0" w:line="187" w:lineRule="exact"/>
        <w:rPr>
          <w:sz w:val="20"/>
          <w:szCs w:val="20"/>
          <w:color w:val="auto"/>
        </w:rPr>
      </w:pPr>
    </w:p>
    <w:p>
      <w:pPr>
        <w:ind w:right="80" w:firstLine="509"/>
        <w:spacing w:after="0" w:line="238" w:lineRule="auto"/>
        <w:rPr>
          <w:sz w:val="20"/>
          <w:szCs w:val="20"/>
          <w:color w:val="auto"/>
        </w:rPr>
      </w:pPr>
      <w:r>
        <w:rPr>
          <w:rFonts w:ascii="Times New Roman" w:cs="Times New Roman" w:eastAsia="Times New Roman" w:hAnsi="Times New Roman"/>
          <w:sz w:val="17"/>
          <w:szCs w:val="17"/>
          <w:color w:val="auto"/>
        </w:rPr>
        <w:t>The clinical trial and manufacturing requirements of the FDA, the EMA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EMA or national regulatory agencies may not be indicative of what the FDA, and vice versa, may require for approval and different or additional preclinical studies or clinical trials may be required to support regulatory 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development platform to build a pipeline of product candidates.</w:t>
      </w:r>
    </w:p>
    <w:p>
      <w:pPr>
        <w:spacing w:after="0" w:line="108"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A key element of our strategy is to use our targeted focus and experienced management and scientific team to create Synthetic Biotics that can be deployed against a broad range of human diseases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278"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50" w:lineRule="exact"/>
        <w:rPr>
          <w:sz w:val="20"/>
          <w:szCs w:val="20"/>
          <w:color w:val="auto"/>
        </w:rPr>
      </w:pPr>
    </w:p>
    <w:p>
      <w:pPr>
        <w:jc w:val="both"/>
        <w:ind w:right="100" w:firstLine="509"/>
        <w:spacing w:after="0" w:line="242"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197"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54"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or revoke licenses for such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labels of such products;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conduct additional clinical trials or costly post-marketing testing and surveillance to monitor the safety of the product;</w:t>
      </w:r>
    </w:p>
    <w:p>
      <w:pPr>
        <w:spacing w:after="0" w:line="11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1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25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66" w:lineRule="exact"/>
        <w:rPr>
          <w:sz w:val="20"/>
          <w:szCs w:val="20"/>
          <w:color w:val="auto"/>
        </w:rPr>
      </w:pPr>
    </w:p>
    <w:p>
      <w:pPr>
        <w:ind w:right="180" w:firstLine="509"/>
        <w:spacing w:after="0" w:line="247" w:lineRule="auto"/>
        <w:rPr>
          <w:sz w:val="20"/>
          <w:szCs w:val="20"/>
          <w:color w:val="auto"/>
        </w:rPr>
      </w:pPr>
      <w:r>
        <w:rPr>
          <w:rFonts w:ascii="Times New Roman" w:cs="Times New Roman" w:eastAsia="Times New Roman" w:hAnsi="Times New Roman"/>
          <w:sz w:val="18"/>
          <w:szCs w:val="18"/>
          <w:color w:val="auto"/>
        </w:rPr>
        <w:t>Clinical trials by their nature use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30" w:right="399" w:bottom="1440" w:gutter="0" w:footer="0" w:header="0"/>
        </w:sectPr>
      </w:pPr>
    </w:p>
    <w:bookmarkStart w:id="36" w:name="page37"/>
    <w:bookmarkEnd w:id="36"/>
    <w:p>
      <w:pPr>
        <w:jc w:val="both"/>
        <w:ind w:right="1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the success of our product candidates. Some of our product candidates have produced results in preclinical and clinical settings to date, but none of our product candidates has completed all required clinical trials, and we cannot give any assurance that we will generate data for any of our product candidates sufficient to receive regulatory approval in our planned indications, which will be required before they can be commercialized.</w:t>
      </w:r>
    </w:p>
    <w:p>
      <w:pPr>
        <w:spacing w:after="0" w:line="80" w:lineRule="exact"/>
        <w:rPr>
          <w:sz w:val="20"/>
          <w:szCs w:val="20"/>
          <w:color w:val="auto"/>
        </w:rPr>
      </w:pPr>
    </w:p>
    <w:p>
      <w:pPr>
        <w:ind w:right="320" w:firstLine="509"/>
        <w:spacing w:after="0" w:line="250" w:lineRule="auto"/>
        <w:rPr>
          <w:sz w:val="20"/>
          <w:szCs w:val="20"/>
          <w:color w:val="auto"/>
        </w:rPr>
      </w:pPr>
      <w:r>
        <w:rPr>
          <w:rFonts w:ascii="Times New Roman" w:cs="Times New Roman" w:eastAsia="Times New Roman" w:hAnsi="Times New Roman"/>
          <w:sz w:val="18"/>
          <w:szCs w:val="18"/>
          <w:color w:val="auto"/>
        </w:rPr>
        <w:t>We have invested substantially all of our efforts and financial resources to identify, acquire and develop our portfolio of product candidates. Our future success is dependent on our ability to successfully further develop, obtain regulatory approval for, and commercialize one or more product candidates. We currently generate no revenue from sales of any products, and we may never be able to develop or commercialize a product candidate.</w:t>
      </w:r>
    </w:p>
    <w:p>
      <w:pPr>
        <w:spacing w:after="0" w:line="190" w:lineRule="exact"/>
        <w:rPr>
          <w:sz w:val="20"/>
          <w:szCs w:val="20"/>
          <w:color w:val="auto"/>
        </w:rPr>
      </w:pPr>
    </w:p>
    <w:p>
      <w:pPr>
        <w:ind w:right="300" w:firstLine="509"/>
        <w:spacing w:after="0" w:line="246" w:lineRule="auto"/>
        <w:rPr>
          <w:sz w:val="20"/>
          <w:szCs w:val="20"/>
          <w:color w:val="auto"/>
        </w:rPr>
      </w:pPr>
      <w:r>
        <w:rPr>
          <w:rFonts w:ascii="Times New Roman" w:cs="Times New Roman" w:eastAsia="Times New Roman" w:hAnsi="Times New Roman"/>
          <w:sz w:val="18"/>
          <w:szCs w:val="18"/>
          <w:color w:val="auto"/>
        </w:rPr>
        <w:t>On August 20, 2019, we announced that we were discontinuing our first therapeutic program to enter clinical trials, SYNB1020, an early-stage clinical product candidate for the treatment of hyperammonemia. The decision to discontinue the program was based on top-line data from an interim analysis of a randomized, double-blind, placebo-controlled Phase 1b/2a clinical trial of the Synthetic Biotic medicine in 23 patients with cirrhosis and elevated blood ammonia. While SYNB1020 was well-tolerated in Phase 1b/2a clinical trial, the trial showed it did not lower blood ammonia in patients with cirrhosis. As a result, we have become more dependent on the success of our SYNB1934, SYNB8802 and SYNB1353 programs.</w:t>
      </w:r>
    </w:p>
    <w:p>
      <w:pPr>
        <w:spacing w:after="0" w:line="168" w:lineRule="exact"/>
        <w:rPr>
          <w:sz w:val="20"/>
          <w:szCs w:val="20"/>
          <w:color w:val="auto"/>
        </w:rPr>
      </w:pPr>
    </w:p>
    <w:p>
      <w:pPr>
        <w:ind w:right="60" w:firstLine="509"/>
        <w:spacing w:after="0" w:line="238" w:lineRule="auto"/>
        <w:rPr>
          <w:sz w:val="20"/>
          <w:szCs w:val="20"/>
          <w:color w:val="auto"/>
        </w:rPr>
      </w:pPr>
      <w:r>
        <w:rPr>
          <w:rFonts w:ascii="Times New Roman" w:cs="Times New Roman" w:eastAsia="Times New Roman" w:hAnsi="Times New Roman"/>
          <w:sz w:val="18"/>
          <w:szCs w:val="18"/>
          <w:color w:val="auto"/>
        </w:rPr>
        <w:t>In addition, none of our product candidates has advanced into any pivotal clinical trial for our proposed indications and it may be years before any pivotal clinical trials are initiated and completed, if at all. We are not permitted to market or promote any of our product candidates before we receive regulatory approval from the FDA or comparable foreign regulatory authorities, and we may never receive such regulatory approval for any of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w:t>
      </w:r>
    </w:p>
    <w:p>
      <w:pPr>
        <w:spacing w:after="0" w:line="276"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36" w:lineRule="exact"/>
        <w:rPr>
          <w:sz w:val="20"/>
          <w:szCs w:val="20"/>
          <w:color w:val="auto"/>
        </w:rPr>
      </w:pPr>
    </w:p>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As part of our business strategy, we have developed and may in the future develop product candidates that may be eligible for FDA and European Commission orphan drug designation. In October 2017, the FDA granted orphan drug designation to SYNB1618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In May 2022, the EMA granted orphan designation to SYNB1618 for the treatment of PKU.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w:t>
      </w:r>
    </w:p>
    <w:p>
      <w:pPr>
        <w:spacing w:after="0" w:line="174"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Because the extent and scope of patent protection for some of our product candidates may be limited, obtaining orphan drug designation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184" w:lineRule="exact"/>
        <w:rPr>
          <w:sz w:val="20"/>
          <w:szCs w:val="20"/>
          <w:color w:val="auto"/>
        </w:rPr>
      </w:pPr>
    </w:p>
    <w:p>
      <w:pPr>
        <w:ind w:right="20" w:firstLine="509"/>
        <w:spacing w:after="0" w:line="235" w:lineRule="auto"/>
        <w:rPr>
          <w:sz w:val="20"/>
          <w:szCs w:val="20"/>
          <w:color w:val="auto"/>
        </w:rPr>
      </w:pPr>
      <w:r>
        <w:rPr>
          <w:rFonts w:ascii="Times New Roman" w:cs="Times New Roman" w:eastAsia="Times New Roman" w:hAnsi="Times New Roman"/>
          <w:sz w:val="18"/>
          <w:szCs w:val="18"/>
          <w:color w:val="auto"/>
        </w:rPr>
        <w:t>Even though we have obtained orphan drug designation for one of our product candidates and intend to seek orphan drug designation for other product candidates, there is no assurance that we will be the first to obtain marketing approval for any particular rare indication. Further, even though we have obtained orphan drug designation for certain of our product candidates, or even if we obtain orphan drug designation for other potential product candidates, such designation may not effectively protect us from competition because different drugs can be approved for the same condition and the same drug can be approved for different conditions and potentially used off-label in the orphan indication. Even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278"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50" w:lineRule="exact"/>
        <w:rPr>
          <w:sz w:val="20"/>
          <w:szCs w:val="20"/>
          <w:color w:val="auto"/>
        </w:rPr>
      </w:pPr>
    </w:p>
    <w:p>
      <w:pPr>
        <w:ind w:right="440" w:firstLine="509"/>
        <w:spacing w:after="0" w:line="250" w:lineRule="auto"/>
        <w:rPr>
          <w:sz w:val="20"/>
          <w:szCs w:val="20"/>
          <w:color w:val="auto"/>
        </w:rPr>
      </w:pPr>
      <w:r>
        <w:rPr>
          <w:rFonts w:ascii="Times New Roman" w:cs="Times New Roman" w:eastAsia="Times New Roman" w:hAnsi="Times New Roman"/>
          <w:sz w:val="18"/>
          <w:szCs w:val="18"/>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37" w:name="page38"/>
    <w:bookmarkEnd w:id="37"/>
    <w:p>
      <w:pPr>
        <w:ind w:right="20"/>
        <w:spacing w:after="0" w:line="235" w:lineRule="auto"/>
        <w:rPr>
          <w:sz w:val="20"/>
          <w:szCs w:val="20"/>
          <w:color w:val="auto"/>
        </w:rPr>
      </w:pPr>
      <w:r>
        <w:rPr>
          <w:rFonts w:ascii="Times New Roman" w:cs="Times New Roman" w:eastAsia="Times New Roman" w:hAnsi="Times New Roman"/>
          <w:sz w:val="18"/>
          <w:szCs w:val="18"/>
          <w:color w:val="auto"/>
        </w:rPr>
        <w:t>clinical trial may not become apparent until the clinical trial is well advanced. We have limited experience in designing clinical trials and we may be unable to design and execute clinical trials to support regulatory approval of our product candidates. In addition, preclinical study and clinical trial data are often susceptible to varying interpretations and analyses, and many companies that believed their product candidates performed satisfactorily in preclinical studies and clinical trials nonetheless failed to obtain regulatory authority approval. Product candidates that seemingly perform satisfactorily in preclinical studies and clinical trials may nonetheless fail to obtain regulatory approval. There is a high failure rate for drugs proceeding through clinical trials. Many companies in the pharmaceutical and biotechnology industries have suffered significant setbacks in clinical development even after achieving promising results in earlier studies. These setbacks have been caused by, among other things, preclinical findings made while clinical trials were underway, or safety or efficacy observations made in preclinical studies and clinical trials, including previously unreported adverse events. Any such setbacks in our clinical development could negatively affect our business and operating results.</w:t>
      </w:r>
    </w:p>
    <w:p>
      <w:pPr>
        <w:spacing w:after="0" w:line="305" w:lineRule="exact"/>
        <w:rPr>
          <w:sz w:val="20"/>
          <w:szCs w:val="20"/>
          <w:color w:val="auto"/>
        </w:rPr>
      </w:pPr>
    </w:p>
    <w:p>
      <w:pPr>
        <w:ind w:right="7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costs might be higher than expected and our receipt of necessary regulatory approvals could be delayed or prevented.</w:t>
      </w:r>
    </w:p>
    <w:p>
      <w:pPr>
        <w:spacing w:after="0" w:line="5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Clinical trials of a new product candidate require the enrollment of a sufficient number of healthy volunteers or patients suffering from the disease or condition the product candidate is intended to treat and who meet other eligibility criteria. The timing of our clinical trials depends on our ability to recruit eligible subjects to participate as well as the completion of required follow-up evaluations. Patients and healthy volunteers may be unwilling to participate in our clinical trials because of negative publicity from adverse events related to novel therapeutic approaches, competitive clinical trials for similar patient populations, the existence of current treatments or for other reasons including due to concerns posed by the COVID-19 pandemic.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the clinical trial administration practices of the CRO or clinical trial sites, labor shortages at the CRO or clinical trial sites, benefits and convenience of administration of the product candidate being studied, the patient referral practices of physicians, the amount of attention provided to our trial by clinical trial sites, our efforts and CRO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185"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For example, we estimate there are approximately 17,000 patients that may be diagnosed with PKU in the United States.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29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73"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8" w:name="page39"/>
    <w:bookmarkEnd w:id="38"/>
    <w:p>
      <w:pPr>
        <w:ind w:firstLine="509"/>
        <w:spacing w:after="0" w:line="225" w:lineRule="auto"/>
        <w:rPr>
          <w:sz w:val="20"/>
          <w:szCs w:val="20"/>
          <w:color w:val="auto"/>
        </w:rPr>
      </w:pPr>
      <w:r>
        <w:rPr>
          <w:rFonts w:ascii="Times New Roman" w:cs="Times New Roman" w:eastAsia="Times New Roman" w:hAnsi="Times New Roman"/>
          <w:sz w:val="18"/>
          <w:szCs w:val="18"/>
          <w:color w:val="auto"/>
        </w:rPr>
        <w:t>Although we have product liability insurance, which covers any clinical trial we may conduct in the United States,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79"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volunteers, investigators, patients or trial sites or limitations on approved indications;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or if commercialized, decreased demand for, our product candidates;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commercialized, product recalls, withdrawals of labeling, marketing or promotional restrictions or the need for product modification;</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of litigation, including monetary awards to patients or other claimants;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substantially exceed our product liability insurance, which we would then be required to pay ourselves;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product liability insurance rates or the inability to maintain insurance coverage in the future on acceptable terms, if at all;</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our business;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 and</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the reputation of our products and our technology.</w:t>
      </w:r>
    </w:p>
    <w:p>
      <w:pPr>
        <w:spacing w:after="0" w:line="198" w:lineRule="exact"/>
        <w:rPr>
          <w:sz w:val="20"/>
          <w:szCs w:val="20"/>
          <w:color w:val="auto"/>
        </w:rPr>
      </w:pPr>
    </w:p>
    <w:p>
      <w:pPr>
        <w:ind w:right="580" w:firstLine="509"/>
        <w:spacing w:after="0" w:line="250" w:lineRule="auto"/>
        <w:rPr>
          <w:sz w:val="20"/>
          <w:szCs w:val="20"/>
          <w:color w:val="auto"/>
        </w:rPr>
      </w:pPr>
      <w:r>
        <w:rPr>
          <w:rFonts w:ascii="Times New Roman" w:cs="Times New Roman" w:eastAsia="Times New Roman" w:hAnsi="Times New Roman"/>
          <w:sz w:val="18"/>
          <w:szCs w:val="18"/>
          <w:color w:val="auto"/>
        </w:rPr>
        <w:t>Product liability claims may subject us to the foregoing and other risks, which could have a material adverse effect on our business, financial condition or results of operations.</w:t>
      </w:r>
    </w:p>
    <w:p>
      <w:pPr>
        <w:spacing w:after="0" w:line="26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which we depend may be adversely affected by natural disasters and our business continuity and disaster recovery plans may not adequately protect us from a serious disaster.</w:t>
      </w:r>
    </w:p>
    <w:p>
      <w:pPr>
        <w:spacing w:after="0" w:line="50" w:lineRule="exact"/>
        <w:rPr>
          <w:sz w:val="20"/>
          <w:szCs w:val="20"/>
          <w:color w:val="auto"/>
        </w:rPr>
      </w:pPr>
    </w:p>
    <w:p>
      <w:pPr>
        <w:ind w:right="40" w:firstLine="509"/>
        <w:spacing w:after="0" w:line="230"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7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such as COVID-19, or geopolitical tensions, such as the armed conflict between Russia and Ukraine, may materially and adversely affect our business and our financial results.</w:t>
      </w:r>
    </w:p>
    <w:p>
      <w:pPr>
        <w:spacing w:after="0" w:line="50" w:lineRule="exact"/>
        <w:rPr>
          <w:sz w:val="20"/>
          <w:szCs w:val="20"/>
          <w:color w:val="auto"/>
        </w:rPr>
      </w:pPr>
    </w:p>
    <w:p>
      <w:pPr>
        <w:ind w:right="20" w:firstLine="509"/>
        <w:spacing w:after="0" w:line="225" w:lineRule="auto"/>
        <w:rPr>
          <w:sz w:val="20"/>
          <w:szCs w:val="20"/>
          <w:color w:val="auto"/>
        </w:rPr>
      </w:pPr>
      <w:r>
        <w:rPr>
          <w:rFonts w:ascii="Times New Roman" w:cs="Times New Roman" w:eastAsia="Times New Roman" w:hAnsi="Times New Roman"/>
          <w:sz w:val="18"/>
          <w:szCs w:val="18"/>
          <w:color w:val="auto"/>
        </w:rPr>
        <w:t>The coronavirus outbreak and the armed conflict between Russia and Ukraine has affected segments of the global economy and may materially affect our operations, including potentially significant interruption of our clinical trial activities. The continued spread of the coronavirus may result in a period of business disruption, including material delays in our clinical trials. In addition, there could be a potential effect of COVID-19 to the business at the FDA or other health authorities, which could result in delays of reviews and approvals, including with respect to our product candidates. For example, in 2021, we experienced delays with the FDA that we believe were related to COVID-19. In addition, clinical site initiation and patient enrollment may be delayed due to prioritization of healthcare system resources toward the COVID-19 pandemic. For example, in 2021, the ability of site IRBs to meet and review protocol amendments were delayed due to COVID-19. Sites were also unable at times to schedule in-person screening visits with potential patients during certain times in 2021. Our CROs and clinical trial sites also experienced labor shortages in 2021 and 2020. Some patients may not be able to comply with clinical trial protocols if quarantines or their concerns about COVID-19 impede patient movement or interrupt healthcare services. Similarly, the ability to recruit and retain patients and principal investigators and site staff who, as healthcare providers, may have heightened exposure to COVID-19 has adversely impacted our clinical trial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9" w:name="page40"/>
    <w:bookmarkEnd w:id="39"/>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continued spread globally could also have a material adverse effect on our clinical trial operations in the United States and elsewhere, including our ability to recruit and retain patients and principal investigators and site staff who, as healthcare providers, may have heightened exposure to COVID-19 if an outbreak occurs in their geography.</w:t>
      </w:r>
    </w:p>
    <w:p>
      <w:pPr>
        <w:spacing w:after="0" w:line="169"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We continue to monitor the potential impact of the coronavirus outbreak, and any associated restrictions on travel and work that have been implemented, on our business and pre-clinical and clinical trials. The extent to which the coronavirus impacts us will depend on future developments, which are uncertain and cannot be predicted, including new information which may emerge concerning the severity of the coronavirus and the actions to contain the coronavirus or treat its impact, among others. We will continue to carefully monitor the situation with respect to each of our clinical trials and follow guidance from local and federal health authorities.</w:t>
      </w:r>
    </w:p>
    <w:p>
      <w:pPr>
        <w:spacing w:after="0" w:line="177"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COVID-19 may also affect employees of third-party contract research organizations and contract manufacturing organizations located in affected geographies that we rely upon to carry out our clinical trials. For example, there were delays in laboratory analyses of patient samples due to pandemic related staffing issues at our contract research organizations. In addition, we have taken precautionary measures, for example, mandating vaccines, and may take additional measures, intended to help minimize the risk of the virus to our employees. We will continue to adjust these measures as necessary and as we are able in the future to balance the needs of the business with the safety of our employees.</w:t>
      </w:r>
    </w:p>
    <w:p>
      <w:pPr>
        <w:spacing w:after="0" w:line="168" w:lineRule="exact"/>
        <w:rPr>
          <w:sz w:val="20"/>
          <w:szCs w:val="20"/>
          <w:color w:val="auto"/>
        </w:rPr>
      </w:pPr>
    </w:p>
    <w:p>
      <w:pPr>
        <w:ind w:right="20" w:firstLine="509"/>
        <w:spacing w:after="0" w:line="235" w:lineRule="auto"/>
        <w:rPr>
          <w:sz w:val="20"/>
          <w:szCs w:val="20"/>
          <w:color w:val="auto"/>
        </w:rPr>
      </w:pPr>
      <w:r>
        <w:rPr>
          <w:rFonts w:ascii="Times New Roman" w:cs="Times New Roman" w:eastAsia="Times New Roman" w:hAnsi="Times New Roman"/>
          <w:sz w:val="18"/>
          <w:szCs w:val="18"/>
          <w:color w:val="auto"/>
        </w:rPr>
        <w:t>We cannot presently predict the extent to which current or future business shutdowns and disruptions may impact or limit our ability or the ability of any of the third parties with which we engage to conduct business in the manner and on the timelines presently planned. Any such impacts or limitations could have a material adverse impact on our business and our results of operation and financial condition. While the potential economic impact brought by and the duration of the coronavirus outbreak may be difficult to assess or predict, a widespread pandemic could result in significant disruption of global financial markets, potentially reducing our ability to access capital, which could in the future negatively affect our liquidity. Similarly, the current conflict between Ukraine and Russia has created extreme volatility in the global capital markets and is expected to have further global economic consequences, including disruptions of the global supply chain and energy markets. A recession or market correction resulting from the spread of COVID-19 or the geopolitical tensions in Russia and Ukraine, could materially affect our business and the price of our common stock.</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04" w:lineRule="exact"/>
        <w:rPr>
          <w:sz w:val="20"/>
          <w:szCs w:val="20"/>
          <w:color w:val="auto"/>
        </w:rPr>
      </w:pPr>
    </w:p>
    <w:p>
      <w:pPr>
        <w:ind w:right="3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other comparable foreign regulatory authorities are lengthy, time consuming and inherently unpredictable, and if we are ultimately unable to obtain regulatory approval for our product candidates, our business will be substantially harmed.</w:t>
      </w:r>
    </w:p>
    <w:p>
      <w:pPr>
        <w:spacing w:after="0" w:line="1" w:lineRule="exact"/>
        <w:rPr>
          <w:sz w:val="20"/>
          <w:szCs w:val="20"/>
          <w:color w:val="auto"/>
        </w:rPr>
      </w:pPr>
    </w:p>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The time required to obtain marketing approval for a novel therapeutic product from the FDA and other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commercialization, of any product candidate and it is possible that none of our existing product candidates or any product candidates we may seek to develop in the future will ever obtain that approval.</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04"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90" w:lineRule="exact"/>
        <w:rPr>
          <w:rFonts w:ascii="Times New Roman" w:cs="Times New Roman" w:eastAsia="Times New Roman" w:hAnsi="Times New Roman"/>
          <w:sz w:val="18"/>
          <w:szCs w:val="18"/>
          <w:color w:val="auto"/>
        </w:rPr>
      </w:pPr>
    </w:p>
    <w:p>
      <w:pPr>
        <w:ind w:left="1020" w:right="76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other comparable foreign regulatory authorities that our product candidates are safe, pure and potent or effective for their proposed indications;</w:t>
      </w:r>
    </w:p>
    <w:p>
      <w:pPr>
        <w:spacing w:after="0" w:line="54" w:lineRule="exact"/>
        <w:rPr>
          <w:rFonts w:ascii="Times New Roman" w:cs="Times New Roman" w:eastAsia="Times New Roman" w:hAnsi="Times New Roman"/>
          <w:sz w:val="18"/>
          <w:szCs w:val="18"/>
          <w:color w:val="auto"/>
        </w:rPr>
      </w:pPr>
    </w:p>
    <w:p>
      <w:pPr>
        <w:ind w:left="1020" w:right="380" w:hanging="503"/>
        <w:spacing w:after="0" w:line="250"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other comparable foreign regulatory authorities in order to support approval;</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03" w:lineRule="exact"/>
        <w:rPr>
          <w:rFonts w:ascii="Times New Roman" w:cs="Times New Roman" w:eastAsia="Times New Roman" w:hAnsi="Times New Roman"/>
          <w:sz w:val="18"/>
          <w:szCs w:val="18"/>
          <w:color w:val="auto"/>
        </w:rPr>
      </w:pPr>
    </w:p>
    <w:p>
      <w:pPr>
        <w:ind w:left="1020" w:right="200" w:hanging="503"/>
        <w:spacing w:after="0" w:line="250"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disagree with our interpretation of data from preclinical studies or clinical trials;</w:t>
      </w:r>
    </w:p>
    <w:p>
      <w:pPr>
        <w:spacing w:after="0" w:line="68"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to the FDA or other equivalent marketing authorization application submissions to obtain regulatory approval in the United States or elsewhere;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0" w:name="page41"/>
    <w:bookmarkEnd w:id="40"/>
    <w:p>
      <w:pPr>
        <w:ind w:left="1020" w:right="38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review of our clinical trial sites and data, the FDA or comparable foreign regulatory authorities may find our record keeping or the record keeping of our clinical trial sites or investigators to be inadequate;</w:t>
      </w:r>
    </w:p>
    <w:p>
      <w:pPr>
        <w:spacing w:after="0" w:line="54" w:lineRule="exact"/>
        <w:rPr>
          <w:rFonts w:ascii="Times New Roman" w:cs="Times New Roman" w:eastAsia="Times New Roman" w:hAnsi="Times New Roman"/>
          <w:sz w:val="18"/>
          <w:szCs w:val="18"/>
          <w:color w:val="auto"/>
        </w:rPr>
      </w:pPr>
    </w:p>
    <w:p>
      <w:pPr>
        <w:ind w:left="1020" w:right="360" w:hanging="503"/>
        <w:spacing w:after="0" w:line="250"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find deficiencies with or fail to approve the manufacturing processes or facilities of third-party manufacturers with which we contract for clinical and commercial supplies; and</w:t>
      </w:r>
    </w:p>
    <w:p>
      <w:pPr>
        <w:spacing w:after="0" w:line="68"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other comparable foreign regulatory authorities or the laws they enforce may significantly change in a manner rendering our clinical data insufficient for approval.</w:t>
      </w:r>
    </w:p>
    <w:p>
      <w:pPr>
        <w:spacing w:after="0" w:line="149"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other comparable foreign regulatory authorities have substantial discretion in the approval process and determining when or whether to grant regulatory approval will be obtained for any of our product candidates, and whether to impose any conditions on such marketing approvals as described below. Even if we believe the data collected from clinical trials of our product candidates are promising, such data may not be sufficient to support approval by the FDA or other comparable foreign regulatory authorities.</w:t>
      </w:r>
    </w:p>
    <w:p>
      <w:pPr>
        <w:spacing w:after="0" w:line="186" w:lineRule="exact"/>
        <w:rPr>
          <w:sz w:val="20"/>
          <w:szCs w:val="20"/>
          <w:color w:val="auto"/>
        </w:rPr>
      </w:pPr>
    </w:p>
    <w:p>
      <w:pPr>
        <w:ind w:right="140" w:firstLine="509"/>
        <w:spacing w:after="0" w:line="235"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if any, they may grant approval contingent on the performance of costly post-marketing clinical trials, or they may approve a product candidate with a label that does not include the labeling claims necessary or desirable for the successful commercialization of that product candidate or with restrictive risk mitigation measures or warning language or contraindications that make the approved product more difficult or costly to commercialize. Any of the foregoing scenarios could materially harm the commercial prospects for our product candidates.</w:t>
      </w:r>
    </w:p>
    <w:p>
      <w:pPr>
        <w:spacing w:after="0" w:line="33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60" w:lineRule="exact"/>
        <w:rPr>
          <w:sz w:val="20"/>
          <w:szCs w:val="20"/>
          <w:color w:val="auto"/>
        </w:rPr>
      </w:pPr>
    </w:p>
    <w:p>
      <w:pPr>
        <w:jc w:val="both"/>
        <w:ind w:right="40" w:firstLine="509"/>
        <w:spacing w:after="0" w:line="244" w:lineRule="auto"/>
        <w:rPr>
          <w:sz w:val="20"/>
          <w:szCs w:val="20"/>
          <w:color w:val="auto"/>
        </w:rPr>
      </w:pPr>
      <w:r>
        <w:rPr>
          <w:rFonts w:ascii="Times New Roman" w:cs="Times New Roman" w:eastAsia="Times New Roman" w:hAnsi="Times New Roman"/>
          <w:sz w:val="18"/>
          <w:szCs w:val="18"/>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Drugs designated as breakthrough therapies by the FDA could also be eligible for accelerated approval.</w:t>
      </w:r>
    </w:p>
    <w:p>
      <w:pPr>
        <w:spacing w:after="0" w:line="195"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grant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29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have received Fast Track designation for one of our product candidates and may seek such designation for one or more of our other product candidates, but we might not receive such designation, and even if we do, such designation may not actually lead to a faster development or regulatory review or approval process.</w:t>
      </w:r>
    </w:p>
    <w:p>
      <w:pPr>
        <w:spacing w:after="0" w:line="81" w:lineRule="exact"/>
        <w:rPr>
          <w:sz w:val="20"/>
          <w:szCs w:val="20"/>
          <w:color w:val="auto"/>
        </w:rPr>
      </w:pPr>
    </w:p>
    <w:p>
      <w:pPr>
        <w:jc w:val="both"/>
        <w:ind w:right="20" w:firstLine="509"/>
        <w:spacing w:after="0" w:line="242" w:lineRule="auto"/>
        <w:rPr>
          <w:sz w:val="20"/>
          <w:szCs w:val="20"/>
          <w:color w:val="auto"/>
        </w:rPr>
      </w:pPr>
      <w:r>
        <w:rPr>
          <w:rFonts w:ascii="Times New Roman" w:cs="Times New Roman" w:eastAsia="Times New Roman" w:hAnsi="Times New Roman"/>
          <w:sz w:val="18"/>
          <w:szCs w:val="18"/>
          <w:color w:val="auto"/>
        </w:rPr>
        <w:t>If a product candidate is intended for the treatment of a serious condition and nonclinical or clinical data demonstrate the potential to address unmet medical need for the condition, a product sponsor may apply for Fast Track designation. We were awarded Fast Track designation for SYNB1618 in April 2018 and for SYNB1353 in August 2022. Fast Track designation does not ensure that we will receive marketing approval for the product candidate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we will remain subject to ongoing regulatory requirements.</w:t>
      </w:r>
    </w:p>
    <w:p>
      <w:pPr>
        <w:spacing w:after="0" w:line="12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177"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(cGMP) regulations and corresponding foreign regulatory manufacturing requirements. As such, we and our contract manufacturers will be subject to continual review and inspections to assess compliance with cGMP and adherence to commitments made in any BLA or marketing authorization application.</w:t>
      </w:r>
    </w:p>
    <w:p>
      <w:pPr>
        <w:spacing w:after="0" w:line="17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w:t>
      </w:r>
    </w:p>
    <w:p>
      <w:pPr>
        <w:spacing w:after="0"/>
        <w:rPr>
          <w:sz w:val="20"/>
          <w:szCs w:val="20"/>
          <w:color w:val="auto"/>
        </w:rPr>
      </w:pPr>
      <w:r>
        <w:rPr>
          <w:rFonts w:ascii="Times New Roman" w:cs="Times New Roman" w:eastAsia="Times New Roman" w:hAnsi="Times New Roman"/>
          <w:sz w:val="18"/>
          <w:szCs w:val="18"/>
          <w:color w:val="auto"/>
        </w:rPr>
        <w:t>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98"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69"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untitled or warning letters;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 or revoke a license;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of our ongoing clinical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submitted by us;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our operations, including closing our contract manufacturers’ facilities;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product recall.</w:t>
      </w:r>
    </w:p>
    <w:p>
      <w:pPr>
        <w:spacing w:after="0" w:line="212"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273"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of our current and future product candidates in one jurisdiction does not mean that we will be successful in obtaining marketing approval of our current and future therapeutic product candidates in other jurisdictions.</w:t>
      </w:r>
    </w:p>
    <w:p>
      <w:pPr>
        <w:spacing w:after="0" w:line="63"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foreign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future products will also be subject to approval.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42" w:name="page43"/>
    <w:bookmarkEnd w:id="42"/>
    <w:p>
      <w:pPr>
        <w:ind w:firstLine="509"/>
        <w:spacing w:after="0" w:line="247" w:lineRule="auto"/>
        <w:rPr>
          <w:sz w:val="20"/>
          <w:szCs w:val="20"/>
          <w:color w:val="auto"/>
        </w:rPr>
      </w:pPr>
      <w:r>
        <w:rPr>
          <w:rFonts w:ascii="Times New Roman" w:cs="Times New Roman" w:eastAsia="Times New Roman" w:hAnsi="Times New Roman"/>
          <w:sz w:val="18"/>
          <w:szCs w:val="18"/>
          <w:color w:val="auto"/>
        </w:rPr>
        <w:t>We may submit marketing applications in other countries in addition to the United States.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284"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0"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77"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The coronavirus pandemic has also adversely affected the operations of necessary government agencies.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financial condition or results of operations.</w:t>
      </w:r>
    </w:p>
    <w:p>
      <w:pPr>
        <w:spacing w:after="0" w:line="94"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(collectively, the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and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biologics, and created a new Medicare Part D coverage gap discount program, in which manufacturers must agree to offer 70% (increased from 50% pursuant to the Bipartisan Budget Act of 2018, effective as of 2019) point-of-sale discounts off negotiated prices of applicable brand drugs and biologics to eligible beneficiaries during their coverage gap period, as a condition for the manufacturer’s outpatient drugs or biologics to be covered under Medicare Part D.</w:t>
      </w:r>
    </w:p>
    <w:p>
      <w:pPr>
        <w:spacing w:after="0" w:line="202"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ACA, and as a result, certain sections of the ACA have not been fully implemented or have been effectively repealed through Executive Orders and/or executive agency actions. However, following several years of litigation in the federal courts, in June 2021, the U.S. Supreme Court upheld the ACA when it dismissed a legal challenge to the ACA’s constitutionality.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6"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Further legislative and regulatory changes under the ACA remain possible, although the new federal administration under President Biden has signaled that it plans to build on the ACA and expand the number of people who are eligible for health insurance subsidies under it. It is unknown what form any such changes or any law would take, and how or whether it may affect the biopharmaceutical industry as a whole or our business in the future. We expect that changes or additions to the ACA, the Medicare and Medicaid programs, such as changes allowing the federal government to directly negotiate drug prices, and changes stemming</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3" w:name="page44"/>
    <w:bookmarkEnd w:id="43"/>
    <w:p>
      <w:pPr>
        <w:ind w:right="60"/>
        <w:spacing w:after="0" w:line="282" w:lineRule="auto"/>
        <w:rPr>
          <w:sz w:val="20"/>
          <w:szCs w:val="20"/>
          <w:color w:val="auto"/>
        </w:rPr>
      </w:pPr>
      <w:r>
        <w:rPr>
          <w:rFonts w:ascii="Times New Roman" w:cs="Times New Roman" w:eastAsia="Times New Roman" w:hAnsi="Times New Roman"/>
          <w:sz w:val="18"/>
          <w:szCs w:val="18"/>
          <w:color w:val="auto"/>
        </w:rPr>
        <w:t>from other healthcare reform measures, especially with regard to healthcare access, financing or other legislation in individual states, could have a material adverse effect on the health care industry in the US.</w:t>
      </w:r>
    </w:p>
    <w:p>
      <w:pPr>
        <w:spacing w:after="0" w:line="148"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resulted in reductions to Medicare payments to providers of 2% per fiscal year, which went into effect on April 1, 2013 and, due to subsequent legislative amendments to the statute, will remain in effect through 2030, with the exception of a temporary suspension from May 1, 2020 through June 30, 2022 (a 1% sequester will apply from April 1, 2022 through June 30, 2022) due to the COVID-19 pandemic, unless additional Congressional action is taken. On January 2, 2013, the American Taxpayer Relief Act of 2012 was signed into law, which, among other things, reduced Medicare payments to several providers, including hospitals and cancer treatment centers, and increased the statute of limitations period for the government to recover overpayments to providers from three to five years. As another example, the 2021 Consolidated Appropriations Act signed into law on December 27, 2020, incorporated extensive healthcare provisions and amendments to existing laws, including a requirement that all manufacturers of drugs and biological products covered under Medicare Part B report the product’s average sales price, or ASP, to HHS beginning on January 1, 2022, subject to enforcement via civil money penalties.</w:t>
      </w:r>
    </w:p>
    <w:p>
      <w:pPr>
        <w:spacing w:after="0" w:line="186"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In the United States and in some other jurisdictions, there have been a number of legislative and regulatory changes and proposed changes regarding the health care system that could prevent or delay marketing approval of our drug candidates, restrict or regulate post-approval activities, or affect our ability to profitably sell any drug candidates for which we obtain marketing approval, if any. For example, in December 2016, the 21st Century Cures Act, or Cures Act, was signed into law. The Cures Act, among other things, was intended to modernize the regulation of drugs and devices and to spur innovation, but its ultimate implementation is uncertain. Legislative proposals continue to be discussed in the U.S. Congress as potentially leading to a future “Cures 2.0” bill that is expected to have bipartisan support. In addition, in August 2017, the FDA Reauthorization Act was signed into law, which reauthorized the FDA’s user fee programs and included additional drug and biological product provisions. The next legislative reauthorization must be completed in 2022, which has the potential to make further changes to FDA authorities or policies pertaining to biopharmaceutical products. We cannot be sure whether additional legislative changes will be enacted, or whether FDA regulations, guidance or interpretations will be changed, or what the impact of such changes on the marketing approvals, if any, of our drug candidates, may be or whether such changes will have any other impacts on our business. In addition, increased scrutiny by the U.S. Congress of the FDA’s approval process may significantly delay or prevent marketing approval, as well as subject us to more stringent product labeling and post-marketing conditions and other requirements.</w:t>
      </w:r>
    </w:p>
    <w:p>
      <w:pPr>
        <w:spacing w:after="0" w:line="185"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Further, over the past several years there has been heightened governmental scrutiny over the manner in which biopharmaceutical manufacturers set prices for their marketed products,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The probability of success of these newly announced policies, many of which have been subjected to legal challenge in the federal court system, and their potential impact on the U.S. prescription drug marketplace is unknown. There are likely to be continued political and legal challenges associated with implementing these reforms as they are currently envisioned, and the recent transition to a new Democrat-led presidential administration created further uncertainty in the health care and biopharmaceutical industries. For example, in July 2021, President Biden issued a sweeping executive order on promoting competition in the American economy that includes several mandates pertaining to the pharmaceutical and health care insurance industries. Among other things, the executive order directs the FDA to work towards implementing a system for importing drugs from Canada (following on a Trump administration notice-and-comment rulemaking on Canadian drug importation that was finalized in October 2020). The Biden order also called on HHS to release a comprehensive plan to combat high prescription drug prices, and it includes several directives regarding the Federal Trade Commission’s oversight of potentially anticompetitive practices within the pharmaceutical industry. The drug pricing plan released by HHS in September 2021 in response to the executive order makes clear that the Biden Administration supports aggressive action to address rising drug prices, including allowing HHS to negotiate the cost of Medicare Part B and D drugs, but such significant changes will require either new legislation to be passed by Congress or time-consuming administrative actions. Accordingly, there remains a large amount of uncertainty regarding the federal government’s approach to making pharmaceutical treatment costs more affordable for patients.</w:t>
      </w:r>
    </w:p>
    <w:p>
      <w:pPr>
        <w:spacing w:after="0" w:line="184"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California requires pharmaceutical manufacturers to notify certain purchasers, including health insurers and government health plans at least 60 days before any scheduled increase in the wholesale acquisition cost (WAC), of their product if the increase exceeds 16%, and further requires pharmaceutical manufacturers to explain whether a change or improvement in the product necessitates such an increase. Similarly, Vermont requires pharmaceutical manufacturers to disclose price information on certain prescription drugs, and to provide notification to the state if introducing a new drug with a WAC in excess of the Medicare Part D specialty drug threshold. In December 2020, the U.S. Supreme Court also held unanimously that federal</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4" w:name="page45"/>
    <w:bookmarkEnd w:id="44"/>
    <w:p>
      <w:pPr>
        <w:spacing w:after="0" w:line="247" w:lineRule="auto"/>
        <w:rPr>
          <w:sz w:val="20"/>
          <w:szCs w:val="20"/>
          <w:color w:val="auto"/>
        </w:rPr>
      </w:pPr>
      <w:r>
        <w:rPr>
          <w:rFonts w:ascii="Times New Roman" w:cs="Times New Roman" w:eastAsia="Times New Roman" w:hAnsi="Times New Roman"/>
          <w:sz w:val="18"/>
          <w:szCs w:val="18"/>
          <w:color w:val="auto"/>
        </w:rPr>
        <w:t>law does not preempt the states’ ability to regulate pharmaceutical benefit managers, or PBMs, and other members of the healthcare and pharmaceutical supply chain, an important decision that may lead to further and more aggressive efforts by states in this area.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the European Union, similar political, economic and regulatory developments may affect our ability to profitably commercialize our products. In addition to continuing pressure on prices and cost containment measures, legislative developments at the European Union or EU member state level may result in significant additional requirements or obstacles that may increase our operating costs.</w:t>
      </w:r>
    </w:p>
    <w:p>
      <w:pPr>
        <w:spacing w:after="0" w:line="169" w:lineRule="exact"/>
        <w:rPr>
          <w:sz w:val="20"/>
          <w:szCs w:val="20"/>
          <w:color w:val="auto"/>
        </w:rPr>
      </w:pPr>
    </w:p>
    <w:p>
      <w:pPr>
        <w:ind w:right="340" w:firstLine="509"/>
        <w:spacing w:after="0" w:line="250"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or executive action. We expect that additional federal and state health care reform measures will be adopted in the future, any of which could limit the amounts that federal and state governments will pay for health care products and services, which could result in limited coverage and reimbursement and reduced demand for our products, once approved, or additional pricing pressures.</w:t>
      </w:r>
    </w:p>
    <w:p>
      <w:pPr>
        <w:spacing w:after="0" w:line="268"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50" w:lineRule="exact"/>
        <w:rPr>
          <w:sz w:val="20"/>
          <w:szCs w:val="20"/>
          <w:color w:val="auto"/>
        </w:rPr>
      </w:pPr>
    </w:p>
    <w:p>
      <w:pPr>
        <w:ind w:firstLine="509"/>
        <w:spacing w:after="0" w:line="230"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w:t>
      </w:r>
    </w:p>
    <w:p>
      <w:pPr>
        <w:spacing w:after="0" w:line="1" w:lineRule="exact"/>
        <w:rPr>
          <w:sz w:val="20"/>
          <w:szCs w:val="20"/>
          <w:color w:val="auto"/>
        </w:rPr>
      </w:pPr>
    </w:p>
    <w:p>
      <w:pPr>
        <w:ind w:right="80"/>
        <w:spacing w:after="0" w:line="223" w:lineRule="auto"/>
        <w:rPr>
          <w:sz w:val="20"/>
          <w:szCs w:val="20"/>
          <w:color w:val="auto"/>
        </w:rPr>
      </w:pPr>
      <w:r>
        <w:rPr>
          <w:rFonts w:ascii="Times New Roman" w:cs="Times New Roman" w:eastAsia="Times New Roman" w:hAnsi="Times New Roman"/>
          <w:sz w:val="17"/>
          <w:szCs w:val="17"/>
          <w:color w:val="auto"/>
        </w:rPr>
        <w:t>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operate include:</w:t>
      </w:r>
    </w:p>
    <w:p>
      <w:pPr>
        <w:spacing w:after="0" w:line="84" w:lineRule="exact"/>
        <w:rPr>
          <w:sz w:val="20"/>
          <w:szCs w:val="20"/>
          <w:color w:val="auto"/>
        </w:rPr>
      </w:pPr>
    </w:p>
    <w:p>
      <w:pPr>
        <w:jc w:val="both"/>
        <w:ind w:left="1020" w:right="100" w:hanging="503"/>
        <w:spacing w:after="0" w:line="250"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82" w:lineRule="exact"/>
        <w:rPr>
          <w:rFonts w:ascii="Times New Roman" w:cs="Times New Roman" w:eastAsia="Times New Roman" w:hAnsi="Times New Roman"/>
          <w:sz w:val="18"/>
          <w:szCs w:val="18"/>
          <w:color w:val="auto"/>
        </w:rPr>
      </w:pPr>
    </w:p>
    <w:p>
      <w:pPr>
        <w:jc w:val="both"/>
        <w:ind w:left="1020" w:right="100" w:hanging="503"/>
        <w:spacing w:after="0" w:line="250"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82"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54"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40" w:lineRule="exact"/>
        <w:rPr>
          <w:rFonts w:ascii="Times New Roman" w:cs="Times New Roman" w:eastAsia="Times New Roman" w:hAnsi="Times New Roman"/>
          <w:sz w:val="18"/>
          <w:szCs w:val="18"/>
          <w:color w:val="auto"/>
        </w:rPr>
      </w:pPr>
    </w:p>
    <w:p>
      <w:pPr>
        <w:ind w:left="1020" w:right="60" w:hanging="503"/>
        <w:spacing w:after="0" w:line="250"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requirements under the ACA require manufacturers of drugs, devices, biologics, and medical supplies to report annually to the HHS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69" w:lineRule="exact"/>
        <w:rPr>
          <w:rFonts w:ascii="Times New Roman" w:cs="Times New Roman" w:eastAsia="Times New Roman" w:hAnsi="Times New Roman"/>
          <w:sz w:val="18"/>
          <w:szCs w:val="18"/>
          <w:color w:val="auto"/>
        </w:rPr>
      </w:pPr>
    </w:p>
    <w:p>
      <w:pPr>
        <w:ind w:left="1020" w:hanging="503"/>
        <w:spacing w:after="0" w:line="245"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18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5" w:name="page46"/>
    <w:bookmarkEnd w:id="45"/>
    <w:p>
      <w:pPr>
        <w:ind w:right="120"/>
        <w:spacing w:after="0" w:line="250" w:lineRule="auto"/>
        <w:rPr>
          <w:sz w:val="20"/>
          <w:szCs w:val="20"/>
          <w:color w:val="auto"/>
        </w:rPr>
      </w:pPr>
      <w:r>
        <w:rPr>
          <w:rFonts w:ascii="Times New Roman" w:cs="Times New Roman" w:eastAsia="Times New Roman" w:hAnsi="Times New Roman"/>
          <w:sz w:val="18"/>
          <w:szCs w:val="18"/>
          <w:color w:val="auto"/>
        </w:rPr>
        <w:t>legislation has strengthened these laws. For example, the ACA, among other things, amends the intent requirement of the federal anti-kickback and criminal healthcare fraud statutes. A person or entity no longer needs to have actual knowledge of this statute or specific intent to violate it. Moreover, the ACA provides that the U.S. government may assert that a claim including items or services resulting from a violation of the federal anti-kickback statute constitutes a false or fraudulent claim for purposes of the False Claims Act.</w:t>
      </w:r>
    </w:p>
    <w:p>
      <w:pPr>
        <w:spacing w:after="0" w:line="19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8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66"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In many activities, including the conduct of clinical trials, we are subject to laws and regulations governing data privacy and the protection of health-related and other personal information. These laws and regulations govern our processing of personal data, including the collection, access, use, analysis, modification, storage, transfer, security breach notification, destruction and disposal of personal data. We must comply with laws and regulations associated with the international transfer of personal data based on the location in which the personal data originates and the location in which it is processed. Although there are legal mechanisms to facilitate the transfer of personal data from the European Economic Area (EEA), and Switzerland to the United States, the decision of the European Court of Justice that invalidated the safe harbor framework has increased uncertainty around compliance with EU privacy law requirements. As a result of the decision, it was no longer possible to rely on safe harbor certification as a legal basis for the transfer of personal data from the European Union to entities in the United States. In February 2016, the European Commission announced an agreement with the Department of Commerce, or DOC, to replace the invalidated safe harbor framework with a new EU-U.S. “Privacy Shield.” However, in July 2020, the Court of Justice of the EU (CJEU) limited how organizations could lawfully transfer personal data from the EEA to the United States by invalidating the EU-US Privacy Shield for purposes of international transfers and imposing further restrictions on use of the standard contractual clauses (SCCs) including, a requirement for companies to carry out a transfer privacy impact assessment, which among other things, assesses laws governing access to personal data in the recipient country and considers whether supplementary measures that provide privacy protections additional to those provided under SCCs will need to be implemented to ensure an essentially equivalent level of data protection to that afforded in the EEA. The European Commission subsequently issued new SCCs in June 2021 to account for the decision of the CJEU and recommendations made by the European Data Protection Board, and which are in turn relatively more onerous.</w:t>
      </w:r>
    </w:p>
    <w:p>
      <w:pPr>
        <w:spacing w:after="0" w:line="184" w:lineRule="exact"/>
        <w:rPr>
          <w:sz w:val="20"/>
          <w:szCs w:val="20"/>
          <w:color w:val="auto"/>
        </w:rPr>
      </w:pPr>
    </w:p>
    <w:p>
      <w:pPr>
        <w:ind w:right="320" w:firstLine="509"/>
        <w:spacing w:after="0" w:line="250" w:lineRule="auto"/>
        <w:rPr>
          <w:sz w:val="20"/>
          <w:szCs w:val="20"/>
          <w:color w:val="auto"/>
        </w:rPr>
      </w:pPr>
      <w:r>
        <w:rPr>
          <w:rFonts w:ascii="Times New Roman" w:cs="Times New Roman" w:eastAsia="Times New Roman" w:hAnsi="Times New Roman"/>
          <w:sz w:val="18"/>
          <w:szCs w:val="18"/>
          <w:color w:val="auto"/>
        </w:rPr>
        <w:t>The privacy and security of personally identifiable information stored, maintained, received or transmitted, including electronically, is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business.</w:t>
      </w:r>
    </w:p>
    <w:p>
      <w:pPr>
        <w:spacing w:after="0" w:line="177" w:lineRule="exact"/>
        <w:rPr>
          <w:sz w:val="20"/>
          <w:szCs w:val="20"/>
          <w:color w:val="auto"/>
        </w:rPr>
      </w:pPr>
    </w:p>
    <w:p>
      <w:pPr>
        <w:jc w:val="both"/>
        <w:ind w:right="60" w:firstLine="509"/>
        <w:spacing w:after="0" w:line="250" w:lineRule="auto"/>
        <w:rPr>
          <w:sz w:val="20"/>
          <w:szCs w:val="20"/>
          <w:color w:val="auto"/>
        </w:rPr>
      </w:pPr>
      <w:r>
        <w:rPr>
          <w:rFonts w:ascii="Times New Roman" w:cs="Times New Roman" w:eastAsia="Times New Roman" w:hAnsi="Times New Roman"/>
          <w:sz w:val="18"/>
          <w:szCs w:val="18"/>
          <w:color w:val="auto"/>
        </w:rPr>
        <w:t>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HIPAA; and European and other foreign data protection laws. These laws and regulations are increasing in complexity and number, may change frequently and sometimes conflict.</w:t>
      </w:r>
    </w:p>
    <w:p>
      <w:pPr>
        <w:spacing w:after="0" w:line="191"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HIPAA establishes a set of national privacy and security standards for the protection of individually identifiable health information, including protected health information, or PHI, by health plans, certain healthcare clearinghouses and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While we are not currently a covered entity or business associate under HIPAA, we may receive identifiable information from these entities. Failure to receive this information properly could subject us to HIPAA’s criminal penalties, which may include fines up to $50,000 per violation and/or imprisonment.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86"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 addition,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In addition to fines and penalties imposed upon violators, some of these state laws also afford private rights of action to individuals who believe their personal information has been misused.</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6" w:name="page47"/>
    <w:bookmarkEnd w:id="46"/>
    <w:p>
      <w:pPr>
        <w:spacing w:after="0" w:line="242" w:lineRule="auto"/>
        <w:rPr>
          <w:sz w:val="20"/>
          <w:szCs w:val="20"/>
          <w:color w:val="auto"/>
        </w:rPr>
      </w:pPr>
      <w:r>
        <w:rPr>
          <w:rFonts w:ascii="Times New Roman" w:cs="Times New Roman" w:eastAsia="Times New Roman" w:hAnsi="Times New Roman"/>
          <w:sz w:val="18"/>
          <w:szCs w:val="18"/>
          <w:color w:val="auto"/>
        </w:rPr>
        <w:t>California’s patient privacy laws, for example, provide for penalties of up to $250,000 and permit injured parties to sue for damages. In addition, California enacted the California Consumer Privacy Act (the CCPA), which took effect on January 1, 2020, became enforceable by the California Attorney General on July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Further, the California Privacy Rights Act (the CPRA) recently passed in California. The CPRA will impose additional data protection obligations on companies doing business in California,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Although the CCPA currently exempts certain health-related information, including clinical trial data, the CCPA and the CPRA may increase our compliance costs and potential liability. Similar laws have been adopted in other states (for example Nevada, Virginia and Colorado) or proposed in other states and at the federal level, and if passed, such laws may have potentially conflicting requirements that would make compliance challenging.</w:t>
      </w:r>
    </w:p>
    <w:p>
      <w:pPr>
        <w:spacing w:after="0" w:line="19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are often uncertain, contradictory, and in flux.</w:t>
      </w:r>
    </w:p>
    <w:p>
      <w:pPr>
        <w:spacing w:after="0" w:line="212"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The legislative and regulatory landscape for privacy and data security continues to evolve, and there has been an increasing focus on privacy and data security issues which may affect our business. Failure to comply with current and future laws and regulations could result in government enforcement actions (including the imposition of significant penalties), criminal and civil liability for us and our officers and directors, private litigation and/or adverse publicity that negatively affects our business.</w:t>
      </w:r>
    </w:p>
    <w:p>
      <w:pPr>
        <w:spacing w:after="0" w:line="295"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50"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200" w:lineRule="exact"/>
        <w:rPr>
          <w:sz w:val="20"/>
          <w:szCs w:val="20"/>
          <w:color w:val="auto"/>
        </w:rPr>
      </w:pPr>
    </w:p>
    <w:p>
      <w:pPr>
        <w:spacing w:after="0" w:line="28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63"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7" w:name="page48"/>
    <w:bookmarkEnd w:id="47"/>
    <w:p>
      <w:pPr>
        <w:ind w:right="160"/>
        <w:spacing w:after="0" w:line="282" w:lineRule="auto"/>
        <w:rPr>
          <w:sz w:val="20"/>
          <w:szCs w:val="20"/>
          <w:color w:val="auto"/>
        </w:rPr>
      </w:pPr>
      <w:r>
        <w:rPr>
          <w:rFonts w:ascii="Times New Roman" w:cs="Times New Roman" w:eastAsia="Times New Roman" w:hAnsi="Times New Roman"/>
          <w:sz w:val="18"/>
          <w:szCs w:val="18"/>
          <w:color w:val="auto"/>
        </w:rPr>
        <w:t>fairly reflect all transactions of the corporation, including international subsidiaries, and to devise and maintain an adequate system of internal accounting controls for international operations.</w:t>
      </w:r>
    </w:p>
    <w:p>
      <w:pPr>
        <w:spacing w:after="0" w:line="148"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w:t>
      </w:r>
    </w:p>
    <w:p>
      <w:pPr>
        <w:spacing w:after="0" w:line="177"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177"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27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37"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Our internal computer systems and those of our current and any future collaborators and other contractors or consultants are vulnerable to damage from cyber-attacks,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and other means to affect service reliability and threaten the confidentiality, integrity and availability of information. If any of the above events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0"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63"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Biotics, delays or other impediments to our programs or the public acceptance and commercialization of Synthetic Biotics. Further, there is a risk that Synthetic Biotics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Synthetic Biotics, product candidates and processes for our development pipeline through acquisitions and in-licenses.</w:t>
      </w:r>
    </w:p>
    <w:p>
      <w:pPr>
        <w:spacing w:after="0" w:line="37"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8" w:name="page49"/>
    <w:bookmarkEnd w:id="48"/>
    <w:p>
      <w:pPr>
        <w:ind w:right="60"/>
        <w:spacing w:after="0" w:line="258" w:lineRule="auto"/>
        <w:rPr>
          <w:sz w:val="20"/>
          <w:szCs w:val="20"/>
          <w:color w:val="auto"/>
        </w:rPr>
      </w:pPr>
      <w:r>
        <w:rPr>
          <w:rFonts w:ascii="Times New Roman" w:cs="Times New Roman" w:eastAsia="Times New Roman" w:hAnsi="Times New Roman"/>
          <w:sz w:val="18"/>
          <w:szCs w:val="18"/>
          <w:color w:val="auto"/>
        </w:rPr>
        <w:t>Our ultimate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w:t>
      </w:r>
    </w:p>
    <w:p>
      <w:pPr>
        <w:spacing w:after="0" w:line="169"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177"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the intellectual property rights to other parties, potentially blocking our ability to pursue our program.</w:t>
      </w:r>
    </w:p>
    <w:p>
      <w:pPr>
        <w:spacing w:after="0" w:line="18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27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6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69"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77"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79"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We, independently or together with our licensors or collaborators,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66" w:lineRule="exact"/>
        <w:rPr>
          <w:sz w:val="20"/>
          <w:szCs w:val="20"/>
          <w:color w:val="auto"/>
        </w:rPr>
      </w:pPr>
    </w:p>
    <w:p>
      <w:pPr>
        <w:ind w:right="240" w:firstLine="509"/>
        <w:spacing w:after="0" w:line="236" w:lineRule="auto"/>
        <w:rPr>
          <w:sz w:val="20"/>
          <w:szCs w:val="20"/>
          <w:color w:val="auto"/>
        </w:rPr>
      </w:pPr>
      <w:r>
        <w:rPr>
          <w:rFonts w:ascii="Times New Roman" w:cs="Times New Roman" w:eastAsia="Times New Roman" w:hAnsi="Times New Roman"/>
          <w:sz w:val="18"/>
          <w:szCs w:val="18"/>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9" w:name="page50"/>
    <w:bookmarkEnd w:id="49"/>
    <w:p>
      <w:pPr>
        <w:ind w:right="80"/>
        <w:spacing w:after="0" w:line="235" w:lineRule="auto"/>
        <w:rPr>
          <w:sz w:val="20"/>
          <w:szCs w:val="20"/>
          <w:color w:val="auto"/>
        </w:rPr>
      </w:pPr>
      <w:r>
        <w:rPr>
          <w:rFonts w:ascii="Times New Roman" w:cs="Times New Roman" w:eastAsia="Times New Roman" w:hAnsi="Times New Roman"/>
          <w:sz w:val="18"/>
          <w:szCs w:val="18"/>
          <w:color w:val="auto"/>
        </w:rPr>
        <w:t>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are addressing certain requirements of the BPCIA which is creating 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patent term protections for our product candidates to effectively protect our business.</w:t>
      </w:r>
    </w:p>
    <w:p>
      <w:pPr>
        <w:spacing w:after="0" w:line="108" w:lineRule="exact"/>
        <w:rPr>
          <w:sz w:val="20"/>
          <w:szCs w:val="20"/>
          <w:color w:val="auto"/>
        </w:rPr>
      </w:pPr>
    </w:p>
    <w:p>
      <w:pPr>
        <w:ind w:right="60" w:firstLine="509"/>
        <w:spacing w:after="0" w:line="232" w:lineRule="auto"/>
        <w:rPr>
          <w:sz w:val="20"/>
          <w:szCs w:val="20"/>
          <w:color w:val="auto"/>
        </w:rPr>
      </w:pPr>
      <w:r>
        <w:rPr>
          <w:rFonts w:ascii="Times New Roman" w:cs="Times New Roman" w:eastAsia="Times New Roman" w:hAnsi="Times New Roman"/>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185" w:lineRule="exact"/>
        <w:rPr>
          <w:sz w:val="20"/>
          <w:szCs w:val="20"/>
          <w:color w:val="auto"/>
        </w:rPr>
      </w:pPr>
    </w:p>
    <w:p>
      <w:pPr>
        <w:ind w:right="200" w:firstLine="509"/>
        <w:spacing w:after="0" w:line="230" w:lineRule="auto"/>
        <w:rPr>
          <w:sz w:val="20"/>
          <w:szCs w:val="20"/>
          <w:color w:val="auto"/>
        </w:rPr>
      </w:pPr>
      <w:r>
        <w:rPr>
          <w:rFonts w:ascii="Times New Roman" w:cs="Times New Roman" w:eastAsia="Times New Roman" w:hAnsi="Times New Roman"/>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27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59" w:lineRule="exact"/>
        <w:rPr>
          <w:sz w:val="20"/>
          <w:szCs w:val="20"/>
          <w:color w:val="auto"/>
        </w:rPr>
      </w:pPr>
    </w:p>
    <w:p>
      <w:pPr>
        <w:ind w:right="20" w:firstLine="509"/>
        <w:spacing w:after="0" w:line="227"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9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50" w:lineRule="exact"/>
        <w:rPr>
          <w:sz w:val="20"/>
          <w:szCs w:val="20"/>
          <w:color w:val="auto"/>
        </w:rPr>
      </w:pPr>
    </w:p>
    <w:p>
      <w:pPr>
        <w:ind w:firstLine="509"/>
        <w:spacing w:after="0" w:line="226"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93" w:lineRule="exact"/>
        <w:rPr>
          <w:sz w:val="20"/>
          <w:szCs w:val="20"/>
          <w:color w:val="auto"/>
        </w:rPr>
      </w:pPr>
    </w:p>
    <w:p>
      <w:pPr>
        <w:ind w:right="200" w:firstLine="509"/>
        <w:spacing w:after="0" w:line="246" w:lineRule="auto"/>
        <w:rPr>
          <w:sz w:val="20"/>
          <w:szCs w:val="20"/>
          <w:color w:val="auto"/>
        </w:rPr>
      </w:pPr>
      <w:r>
        <w:rPr>
          <w:rFonts w:ascii="Times New Roman" w:cs="Times New Roman" w:eastAsia="Times New Roman" w:hAnsi="Times New Roman"/>
          <w:sz w:val="18"/>
          <w:szCs w:val="18"/>
          <w:color w:val="auto"/>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50" w:name="page51"/>
    <w:bookmarkEnd w:id="50"/>
    <w:p>
      <w:pPr>
        <w:ind w:right="380"/>
        <w:spacing w:after="0" w:line="258" w:lineRule="auto"/>
        <w:rPr>
          <w:sz w:val="20"/>
          <w:szCs w:val="20"/>
          <w:color w:val="auto"/>
        </w:rPr>
      </w:pPr>
      <w:r>
        <w:rPr>
          <w:rFonts w:ascii="Times New Roman" w:cs="Times New Roman" w:eastAsia="Times New Roman" w:hAnsi="Times New Roman"/>
          <w:sz w:val="18"/>
          <w:szCs w:val="18"/>
          <w:color w:val="auto"/>
        </w:rPr>
        <w:t>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development and commercialization efforts.</w:t>
      </w:r>
    </w:p>
    <w:p>
      <w:pPr>
        <w:spacing w:after="0" w:line="121"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Biotics. We are aware of U.S. and foreign patents and pending patent applications owned by third parties that cover similar therapeutic uses as the product candidates we are developing. We are currently monitoring 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173" w:lineRule="exact"/>
        <w:rPr>
          <w:sz w:val="20"/>
          <w:szCs w:val="20"/>
          <w:color w:val="auto"/>
        </w:rPr>
      </w:pPr>
    </w:p>
    <w:p>
      <w:pPr>
        <w:ind w:right="20" w:firstLine="509"/>
        <w:spacing w:after="0" w:line="226"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176" w:lineRule="exact"/>
        <w:rPr>
          <w:sz w:val="20"/>
          <w:szCs w:val="20"/>
          <w:color w:val="auto"/>
        </w:rPr>
      </w:pPr>
    </w:p>
    <w:p>
      <w:pPr>
        <w:ind w:right="20" w:firstLine="509"/>
        <w:spacing w:after="0" w:line="230" w:lineRule="auto"/>
        <w:rPr>
          <w:sz w:val="20"/>
          <w:szCs w:val="20"/>
          <w:color w:val="auto"/>
        </w:rPr>
      </w:pPr>
      <w:r>
        <w:rPr>
          <w:rFonts w:ascii="Times New Roman" w:cs="Times New Roman" w:eastAsia="Times New Roman" w:hAnsi="Times New Roman"/>
          <w:sz w:val="18"/>
          <w:szCs w:val="18"/>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73" w:lineRule="exact"/>
        <w:rPr>
          <w:sz w:val="20"/>
          <w:szCs w:val="20"/>
          <w:color w:val="auto"/>
        </w:rPr>
      </w:pPr>
    </w:p>
    <w:p>
      <w:pPr>
        <w:ind w:firstLine="509"/>
        <w:spacing w:after="0" w:line="229"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in part, on our licensors to file, prosecute, maintain, defend and enforce patents and patent applications that are material to our business.</w:t>
      </w:r>
    </w:p>
    <w:p>
      <w:pPr>
        <w:spacing w:after="0" w:line="94" w:lineRule="exact"/>
        <w:rPr>
          <w:sz w:val="20"/>
          <w:szCs w:val="20"/>
          <w:color w:val="auto"/>
        </w:rPr>
      </w:pPr>
    </w:p>
    <w:p>
      <w:pPr>
        <w:ind w:right="80" w:firstLine="509"/>
        <w:spacing w:after="0" w:line="228" w:lineRule="auto"/>
        <w:rPr>
          <w:sz w:val="20"/>
          <w:szCs w:val="20"/>
          <w:color w:val="auto"/>
        </w:rPr>
      </w:pPr>
      <w:r>
        <w:rPr>
          <w:rFonts w:ascii="Times New Roman" w:cs="Times New Roman" w:eastAsia="Times New Roman" w:hAnsi="Times New Roman"/>
          <w:sz w:val="18"/>
          <w:szCs w:val="18"/>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280"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64"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We are a party to certain intellectual property license agreements and expect to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1" w:name="page52"/>
    <w:bookmarkEnd w:id="51"/>
    <w:p>
      <w:pPr>
        <w:ind w:right="100"/>
        <w:spacing w:after="0" w:line="250" w:lineRule="auto"/>
        <w:rPr>
          <w:sz w:val="20"/>
          <w:szCs w:val="20"/>
          <w:color w:val="auto"/>
        </w:rPr>
      </w:pPr>
      <w:r>
        <w:rPr>
          <w:rFonts w:ascii="Times New Roman" w:cs="Times New Roman" w:eastAsia="Times New Roman" w:hAnsi="Times New Roman"/>
          <w:sz w:val="18"/>
          <w:szCs w:val="18"/>
          <w:color w:val="auto"/>
        </w:rPr>
        <w:t>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295"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36" w:lineRule="exact"/>
        <w:rPr>
          <w:sz w:val="20"/>
          <w:szCs w:val="20"/>
          <w:color w:val="auto"/>
        </w:rPr>
      </w:pPr>
    </w:p>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cease such infringement or unauthorized use, we or one of our licensing partners may be required to file patent infringement claims against a third-party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88" w:lineRule="exact"/>
        <w:rPr>
          <w:sz w:val="20"/>
          <w:szCs w:val="20"/>
          <w:color w:val="auto"/>
        </w:rPr>
      </w:pPr>
    </w:p>
    <w:p>
      <w:pPr>
        <w:ind w:right="20" w:firstLine="509"/>
        <w:spacing w:after="0" w:line="232" w:lineRule="auto"/>
        <w:rPr>
          <w:sz w:val="20"/>
          <w:szCs w:val="20"/>
          <w:color w:val="auto"/>
        </w:rPr>
      </w:pPr>
      <w:r>
        <w:rPr>
          <w:rFonts w:ascii="Times New Roman" w:cs="Times New Roman" w:eastAsia="Times New Roman" w:hAnsi="Times New Roman"/>
          <w:sz w:val="18"/>
          <w:szCs w:val="18"/>
          <w:color w:val="auto"/>
        </w:rPr>
        <w:t>If we or one of our licensing partners were to initiate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 even outside the context of litigation. Such mechanisms include re-examination, inter partes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193"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174"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94" w:lineRule="exact"/>
        <w:rPr>
          <w:sz w:val="20"/>
          <w:szCs w:val="20"/>
          <w:color w:val="auto"/>
        </w:rPr>
      </w:pPr>
    </w:p>
    <w:p>
      <w:pPr>
        <w:ind w:right="60" w:firstLine="509"/>
        <w:spacing w:after="0" w:line="233" w:lineRule="auto"/>
        <w:rPr>
          <w:sz w:val="20"/>
          <w:szCs w:val="20"/>
          <w:color w:val="auto"/>
        </w:rPr>
      </w:pPr>
      <w:r>
        <w:rPr>
          <w:rFonts w:ascii="Times New Roman" w:cs="Times New Roman" w:eastAsia="Times New Roman" w:hAnsi="Times New Roman"/>
          <w:sz w:val="18"/>
          <w:szCs w:val="18"/>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w:t>
      </w:r>
    </w:p>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52" w:name="page53"/>
    <w:bookmarkEnd w:id="52"/>
    <w:p>
      <w:pPr>
        <w:ind w:right="300"/>
        <w:spacing w:after="0" w:line="239" w:lineRule="auto"/>
        <w:rPr>
          <w:sz w:val="20"/>
          <w:szCs w:val="20"/>
          <w:color w:val="auto"/>
        </w:rPr>
      </w:pPr>
      <w:r>
        <w:rPr>
          <w:rFonts w:ascii="Times New Roman" w:cs="Times New Roman" w:eastAsia="Times New Roman" w:hAnsi="Times New Roman"/>
          <w:sz w:val="18"/>
          <w:szCs w:val="18"/>
          <w:color w:val="auto"/>
        </w:rPr>
        <w:t>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75"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p>
    <w:p>
      <w:pPr>
        <w:spacing w:after="0" w:line="50" w:lineRule="exact"/>
        <w:rPr>
          <w:sz w:val="20"/>
          <w:szCs w:val="20"/>
          <w:color w:val="auto"/>
        </w:rPr>
      </w:pPr>
    </w:p>
    <w:p>
      <w:pPr>
        <w:ind w:right="60" w:firstLine="509"/>
        <w:spacing w:after="0" w:line="233"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100" w:firstLine="509"/>
        <w:spacing w:after="0" w:line="242"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87" w:lineRule="exact"/>
        <w:rPr>
          <w:sz w:val="20"/>
          <w:szCs w:val="20"/>
          <w:color w:val="auto"/>
        </w:rPr>
      </w:pPr>
    </w:p>
    <w:p>
      <w:pPr>
        <w:jc w:val="both"/>
        <w:ind w:right="200" w:firstLine="509"/>
        <w:spacing w:after="0" w:line="247"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w:t>
      </w:r>
    </w:p>
    <w:p>
      <w:pPr>
        <w:spacing w:after="0" w:line="3"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8" w:lineRule="exact"/>
        <w:rPr>
          <w:sz w:val="20"/>
          <w:szCs w:val="20"/>
          <w:color w:val="auto"/>
        </w:rPr>
      </w:pPr>
    </w:p>
    <w:p>
      <w:pPr>
        <w:ind w:right="4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64"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3" w:name="page54"/>
    <w:bookmarkEnd w:id="53"/>
    <w:p>
      <w:pPr>
        <w:ind w:right="40"/>
        <w:spacing w:after="0" w:line="250" w:lineRule="auto"/>
        <w:rPr>
          <w:sz w:val="20"/>
          <w:szCs w:val="20"/>
          <w:color w:val="auto"/>
        </w:rPr>
      </w:pPr>
      <w:r>
        <w:rPr>
          <w:rFonts w:ascii="Times New Roman" w:cs="Times New Roman" w:eastAsia="Times New Roman" w:hAnsi="Times New Roman"/>
          <w:sz w:val="18"/>
          <w:szCs w:val="18"/>
          <w:color w:val="auto"/>
        </w:rPr>
        <w:t>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04"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72"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 parties, including independent clinical investigators, contracted laboratories and third-party CROs, to conduct our preclinical studies and clinical trials, as well as certain product candidate discovery and development activities, in accordance with applicable regulatory requirements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 as applicable, and good clinical practice (GCP) requirements, which are regulations and guidelines enforced by the FDA, the EMA and other comparable foreign regulatory authorities for all of our products in clinical development. Regulatory authorities enforce these GLP and GCP through periodic inspections of laboratories conducting GLP studies, and clinical trial sponsors, principal investigators, CROs, and trial sites when auditing for GCP compliance. If we, our investigators or any of our CROs or contracted laboratories fail to comply with applicable GLP and GCP, as applicable, the data generated in our preclinical studies and clinical trials may be deemed unreliable and the FDA, the EMA or other comparable foreign regulatory authorities may require us to perform additional preclinical studies or clinical trials before approving our marketing applications for our therapeutic product candidates.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produced in compliance with applicable cGMP regulations. Our failure to comply with these regulations may require us to repeat preclinical studies or clinical trials, which would delay the regulatory approval process.</w:t>
      </w:r>
    </w:p>
    <w:p>
      <w:pPr>
        <w:spacing w:after="0" w:line="187" w:lineRule="exact"/>
        <w:rPr>
          <w:sz w:val="20"/>
          <w:szCs w:val="20"/>
          <w:color w:val="auto"/>
        </w:rPr>
      </w:pPr>
    </w:p>
    <w:p>
      <w:pPr>
        <w:ind w:right="140" w:firstLine="509"/>
        <w:spacing w:after="0" w:line="239" w:lineRule="auto"/>
        <w:rPr>
          <w:sz w:val="20"/>
          <w:szCs w:val="20"/>
          <w:color w:val="auto"/>
        </w:rPr>
      </w:pPr>
      <w:r>
        <w:rPr>
          <w:rFonts w:ascii="Times New Roman" w:cs="Times New Roman" w:eastAsia="Times New Roman" w:hAnsi="Times New Roman"/>
          <w:sz w:val="18"/>
          <w:szCs w:val="18"/>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84" w:lineRule="exact"/>
        <w:rPr>
          <w:sz w:val="20"/>
          <w:szCs w:val="20"/>
          <w:color w:val="auto"/>
        </w:rPr>
      </w:pPr>
    </w:p>
    <w:p>
      <w:pPr>
        <w:ind w:right="40" w:firstLine="509"/>
        <w:spacing w:after="0" w:line="233" w:lineRule="auto"/>
        <w:rPr>
          <w:sz w:val="20"/>
          <w:szCs w:val="20"/>
          <w:color w:val="auto"/>
        </w:rPr>
      </w:pPr>
      <w:r>
        <w:rPr>
          <w:rFonts w:ascii="Times New Roman" w:cs="Times New Roman" w:eastAsia="Times New Roman" w:hAnsi="Times New Roman"/>
          <w:sz w:val="18"/>
          <w:szCs w:val="18"/>
          <w:color w:val="auto"/>
        </w:rPr>
        <w:t>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studies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88" w:lineRule="exact"/>
        <w:rPr>
          <w:sz w:val="20"/>
          <w:szCs w:val="20"/>
          <w:color w:val="auto"/>
        </w:rPr>
      </w:pPr>
    </w:p>
    <w:p>
      <w:pPr>
        <w:ind w:right="60" w:firstLine="509"/>
        <w:spacing w:after="0" w:line="239" w:lineRule="auto"/>
        <w:rPr>
          <w:sz w:val="20"/>
          <w:szCs w:val="20"/>
          <w:color w:val="auto"/>
        </w:rPr>
      </w:pPr>
      <w:r>
        <w:rPr>
          <w:rFonts w:ascii="Times New Roman" w:cs="Times New Roman" w:eastAsia="Times New Roman" w:hAnsi="Times New Roman"/>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84"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therapeutic product candidates it may develop.</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4" w:name="page55"/>
    <w:bookmarkEnd w:id="54"/>
    <w:p>
      <w:pPr>
        <w:ind w:right="8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supply and manufacturing partners for drug supplies for our late-stage clinical activities and may do the same for any commercial supplies of our product candidates.</w:t>
      </w:r>
    </w:p>
    <w:p>
      <w:pPr>
        <w:spacing w:after="0" w:line="50" w:lineRule="exact"/>
        <w:rPr>
          <w:sz w:val="20"/>
          <w:szCs w:val="20"/>
          <w:color w:val="auto"/>
        </w:rPr>
      </w:pPr>
    </w:p>
    <w:p>
      <w:pPr>
        <w:ind w:right="200" w:firstLine="509"/>
        <w:spacing w:after="0"/>
        <w:rPr>
          <w:sz w:val="20"/>
          <w:szCs w:val="20"/>
          <w:color w:val="auto"/>
        </w:rPr>
      </w:pPr>
      <w:r>
        <w:rPr>
          <w:rFonts w:ascii="Times New Roman" w:cs="Times New Roman" w:eastAsia="Times New Roman" w:hAnsi="Times New Roman"/>
          <w:sz w:val="18"/>
          <w:szCs w:val="18"/>
          <w:color w:val="auto"/>
        </w:rPr>
        <w:t>We rely on third-party supply and manufacturing partners to supply the materials and components to manufacture late-stage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effective, or in an amount that satisfies our commercial needs.</w:t>
      </w:r>
    </w:p>
    <w:p>
      <w:pPr>
        <w:spacing w:after="0" w:line="171"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We have agreements with Azzur Cleanrooms-On-Demand to lease clean-room space at their facility for manufacturing and formulation of cGMP material for our clinical trials and we have agreed to pay Azzur to renovate and upgrade the cleanroom space for expanded use. If Azzur were to not adhere to our agreement or suffer a material adverse event that affected their delivery of services to us, our ability to conduct clinical operations would be impacted.</w:t>
      </w:r>
    </w:p>
    <w:p>
      <w:pPr>
        <w:spacing w:after="0" w:line="167" w:lineRule="exact"/>
        <w:rPr>
          <w:sz w:val="20"/>
          <w:szCs w:val="20"/>
          <w:color w:val="auto"/>
        </w:rPr>
      </w:pPr>
    </w:p>
    <w:p>
      <w:pPr>
        <w:ind w:right="80" w:firstLine="509"/>
        <w:spacing w:after="0"/>
        <w:rPr>
          <w:sz w:val="20"/>
          <w:szCs w:val="20"/>
          <w:color w:val="auto"/>
        </w:rPr>
      </w:pPr>
      <w:r>
        <w:rPr>
          <w:rFonts w:ascii="Times New Roman" w:cs="Times New Roman" w:eastAsia="Times New Roman" w:hAnsi="Times New Roman"/>
          <w:sz w:val="18"/>
          <w:szCs w:val="18"/>
          <w:color w:val="auto"/>
        </w:rPr>
        <w:t>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185" w:lineRule="exact"/>
        <w:rPr>
          <w:sz w:val="20"/>
          <w:szCs w:val="20"/>
          <w:color w:val="auto"/>
        </w:rPr>
      </w:pPr>
    </w:p>
    <w:p>
      <w:pPr>
        <w:ind w:right="100" w:firstLine="509"/>
        <w:spacing w:after="0"/>
        <w:rPr>
          <w:sz w:val="20"/>
          <w:szCs w:val="20"/>
          <w:color w:val="auto"/>
        </w:rPr>
      </w:pPr>
      <w:r>
        <w:rPr>
          <w:rFonts w:ascii="Times New Roman" w:cs="Times New Roman" w:eastAsia="Times New Roman" w:hAnsi="Times New Roman"/>
          <w:sz w:val="18"/>
          <w:szCs w:val="18"/>
          <w:color w:val="auto"/>
        </w:rPr>
        <w:t>Synthetic Biotics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spacing w:after="0" w:line="185" w:lineRule="exact"/>
        <w:rPr>
          <w:sz w:val="20"/>
          <w:szCs w:val="20"/>
          <w:color w:val="auto"/>
        </w:rPr>
      </w:pPr>
    </w:p>
    <w:p>
      <w:pPr>
        <w:ind w:right="140" w:firstLine="509"/>
        <w:spacing w:after="0" w:line="235" w:lineRule="auto"/>
        <w:rPr>
          <w:sz w:val="20"/>
          <w:szCs w:val="20"/>
          <w:color w:val="auto"/>
        </w:rPr>
      </w:pPr>
      <w:r>
        <w:rPr>
          <w:rFonts w:ascii="Times New Roman" w:cs="Times New Roman" w:eastAsia="Times New Roman" w:hAnsi="Times New Roman"/>
          <w:sz w:val="18"/>
          <w:szCs w:val="18"/>
          <w:color w:val="auto"/>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 in hiring and retaining the experienced specialized personnel needed to operate our manufacturing process, which could result in delays in our production or difficulties in maintaining compliance with applicable regulatory requirements.</w:t>
      </w:r>
    </w:p>
    <w:p>
      <w:pPr>
        <w:spacing w:after="0" w:line="188" w:lineRule="exact"/>
        <w:rPr>
          <w:sz w:val="20"/>
          <w:szCs w:val="20"/>
          <w:color w:val="auto"/>
        </w:rPr>
      </w:pPr>
    </w:p>
    <w:p>
      <w:pPr>
        <w:ind w:right="20" w:firstLine="509"/>
        <w:spacing w:after="0" w:line="236" w:lineRule="auto"/>
        <w:rPr>
          <w:sz w:val="20"/>
          <w:szCs w:val="20"/>
          <w:color w:val="auto"/>
        </w:rPr>
      </w:pPr>
      <w:r>
        <w:rPr>
          <w:rFonts w:ascii="Times New Roman" w:cs="Times New Roman" w:eastAsia="Times New Roman" w:hAnsi="Times New Roman"/>
          <w:sz w:val="18"/>
          <w:szCs w:val="18"/>
          <w:color w:val="auto"/>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spacing w:after="0" w:line="159" w:lineRule="exact"/>
        <w:rPr>
          <w:sz w:val="20"/>
          <w:szCs w:val="20"/>
          <w:color w:val="auto"/>
        </w:rPr>
      </w:pPr>
    </w:p>
    <w:p>
      <w:pPr>
        <w:ind w:right="20" w:firstLine="509"/>
        <w:spacing w:after="0" w:line="224" w:lineRule="auto"/>
        <w:rPr>
          <w:sz w:val="20"/>
          <w:szCs w:val="20"/>
          <w:color w:val="auto"/>
        </w:rPr>
      </w:pPr>
      <w:r>
        <w:rPr>
          <w:rFonts w:ascii="Times New Roman" w:cs="Times New Roman" w:eastAsia="Times New Roman" w:hAnsi="Times New Roman"/>
          <w:sz w:val="18"/>
          <w:szCs w:val="18"/>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 regulations. Any of our suppliers or manufacturers could fail to comply with such requirements or to perform our obligations to us in relation to quality, timing or otherwise, or if our supply of components or other materials could become limited or interrupted for other</w:t>
      </w:r>
    </w:p>
    <w:p>
      <w:pPr>
        <w:spacing w:after="0" w:line="3" w:lineRule="exact"/>
        <w:rPr>
          <w:sz w:val="20"/>
          <w:szCs w:val="20"/>
          <w:color w:val="auto"/>
        </w:rPr>
      </w:pPr>
    </w:p>
    <w:p>
      <w:pPr>
        <w:ind w:right="300"/>
        <w:spacing w:after="0" w:line="223" w:lineRule="auto"/>
        <w:rPr>
          <w:sz w:val="20"/>
          <w:szCs w:val="20"/>
          <w:color w:val="auto"/>
        </w:rPr>
      </w:pPr>
      <w:r>
        <w:rPr>
          <w:rFonts w:ascii="Times New Roman" w:cs="Times New Roman" w:eastAsia="Times New Roman" w:hAnsi="Times New Roman"/>
          <w:sz w:val="17"/>
          <w:szCs w:val="17"/>
          <w:color w:val="auto"/>
        </w:rPr>
        <w:t>reasons. Under these circumstances, we may choose or be forced to manufacture the materials ourselves, for which we currently do not have the capabilities or resources, manufacture in collaboration with a third-party at their facilities, or enter into an agreement with another third-party, which we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third-party and a feasible alternative may not exist. These factors would increase our reliance on such manufacturer or</w:t>
      </w:r>
    </w:p>
    <w:p>
      <w:pPr>
        <w:ind w:right="80"/>
        <w:spacing w:after="0" w:line="211" w:lineRule="auto"/>
        <w:rPr>
          <w:sz w:val="20"/>
          <w:szCs w:val="20"/>
          <w:color w:val="auto"/>
        </w:rPr>
      </w:pPr>
      <w:r>
        <w:rPr>
          <w:rFonts w:ascii="Times New Roman" w:cs="Times New Roman" w:eastAsia="Times New Roman" w:hAnsi="Times New Roman"/>
          <w:sz w:val="18"/>
          <w:szCs w:val="18"/>
          <w:color w:val="auto"/>
        </w:rPr>
        <w:t>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w:t>
      </w:r>
    </w:p>
    <w:p>
      <w:pPr>
        <w:spacing w:after="0" w:line="1" w:lineRule="exact"/>
        <w:rPr>
          <w:sz w:val="20"/>
          <w:szCs w:val="20"/>
          <w:color w:val="auto"/>
        </w:rPr>
      </w:pPr>
    </w:p>
    <w:p>
      <w:pPr>
        <w:ind w:right="200"/>
        <w:spacing w:after="0" w:line="228" w:lineRule="auto"/>
        <w:rPr>
          <w:sz w:val="20"/>
          <w:szCs w:val="20"/>
          <w:color w:val="auto"/>
        </w:rPr>
      </w:pPr>
      <w:r>
        <w:rPr>
          <w:rFonts w:ascii="Times New Roman" w:cs="Times New Roman" w:eastAsia="Times New Roman" w:hAnsi="Times New Roman"/>
          <w:sz w:val="18"/>
          <w:szCs w:val="18"/>
          <w:color w:val="auto"/>
        </w:rPr>
        <w:t>standards and with all applicable regulations and guidelines and may be required to conduct bridging studies or repeat clinical trials to assure comparable safety, purity and potency. The delays associated with the verification of a new manufacturer could negatively affect our ability to develop product candidates in a timely manner or within budget.</w:t>
      </w:r>
    </w:p>
    <w:p>
      <w:pPr>
        <w:spacing w:after="0" w:line="160" w:lineRule="exact"/>
        <w:rPr>
          <w:sz w:val="20"/>
          <w:szCs w:val="20"/>
          <w:color w:val="auto"/>
        </w:rPr>
      </w:pPr>
    </w:p>
    <w:p>
      <w:pPr>
        <w:ind w:right="120" w:firstLine="509"/>
        <w:spacing w:after="0" w:line="238" w:lineRule="auto"/>
        <w:rPr>
          <w:sz w:val="20"/>
          <w:szCs w:val="20"/>
          <w:color w:val="auto"/>
        </w:rPr>
      </w:pPr>
      <w:r>
        <w:rPr>
          <w:rFonts w:ascii="Times New Roman" w:cs="Times New Roman" w:eastAsia="Times New Roman" w:hAnsi="Times New Roman"/>
          <w:sz w:val="17"/>
          <w:szCs w:val="17"/>
          <w:color w:val="auto"/>
        </w:rPr>
        <w:t>We may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w:t>
      </w:r>
    </w:p>
    <w:p>
      <w:pPr>
        <w:spacing w:after="0" w:line="1" w:lineRule="exact"/>
        <w:rPr>
          <w:sz w:val="20"/>
          <w:szCs w:val="20"/>
          <w:color w:val="auto"/>
        </w:rPr>
      </w:pPr>
    </w:p>
    <w:p>
      <w:pPr>
        <w:ind w:right="380"/>
        <w:spacing w:after="0" w:line="226" w:lineRule="auto"/>
        <w:rPr>
          <w:sz w:val="20"/>
          <w:szCs w:val="20"/>
          <w:color w:val="auto"/>
        </w:rPr>
      </w:pPr>
      <w:r>
        <w:rPr>
          <w:rFonts w:ascii="Times New Roman" w:cs="Times New Roman" w:eastAsia="Times New Roman" w:hAnsi="Times New Roman"/>
          <w:sz w:val="18"/>
          <w:szCs w:val="18"/>
          <w:color w:val="auto"/>
        </w:rPr>
        <w:t>candidates successfully. Our or a third-party’s failure to execute on our manufacturing requirements could adversely affect our business in a number of ways, including:</w:t>
      </w:r>
    </w:p>
    <w:p>
      <w:pPr>
        <w:spacing w:after="0" w:line="76"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 which may impact our potential economic benefits;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 collaborator;</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55" w:name="page56"/>
    <w:bookmarkEnd w:id="55"/>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our product candidates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316"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1" w:lineRule="exact"/>
        <w:rPr>
          <w:sz w:val="20"/>
          <w:szCs w:val="20"/>
          <w:color w:val="auto"/>
        </w:rPr>
      </w:pPr>
    </w:p>
    <w:p>
      <w:pPr>
        <w:ind w:firstLine="509"/>
        <w:spacing w:after="0" w:line="233" w:lineRule="auto"/>
        <w:rPr>
          <w:sz w:val="20"/>
          <w:szCs w:val="20"/>
          <w:color w:val="auto"/>
        </w:rPr>
      </w:pPr>
      <w:r>
        <w:rPr>
          <w:rFonts w:ascii="Times New Roman" w:cs="Times New Roman" w:eastAsia="Times New Roman" w:hAnsi="Times New Roman"/>
          <w:sz w:val="18"/>
          <w:szCs w:val="18"/>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typically indemnify our collaborators from any third-party product liability claims that could result from the production, use or consumption of the product, as well as for alleged infringements of any patent or other intellectual property right by a third-party. With respect to consulting agreements, we indemnify consultants from claims arising from the good faith performance of their services.</w:t>
      </w:r>
    </w:p>
    <w:p>
      <w:pPr>
        <w:spacing w:after="0" w:line="186" w:lineRule="exact"/>
        <w:rPr>
          <w:sz w:val="20"/>
          <w:szCs w:val="20"/>
          <w:color w:val="auto"/>
        </w:rPr>
      </w:pPr>
    </w:p>
    <w:p>
      <w:pPr>
        <w:ind w:firstLine="509"/>
        <w:spacing w:after="0" w:line="236" w:lineRule="auto"/>
        <w:rPr>
          <w:sz w:val="20"/>
          <w:szCs w:val="20"/>
          <w:color w:val="auto"/>
        </w:rPr>
      </w:pPr>
      <w:r>
        <w:rPr>
          <w:rFonts w:ascii="Times New Roman" w:cs="Times New Roman" w:eastAsia="Times New Roman" w:hAnsi="Times New Roman"/>
          <w:sz w:val="18"/>
          <w:szCs w:val="18"/>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37"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7"/>
          <w:szCs w:val="17"/>
          <w:color w:val="auto"/>
        </w:rPr>
        <w:t>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Dependence on collaborative arrangements or strategic alliances would subject us to a number of risks, including the risk that:</w:t>
      </w:r>
    </w:p>
    <w:p>
      <w:pPr>
        <w:spacing w:after="0" w:line="90"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collaborators may devote to the relevant product candidates;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experience financial difficulties;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such as marketing and distribution rights;</w:t>
      </w:r>
    </w:p>
    <w:p>
      <w:pPr>
        <w:spacing w:after="0" w:line="90"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40"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could independently move forward with a competing drug candidate developed either independently or in collaboration with others, including our competitors; and</w:t>
      </w:r>
    </w:p>
    <w:p>
      <w:pPr>
        <w:spacing w:after="0" w:line="40" w:lineRule="exact"/>
        <w:rPr>
          <w:rFonts w:ascii="Times New Roman" w:cs="Times New Roman" w:eastAsia="Times New Roman" w:hAnsi="Times New Roman"/>
          <w:sz w:val="18"/>
          <w:szCs w:val="18"/>
          <w:color w:val="auto"/>
        </w:rPr>
      </w:pPr>
    </w:p>
    <w:p>
      <w:pPr>
        <w:ind w:left="1020" w:right="48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are often terminated or allowed to expire, which would delay the development and may increase the cost of developing our drug candidates.</w:t>
      </w:r>
    </w:p>
    <w:p>
      <w:pPr>
        <w:spacing w:after="0" w:line="266"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64" w:lineRule="exact"/>
        <w:rPr>
          <w:sz w:val="20"/>
          <w:szCs w:val="20"/>
          <w:color w:val="auto"/>
        </w:rPr>
      </w:pPr>
    </w:p>
    <w:p>
      <w:pPr>
        <w:ind w:right="380" w:firstLine="509"/>
        <w:spacing w:after="0" w:line="244" w:lineRule="auto"/>
        <w:rPr>
          <w:sz w:val="20"/>
          <w:szCs w:val="20"/>
          <w:color w:val="auto"/>
        </w:rPr>
      </w:pPr>
      <w:r>
        <w:rPr>
          <w:rFonts w:ascii="Times New Roman" w:cs="Times New Roman" w:eastAsia="Times New Roman" w:hAnsi="Times New Roman"/>
          <w:sz w:val="17"/>
          <w:szCs w:val="17"/>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w:t>
      </w:r>
    </w:p>
    <w:p>
      <w:pPr>
        <w:spacing w:after="0" w:line="1" w:lineRule="exact"/>
        <w:rPr>
          <w:sz w:val="20"/>
          <w:szCs w:val="20"/>
          <w:color w:val="auto"/>
        </w:rPr>
      </w:pPr>
    </w:p>
    <w:p>
      <w:pPr>
        <w:ind w:right="120"/>
        <w:spacing w:after="0" w:line="211" w:lineRule="auto"/>
        <w:rPr>
          <w:sz w:val="20"/>
          <w:szCs w:val="20"/>
          <w:color w:val="auto"/>
        </w:rPr>
      </w:pPr>
      <w:r>
        <w:rPr>
          <w:rFonts w:ascii="Times New Roman" w:cs="Times New Roman" w:eastAsia="Times New Roman" w:hAnsi="Times New Roman"/>
          <w:sz w:val="18"/>
          <w:szCs w:val="18"/>
          <w:color w:val="auto"/>
        </w:rPr>
        <w:t>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w:t>
      </w:r>
    </w:p>
    <w:p>
      <w:pPr>
        <w:spacing w:after="0" w:line="1"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product candidates and programs may be deemed to be at too early of a stage of development for collaborative effort, our research and development pipeline may be viewed as insufficient, the competitive or intellectual property landscape may be viewed as too intense or risky, and/or third parties may not view our product candidates and programs as having sufficient potential for commercialization, including the likelihood of an adequate safety and efficacy profile.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6" w:name="page57"/>
    <w:bookmarkEnd w:id="56"/>
    <w:p>
      <w:pPr>
        <w:ind w:right="60" w:firstLine="509"/>
        <w:spacing w:after="0" w:line="226" w:lineRule="auto"/>
        <w:rPr>
          <w:sz w:val="20"/>
          <w:szCs w:val="20"/>
          <w:color w:val="auto"/>
        </w:rPr>
      </w:pPr>
      <w:r>
        <w:rPr>
          <w:rFonts w:ascii="Times New Roman" w:cs="Times New Roman" w:eastAsia="Times New Roman" w:hAnsi="Times New Roman"/>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w:t>
      </w:r>
    </w:p>
    <w:p>
      <w:pPr>
        <w:spacing w:after="0" w:line="2"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7"/>
          <w:szCs w:val="17"/>
          <w:color w:val="auto"/>
        </w:rPr>
        <w:t>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may be materially and adversely affected.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04"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is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59" w:lineRule="exact"/>
        <w:rPr>
          <w:sz w:val="20"/>
          <w:szCs w:val="20"/>
          <w:color w:val="auto"/>
        </w:rPr>
      </w:pPr>
    </w:p>
    <w:p>
      <w:pPr>
        <w:ind w:right="240" w:firstLine="509"/>
        <w:spacing w:after="0" w:line="232"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293"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60"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Given the small number of patients who have the diseases that we are targeting, 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and our competitors may discover, develop or commercialize products faster or more successfully than us.</w:t>
      </w:r>
    </w:p>
    <w:p>
      <w:pPr>
        <w:spacing w:after="0" w:line="94"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For example, BioMarin, Inc., Nestlé Health Science S.A. (Codexis, Inc.), Homology Medicines, Inc., American Gene Technologies International Inc., Generation Bio Co., Agios Pharmaceuticals, Inc., SOM Biotech SL, Jnana Therapeutics and other discovery stage companies have developed or are developing product candidates for the treatment of PKU. Novome Biotechnologies, Inc., Federation Bio, Inc., Oxidien Pharmaceuticals L.L.C. and others are developing product candidates for enteric hyperoxaluria. Aeglea BioTherapeutics and Travere Therapeutics are both developing product candidates for HCU.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 In addition to the competition, we face from alternative therapies for the diseases we intend to target with our product candidates, we are also aware of several companies that are also working specifically to develop engineered bacteria as cellular drug therapies, such as Precigen, Inc. Further there are several companies working to develop other similar products. Third-party payors, including governmental and private insurers, may also encourage the use of generic products.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57" w:name="page58"/>
    <w:bookmarkEnd w:id="57"/>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48"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Many of our competitors have materially greater name recognition and substantially greater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29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3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Even with approvals from the FDA and comparable foreign regulatory authorities, the commercial success of our products will depend in part on the health 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69"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the product as demonstrated in clinical trials and potential advantages over competing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side effect profile of the product as demonstrated in clinical trials and potential advantages over competing treatments;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targeted;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approval is granted, including any limitations or warnings contained in a product’s approved labeling;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patients and physicians to accept products engineered from bacteria and these therapies;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sales and distribution support for the product;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publicity concerning the products or competing products and treatments;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availability of third-party insurance coverage and reimbursement.</w:t>
      </w:r>
    </w:p>
    <w:p>
      <w:pPr>
        <w:spacing w:after="0" w:line="212"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 care providers, we will not be able to generate sufficient revenue to become or remain profitable.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any efforts to identify, license, discover, develop, or commercialize additional product candidates.</w:t>
      </w:r>
    </w:p>
    <w:p>
      <w:pPr>
        <w:spacing w:after="0" w:line="12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Although a substantial amount of our effort will focus on the clinical testing, potential approval, and commercialization of our existing product candidates, the success of our business is also expected to depend in part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8" w:name="page59"/>
    <w:bookmarkEnd w:id="58"/>
    <w:p>
      <w:pPr>
        <w:ind w:right="180"/>
        <w:spacing w:after="0" w:line="282" w:lineRule="auto"/>
        <w:rPr>
          <w:sz w:val="20"/>
          <w:szCs w:val="20"/>
          <w:color w:val="auto"/>
        </w:rPr>
      </w:pPr>
      <w:r>
        <w:rPr>
          <w:rFonts w:ascii="Times New Roman" w:cs="Times New Roman" w:eastAsia="Times New Roman" w:hAnsi="Times New Roman"/>
          <w:sz w:val="18"/>
          <w:szCs w:val="18"/>
          <w:color w:val="auto"/>
        </w:rPr>
        <w:t>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40" w:lineRule="exact"/>
        <w:rPr>
          <w:sz w:val="20"/>
          <w:szCs w:val="20"/>
          <w:color w:val="auto"/>
        </w:rPr>
      </w:pPr>
    </w:p>
    <w:p>
      <w:pPr>
        <w:ind w:left="1020" w:right="5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or business development methodology or search criteria and process may be unsuccessful in identifying potential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or willing to assemble sufficient resources to acquire or discover additional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succeed in preclinical or clinical testing;</w:t>
      </w:r>
    </w:p>
    <w:p>
      <w:pPr>
        <w:spacing w:after="0" w:line="10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product candidates may be shown to have harmful side effects or may have other characteristics that may make the products unmarketable or unlikely to receive marketing approval;</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be covered by third parties’ patents or other exclusive rights;</w:t>
      </w:r>
    </w:p>
    <w:p>
      <w:pPr>
        <w:spacing w:after="0" w:line="10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product candidate may change during development or commercialization so that such a product may become unreasonable to continue to develop or commercialize;</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212" w:lineRule="exact"/>
        <w:rPr>
          <w:sz w:val="20"/>
          <w:szCs w:val="20"/>
          <w:color w:val="auto"/>
        </w:rPr>
      </w:pPr>
    </w:p>
    <w:p>
      <w:pPr>
        <w:ind w:right="120" w:firstLine="509"/>
        <w:spacing w:after="0" w:line="242"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27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64" w:lineRule="exact"/>
        <w:rPr>
          <w:sz w:val="20"/>
          <w:szCs w:val="20"/>
          <w:color w:val="auto"/>
        </w:rPr>
      </w:pPr>
    </w:p>
    <w:p>
      <w:pPr>
        <w:ind w:right="40" w:firstLine="509"/>
        <w:spacing w:after="0" w:line="231" w:lineRule="auto"/>
        <w:rPr>
          <w:sz w:val="20"/>
          <w:szCs w:val="20"/>
          <w:color w:val="auto"/>
        </w:rPr>
      </w:pPr>
      <w:r>
        <w:rPr>
          <w:rFonts w:ascii="Times New Roman" w:cs="Times New Roman" w:eastAsia="Times New Roman" w:hAnsi="Times New Roman"/>
          <w:sz w:val="18"/>
          <w:szCs w:val="18"/>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85" w:lineRule="exact"/>
        <w:rPr>
          <w:sz w:val="20"/>
          <w:szCs w:val="20"/>
          <w:color w:val="auto"/>
        </w:rPr>
      </w:pPr>
    </w:p>
    <w:p>
      <w:pPr>
        <w:ind w:right="120" w:firstLine="509"/>
        <w:spacing w:after="0" w:line="230" w:lineRule="auto"/>
        <w:rPr>
          <w:sz w:val="20"/>
          <w:szCs w:val="20"/>
          <w:color w:val="auto"/>
        </w:rPr>
      </w:pPr>
      <w:r>
        <w:rPr>
          <w:rFonts w:ascii="Times New Roman" w:cs="Times New Roman" w:eastAsia="Times New Roman" w:hAnsi="Times New Roman"/>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the Centers for Medicare &amp; Medicaid Services (CMS), an agency within the HHS,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 No uniform policy for coverage and reimbursement for drug products exist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76" w:lineRule="exact"/>
        <w:rPr>
          <w:sz w:val="20"/>
          <w:szCs w:val="20"/>
          <w:color w:val="auto"/>
        </w:rPr>
      </w:pPr>
    </w:p>
    <w:p>
      <w:pPr>
        <w:ind w:right="40" w:firstLine="509"/>
        <w:spacing w:after="0" w:line="230"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pharmaceutical products and services, and many third-party payors may refuse to provide coverage and reimbursement for particular drugs when an equivalent generic/biosimilar drug or a less expensive therapy is available. It is possible that a third-party payor may consider our product candidate and other therapies as substitutable and only offer to reimburse patients for the less expensive product. Even if we show improved efficacy or improved convenience of administration with our product candidate over other available and comparable products, pricing of existing drugs may limit the amount we will be able to charge for its product candidate. These payors may deny or revoke the reimbursement status of a given drug product or establish prices for new or existing marketed products at levels that are too low to enable it to realize an appropriate return on our investment in product development. If coverage and reimbursement is not available or is available only at limited levels, we may not be able to successfully commercialize our product candidates and may not be able to obtain a satisfactory financial return on products that we may develop.</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9" w:name="page60"/>
    <w:bookmarkEnd w:id="59"/>
    <w:p>
      <w:pPr>
        <w:ind w:firstLine="509"/>
        <w:spacing w:after="0" w:line="235" w:lineRule="auto"/>
        <w:rPr>
          <w:sz w:val="20"/>
          <w:szCs w:val="20"/>
          <w:color w:val="auto"/>
        </w:rPr>
      </w:pPr>
      <w:r>
        <w:rPr>
          <w:rFonts w:ascii="Times New Roman" w:cs="Times New Roman" w:eastAsia="Times New Roman" w:hAnsi="Times New Roman"/>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For example, under these circumstances, physicians may limit how much or under what circumstances they will prescribe or administer our products and patients may deliver to purchase such products. This, in turn, could affect our ability to commercialize our products successfully and impact our profitability, results of operations, financial condition, and future success.</w:t>
      </w:r>
    </w:p>
    <w:p>
      <w:pPr>
        <w:spacing w:after="0" w:line="175" w:lineRule="exact"/>
        <w:rPr>
          <w:sz w:val="20"/>
          <w:szCs w:val="20"/>
          <w:color w:val="auto"/>
        </w:rPr>
      </w:pPr>
    </w:p>
    <w:p>
      <w:pPr>
        <w:ind w:right="100" w:firstLine="509"/>
        <w:spacing w:after="0" w:line="235"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Other countries allow companies to fix their own prices for medical products but monitor and control company profits.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174" w:lineRule="exact"/>
        <w:rPr>
          <w:sz w:val="20"/>
          <w:szCs w:val="20"/>
          <w:color w:val="auto"/>
        </w:rPr>
      </w:pPr>
    </w:p>
    <w:p>
      <w:pPr>
        <w:ind w:right="280" w:firstLine="509"/>
        <w:spacing w:after="0" w:line="233" w:lineRule="auto"/>
        <w:rPr>
          <w:sz w:val="20"/>
          <w:szCs w:val="20"/>
          <w:color w:val="auto"/>
        </w:rPr>
      </w:pPr>
      <w:r>
        <w:rPr>
          <w:rFonts w:ascii="Times New Roman" w:cs="Times New Roman" w:eastAsia="Times New Roman" w:hAnsi="Times New Roman"/>
          <w:sz w:val="18"/>
          <w:szCs w:val="18"/>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our products, if any, may be more difficult to achieve even if they receive regulatory approval.</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Employees</w:t>
      </w:r>
    </w:p>
    <w:p>
      <w:pPr>
        <w:spacing w:after="0" w:line="10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64"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7"/>
          <w:szCs w:val="17"/>
          <w:color w:val="auto"/>
        </w:rPr>
        <w:t>Our success depends in part on our continued ability to attract, retain and motivate highly qualified management, clinical and scientific personnel. We believe that our future success is highly dependent upon the contributions of our senior management, particularly our president and chief executive officer, as well as our senior scientists and other members of our senior management team. The loss of services of any of these individuals could delay or prevent the successful development of our product pipeline, completion of our planned clinical trials or the commercialization of the products we develop.</w:t>
      </w:r>
    </w:p>
    <w:p>
      <w:pPr>
        <w:spacing w:after="0" w:line="161" w:lineRule="exact"/>
        <w:rPr>
          <w:sz w:val="20"/>
          <w:szCs w:val="20"/>
          <w:color w:val="auto"/>
        </w:rPr>
      </w:pPr>
    </w:p>
    <w:p>
      <w:pPr>
        <w:ind w:right="180" w:firstLine="509"/>
        <w:spacing w:after="0" w:line="236" w:lineRule="auto"/>
        <w:rPr>
          <w:sz w:val="20"/>
          <w:szCs w:val="20"/>
          <w:color w:val="auto"/>
        </w:rPr>
      </w:pPr>
      <w:r>
        <w:rPr>
          <w:rFonts w:ascii="Times New Roman" w:cs="Times New Roman" w:eastAsia="Times New Roman" w:hAnsi="Times New Roman"/>
          <w:sz w:val="18"/>
          <w:szCs w:val="18"/>
          <w:color w:val="auto"/>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w:t>
      </w:r>
    </w:p>
    <w:p>
      <w:pPr>
        <w:spacing w:after="0" w:line="275"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50" w:lineRule="exact"/>
        <w:rPr>
          <w:sz w:val="20"/>
          <w:szCs w:val="20"/>
          <w:color w:val="auto"/>
        </w:rPr>
      </w:pPr>
    </w:p>
    <w:p>
      <w:pPr>
        <w:ind w:right="20" w:firstLine="509"/>
        <w:spacing w:after="0" w:line="224"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 (1) 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0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50" w:lineRule="exact"/>
        <w:rPr>
          <w:sz w:val="20"/>
          <w:szCs w:val="20"/>
          <w:color w:val="auto"/>
        </w:rPr>
      </w:pPr>
    </w:p>
    <w:p>
      <w:pPr>
        <w:ind w:right="20" w:firstLine="509"/>
        <w:spacing w:after="0" w:line="227" w:lineRule="auto"/>
        <w:rPr>
          <w:sz w:val="20"/>
          <w:szCs w:val="20"/>
          <w:color w:val="auto"/>
        </w:rPr>
      </w:pPr>
      <w:r>
        <w:rPr>
          <w:rFonts w:ascii="Times New Roman" w:cs="Times New Roman" w:eastAsia="Times New Roman" w:hAnsi="Times New Roman"/>
          <w:sz w:val="18"/>
          <w:szCs w:val="18"/>
          <w:color w:val="auto"/>
        </w:rPr>
        <w:t>Based on the beneficial ownership of our common stock as of November 3, 2022, our executive officers and directors, together with holders of 5% or more of our common stock outstanding and their respective affiliates, beneficially own approximately 48.4%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securities convertible or exchangeable for our common stock may depress our stock price.</w:t>
      </w:r>
    </w:p>
    <w:p>
      <w:pPr>
        <w:spacing w:after="0" w:line="94"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November 3, 2022, there were a total of 70,519,940 shares of our common stock outstanding.</w:t>
      </w:r>
    </w:p>
    <w:p>
      <w:pPr>
        <w:spacing w:after="0" w:line="267"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0"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68"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our operating expenses;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modification or termination of government contracts or grants, and the timing of payments we receive under these arrangements;</w:t>
      </w:r>
    </w:p>
    <w:p>
      <w:pPr>
        <w:spacing w:after="0" w:line="103" w:lineRule="exact"/>
        <w:rPr>
          <w:rFonts w:ascii="Times New Roman" w:cs="Times New Roman" w:eastAsia="Times New Roman" w:hAnsi="Times New Roman"/>
          <w:sz w:val="18"/>
          <w:szCs w:val="18"/>
          <w:color w:val="auto"/>
        </w:rPr>
      </w:pPr>
    </w:p>
    <w:p>
      <w:pPr>
        <w:ind w:left="1020" w:right="200" w:hanging="503"/>
        <w:spacing w:after="0" w:line="250"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collaborative, licensing or similar arrangements, and the timing of payments we may make under these arrangements; and</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212" w:lineRule="exact"/>
        <w:rPr>
          <w:sz w:val="20"/>
          <w:szCs w:val="20"/>
          <w:color w:val="auto"/>
        </w:rPr>
      </w:pPr>
    </w:p>
    <w:p>
      <w:pPr>
        <w:ind w:right="60" w:firstLine="509"/>
        <w:spacing w:after="0"/>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275"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50"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63"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so that not all directors are elected at one time;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w:t>
      </w:r>
    </w:p>
    <w:p>
      <w:pPr>
        <w:spacing w:after="0" w:line="103" w:lineRule="exact"/>
        <w:rPr>
          <w:rFonts w:ascii="Times New Roman" w:cs="Times New Roman" w:eastAsia="Times New Roman" w:hAnsi="Times New Roman"/>
          <w:sz w:val="18"/>
          <w:szCs w:val="18"/>
          <w:color w:val="auto"/>
        </w:rPr>
      </w:pPr>
    </w:p>
    <w:p>
      <w:pPr>
        <w:ind w:left="1020" w:right="340" w:hanging="503"/>
        <w:spacing w:after="0" w:line="250"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w:t>
      </w:r>
    </w:p>
    <w:p>
      <w:pPr>
        <w:spacing w:after="0" w:line="68"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61" w:name="page62"/>
    <w:bookmarkEnd w:id="61"/>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advance notice requirement for stockholder proposals and nominations;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Board of Directors to issue preferred stock with such terms as our Board of Directors may determine; and</w:t>
      </w:r>
    </w:p>
    <w:p>
      <w:pPr>
        <w:spacing w:after="0" w:line="103"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176"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w:t>
      </w:r>
    </w:p>
    <w:p>
      <w:pPr>
        <w:spacing w:after="0" w:line="164" w:lineRule="exact"/>
        <w:rPr>
          <w:sz w:val="20"/>
          <w:szCs w:val="20"/>
          <w:color w:val="auto"/>
        </w:rPr>
      </w:pPr>
    </w:p>
    <w:p>
      <w:pPr>
        <w:ind w:right="20" w:firstLine="509"/>
        <w:spacing w:after="0" w:line="227"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the DGCL, our amended and restated certificate of incorporation, or our amended and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75" w:lineRule="exact"/>
        <w:rPr>
          <w:sz w:val="20"/>
          <w:szCs w:val="20"/>
          <w:color w:val="auto"/>
        </w:rPr>
      </w:pPr>
    </w:p>
    <w:p>
      <w:pPr>
        <w:ind w:right="160" w:firstLine="509"/>
        <w:spacing w:after="0" w:line="236"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71"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Provisions in our charter and other provisions of Delaware law could limit the price that investors are willing to pay in the future for shares of our common stock.</w:t>
      </w:r>
    </w:p>
    <w:p>
      <w:pPr>
        <w:spacing w:after="0" w:line="2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50" w:lineRule="exact"/>
        <w:rPr>
          <w:sz w:val="20"/>
          <w:szCs w:val="20"/>
          <w:color w:val="auto"/>
        </w:rPr>
      </w:pPr>
    </w:p>
    <w:p>
      <w:pPr>
        <w:ind w:right="40" w:firstLine="509"/>
        <w:spacing w:after="0" w:line="236"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do not anticipate paying any cash dividends on our common stock in the foreseeable future. We currently intend to retain all available funds and any future earnings to fund our operations. In addition, the terms of any future debt financing arrangement may contain terms prohibiting or limiting the amount of dividends that may be declared or paid on our common stock. As a result, capital appreciation, if any, of our common stock will be your sole source of gain for the foreseeable future.</w:t>
      </w:r>
    </w:p>
    <w:p>
      <w:pPr>
        <w:spacing w:after="0" w:line="275" w:lineRule="exact"/>
        <w:rPr>
          <w:sz w:val="20"/>
          <w:szCs w:val="20"/>
          <w:color w:val="auto"/>
        </w:rPr>
      </w:pPr>
    </w:p>
    <w:p>
      <w:pPr>
        <w:ind w:right="5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50"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292" w:lineRule="exact"/>
        <w:rPr>
          <w:sz w:val="20"/>
          <w:szCs w:val="20"/>
          <w:color w:val="auto"/>
        </w:rPr>
      </w:pPr>
    </w:p>
    <w:p>
      <w:pPr>
        <w:ind w:right="5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64"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44"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00" w:type="dxa"/>
            <w:vAlign w:val="bottom"/>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gridSpan w:val="5"/>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with this</w:t>
            </w:r>
          </w:p>
        </w:tc>
        <w:tc>
          <w:tcPr>
            <w:tcW w:w="100" w:type="dxa"/>
            <w:vAlign w:val="bottom"/>
          </w:tcPr>
          <w:p>
            <w:pPr>
              <w:spacing w:after="0"/>
              <w:rPr>
                <w:sz w:val="13"/>
                <w:szCs w:val="13"/>
                <w:color w:val="auto"/>
              </w:rPr>
            </w:pPr>
          </w:p>
        </w:tc>
        <w:tc>
          <w:tcPr>
            <w:tcW w:w="14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2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Filing</w:t>
            </w:r>
          </w:p>
        </w:tc>
        <w:tc>
          <w:tcPr>
            <w:tcW w:w="10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File/Reg.</w:t>
            </w:r>
          </w:p>
        </w:tc>
        <w:tc>
          <w:tcPr>
            <w:tcW w:w="0" w:type="dxa"/>
            <w:vAlign w:val="bottom"/>
          </w:tcPr>
          <w:p>
            <w:pPr>
              <w:spacing w:after="0"/>
              <w:rPr>
                <w:sz w:val="1"/>
                <w:szCs w:val="1"/>
                <w:color w:val="auto"/>
              </w:rPr>
            </w:pPr>
          </w:p>
        </w:tc>
      </w:tr>
      <w:tr>
        <w:trPr>
          <w:trHeight w:val="189"/>
        </w:trPr>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Report</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91"/>
        </w:trPr>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31.1</w:t>
            </w:r>
          </w:p>
        </w:tc>
        <w:tc>
          <w:tcPr>
            <w:tcW w:w="140" w:type="dxa"/>
            <w:vAlign w:val="bottom"/>
          </w:tcPr>
          <w:p>
            <w:pPr>
              <w:spacing w:after="0"/>
              <w:rPr>
                <w:sz w:val="24"/>
                <w:szCs w:val="24"/>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required by Rule 13a-14(a) or Rule 15d-</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20" w:type="dxa"/>
            <w:vAlign w:val="bottom"/>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14(a).</w:t>
            </w:r>
          </w:p>
        </w:tc>
        <w:tc>
          <w:tcPr>
            <w:tcW w:w="1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31.2</w:t>
            </w:r>
          </w:p>
        </w:tc>
        <w:tc>
          <w:tcPr>
            <w:tcW w:w="140" w:type="dxa"/>
            <w:vAlign w:val="bottom"/>
          </w:tcPr>
          <w:p>
            <w:pPr>
              <w:spacing w:after="0"/>
              <w:rPr>
                <w:sz w:val="24"/>
                <w:szCs w:val="24"/>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Interim Chief Financial Officer required by Rule 13a-14(a) or Rule</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5"/>
              </w:rPr>
              <w:t>15d-14(a).</w:t>
            </w:r>
          </w:p>
        </w:tc>
        <w:tc>
          <w:tcPr>
            <w:tcW w:w="20" w:type="dxa"/>
            <w:vAlign w:val="bottom"/>
            <w:tcBorders>
              <w:top w:val="single" w:sz="8" w:color="0000FF"/>
              <w:bottom w:val="single" w:sz="8" w:color="0000EE"/>
            </w:tcBorders>
          </w:tcPr>
          <w:p>
            <w:pPr>
              <w:spacing w:after="0"/>
              <w:rPr>
                <w:sz w:val="12"/>
                <w:szCs w:val="12"/>
                <w:color w:val="auto"/>
              </w:rPr>
            </w:pPr>
          </w:p>
        </w:tc>
        <w:tc>
          <w:tcPr>
            <w:tcW w:w="4720" w:type="dxa"/>
            <w:vAlign w:val="bottom"/>
            <w:tcBorders>
              <w:top w:val="single" w:sz="8" w:color="0000FF"/>
            </w:tcBorders>
            <w:gridSpan w:val="4"/>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7"/>
        </w:trPr>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32.1*</w:t>
            </w:r>
          </w:p>
        </w:tc>
        <w:tc>
          <w:tcPr>
            <w:tcW w:w="140" w:type="dxa"/>
            <w:vAlign w:val="bottom"/>
          </w:tcPr>
          <w:p>
            <w:pPr>
              <w:spacing w:after="0"/>
              <w:rPr>
                <w:sz w:val="24"/>
                <w:szCs w:val="24"/>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required by Rule 13a-14(b) or Rule 15d-14(b) and Section 1350 of</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Chapter 63 of Title 18 of the United States Code (18 U.S.C. §1350).</w:t>
            </w:r>
          </w:p>
        </w:tc>
        <w:tc>
          <w:tcPr>
            <w:tcW w:w="20" w:type="dxa"/>
            <w:vAlign w:val="bottom"/>
            <w:tcBorders>
              <w:top w:val="single" w:sz="8" w:color="0000FF"/>
              <w:bottom w:val="single" w:sz="8" w:color="0000EE"/>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3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32.2*</w:t>
            </w:r>
          </w:p>
        </w:tc>
        <w:tc>
          <w:tcPr>
            <w:tcW w:w="140" w:type="dxa"/>
            <w:vAlign w:val="bottom"/>
          </w:tcPr>
          <w:p>
            <w:pPr>
              <w:spacing w:after="0"/>
              <w:rPr>
                <w:sz w:val="24"/>
                <w:szCs w:val="24"/>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required by Rule 13a-14(b) or Rule 15d-14(b) and Section 1350 of</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Chapter 63 of Title 18 of the United States Code (18 U.S.C. §1350).</w:t>
            </w:r>
          </w:p>
        </w:tc>
        <w:tc>
          <w:tcPr>
            <w:tcW w:w="20" w:type="dxa"/>
            <w:vAlign w:val="bottom"/>
            <w:tcBorders>
              <w:top w:val="single" w:sz="8" w:color="0000FF"/>
              <w:bottom w:val="single" w:sz="8" w:color="0000EE"/>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3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40" w:type="dxa"/>
            <w:vAlign w:val="bottom"/>
          </w:tcPr>
          <w:p>
            <w:pPr>
              <w:spacing w:after="0"/>
              <w:rPr>
                <w:sz w:val="24"/>
                <w:szCs w:val="24"/>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8"/>
          </w:tcPr>
          <w:p>
            <w:pPr>
              <w:spacing w:after="0" w:line="175" w:lineRule="exact"/>
              <w:rPr>
                <w:sz w:val="20"/>
                <w:szCs w:val="20"/>
                <w:color w:val="auto"/>
              </w:rPr>
            </w:pPr>
            <w:r>
              <w:rPr>
                <w:rFonts w:ascii="Times New Roman" w:cs="Times New Roman" w:eastAsia="Times New Roman" w:hAnsi="Times New Roman"/>
                <w:sz w:val="16"/>
                <w:szCs w:val="16"/>
                <w:color w:val="auto"/>
              </w:rPr>
              <w:t>Interactive Date File because XBRL tags are embedded within the Inline XBRL</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document.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40" w:type="dxa"/>
            <w:vAlign w:val="bottom"/>
          </w:tcPr>
          <w:p>
            <w:pPr>
              <w:spacing w:after="0"/>
              <w:rPr>
                <w:sz w:val="24"/>
                <w:szCs w:val="24"/>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40" w:type="dxa"/>
            <w:vAlign w:val="bottom"/>
          </w:tcPr>
          <w:p>
            <w:pPr>
              <w:spacing w:after="0"/>
              <w:rPr>
                <w:sz w:val="24"/>
                <w:szCs w:val="24"/>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40" w:type="dxa"/>
            <w:vAlign w:val="bottom"/>
          </w:tcPr>
          <w:p>
            <w:pPr>
              <w:spacing w:after="0"/>
              <w:rPr>
                <w:sz w:val="24"/>
                <w:szCs w:val="24"/>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40" w:type="dxa"/>
            <w:vAlign w:val="bottom"/>
          </w:tcPr>
          <w:p>
            <w:pPr>
              <w:spacing w:after="0"/>
              <w:rPr>
                <w:sz w:val="24"/>
                <w:szCs w:val="24"/>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40" w:type="dxa"/>
            <w:vAlign w:val="bottom"/>
          </w:tcPr>
          <w:p>
            <w:pPr>
              <w:spacing w:after="0"/>
              <w:rPr>
                <w:sz w:val="24"/>
                <w:szCs w:val="24"/>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24"/>
                <w:szCs w:val="24"/>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6686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48" w:lineRule="exact"/>
        <w:rPr>
          <w:sz w:val="20"/>
          <w:szCs w:val="20"/>
          <w:color w:val="auto"/>
        </w:rPr>
      </w:pPr>
    </w:p>
    <w:p>
      <w:pPr>
        <w:ind w:right="80" w:firstLine="8"/>
        <w:spacing w:after="0" w:line="263" w:lineRule="auto"/>
        <w:tabs>
          <w:tab w:leader="none" w:pos="229"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and Exhibit 32.2 that accompany this Quarterly Report on Form 10-Q are not deemed filed with the Securities and Exchange Commission and are not to be incorporated by reference into any filing of Synlogic, Inc. under the Securities Act of 1933, as amended, or the Securities Exchange Act of 1934, as amended (whether made before or after the date of such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0" w:right="399" w:bottom="1440" w:gutter="0" w:footer="0" w:header="0"/>
        </w:sectPr>
      </w:pPr>
    </w:p>
    <w:bookmarkStart w:id="64" w:name="page65"/>
    <w:bookmarkEnd w:id="64"/>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198"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SYNLOGIC, INC.</w:t>
      </w:r>
    </w:p>
    <w:p>
      <w:pPr>
        <w:spacing w:after="0" w:line="266" w:lineRule="exact"/>
        <w:rPr>
          <w:sz w:val="20"/>
          <w:szCs w:val="20"/>
          <w:color w:val="auto"/>
        </w:rPr>
      </w:pPr>
    </w:p>
    <w:p>
      <w:pPr>
        <w:ind w:left="6880"/>
        <w:spacing w:after="0"/>
        <w:tabs>
          <w:tab w:leader="none" w:pos="7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17145</wp:posOffset>
            </wp:positionV>
            <wp:extent cx="24688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1"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Aoife Brennan</w:t>
      </w:r>
    </w:p>
    <w:p>
      <w:pPr>
        <w:spacing w:after="0" w:line="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6880"/>
        <w:spacing w:after="0"/>
        <w:tabs>
          <w:tab w:leader="none" w:pos="7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17145</wp:posOffset>
            </wp:positionV>
            <wp:extent cx="24688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21"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Michael Jensen</w:t>
      </w:r>
    </w:p>
    <w:p>
      <w:pPr>
        <w:spacing w:after="0" w:line="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Chief Financial Officer</w:t>
      </w:r>
    </w:p>
    <w:p>
      <w:pPr>
        <w:ind w:left="7360"/>
        <w:spacing w:after="0" w:line="231" w:lineRule="auto"/>
        <w:rPr>
          <w:sz w:val="20"/>
          <w:szCs w:val="20"/>
          <w:color w:val="auto"/>
        </w:rPr>
      </w:pPr>
      <w:r>
        <w:rPr>
          <w:rFonts w:ascii="Times New Roman" w:cs="Times New Roman" w:eastAsia="Times New Roman" w:hAnsi="Times New Roman"/>
          <w:sz w:val="18"/>
          <w:szCs w:val="18"/>
          <w:color w:val="auto"/>
        </w:rPr>
        <w:t>(Principal Financial Officer and Principal</w:t>
      </w:r>
    </w:p>
    <w:p>
      <w:pPr>
        <w:ind w:left="736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0" w:lineRule="exact"/>
        <w:rPr>
          <w:sz w:val="20"/>
          <w:szCs w:val="20"/>
          <w:color w:val="auto"/>
        </w:rPr>
      </w:pPr>
    </w:p>
    <w:p>
      <w:pPr>
        <w:spacing w:after="0" w:line="22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20" w:right="71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RULES 13a-14(a) OR 15d-14(a) UNDER</w:t>
      </w: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Aoife Brennan, certify that:</w:t>
      </w:r>
    </w:p>
    <w:p>
      <w:pPr>
        <w:spacing w:after="0" w:line="212"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Synlogic, Inc. (the “registrant”);</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Aoife Brennan</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340360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RULES 13a-14(a) OR 15d-14(a) UNDER</w:t>
      </w: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Jensen, certify that:</w:t>
      </w:r>
    </w:p>
    <w:p>
      <w:pPr>
        <w:spacing w:after="0" w:line="212"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Synlogic, Inc. (the “registrant”);</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Jensen</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340360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Synlogic, Inc. (the “Company”) on Form 10-Q for the period ended September 30, 2022 as filed with the Securities and Exchange Commission on the date hereof (the “Report”), I, Aoife Brennan, President and Chief Executive Officer of the Company, certify, pursuant to 18 U.S.C. Section 1350, as adopted pursuant to Section 906 of the Sarbanes-Oxley Act of 2002, to my knowledge that:</w:t>
      </w:r>
    </w:p>
    <w:p>
      <w:pPr>
        <w:spacing w:after="0" w:line="82"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8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Aoife Brennan</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2022</w:t>
      </w:r>
    </w:p>
    <w:p>
      <w:pPr>
        <w:spacing w:after="0" w:line="117"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right="4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Synlogic, Inc. (the “Company”) on Form 10-Q for the period ended September 30, 2022 as filed with the Securities and Exchange Commission on the date hereof (the “Report”), I, Michael Jensen, Chief Financial Officer of the Company, certify, pursuant to 18 U.S.C. Section 1350, as adopted pursuant to Section 906 of the Sarbanes-Oxley Act of 2002, to my knowledge that:</w:t>
      </w:r>
    </w:p>
    <w:p>
      <w:pPr>
        <w:spacing w:after="0" w:line="82"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8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Jensen</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2022</w:t>
      </w:r>
    </w:p>
    <w:p>
      <w:pPr>
        <w:spacing w:after="0" w:line="117"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2"/>
    </w:lvl>
  </w:abstractNum>
  <w:abstractNum w:abstractNumId="5">
    <w:nsid w:val="71F32454"/>
    <w:multiLevelType w:val="hybridMultilevel"/>
    <w:lvl w:ilvl="0">
      <w:lvlJc w:val="left"/>
      <w:lvlText w:val="(%1)"/>
      <w:numFmt w:val="decimal"/>
      <w:start w:val="3"/>
    </w:lvl>
  </w:abstractNum>
  <w:abstractNum w:abstractNumId="6">
    <w:nsid w:val="2CA88611"/>
    <w:multiLevelType w:val="hybridMultilevel"/>
    <w:lvl w:ilvl="0">
      <w:lvlJc w:val="left"/>
      <w:lvlText w:val="(%1)"/>
      <w:numFmt w:val="decimal"/>
      <w:start w:val="4"/>
    </w:lvl>
  </w:abstractNum>
  <w:abstractNum w:abstractNumId="7">
    <w:nsid w:val="836C40E"/>
    <w:multiLevelType w:val="hybridMultilevel"/>
    <w:lvl w:ilvl="0">
      <w:lvlJc w:val="left"/>
      <w:lvlText w:val="(%1)"/>
      <w:numFmt w:val="decimal"/>
      <w:start w:val="5"/>
    </w:lvl>
  </w:abstractNum>
  <w:abstractNum w:abstractNumId="8">
    <w:nsid w:val="2901D82"/>
    <w:multiLevelType w:val="hybridMultilevel"/>
    <w:lvl w:ilvl="0">
      <w:lvlJc w:val="left"/>
      <w:lvlText w:val="(%1)"/>
      <w:numFmt w:val="decimal"/>
      <w:start w:val="6"/>
    </w:lvl>
  </w:abstractNum>
  <w:abstractNum w:abstractNumId="9">
    <w:nsid w:val="3A95F874"/>
    <w:multiLevelType w:val="hybridMultilevel"/>
    <w:lvl w:ilvl="0">
      <w:lvlJc w:val="left"/>
      <w:lvlText w:val="(%1)"/>
      <w:numFmt w:val="decimal"/>
      <w:start w:val="7"/>
    </w:lvl>
  </w:abstractNum>
  <w:abstractNum w:abstractNumId="10">
    <w:nsid w:val="8138641"/>
    <w:multiLevelType w:val="hybridMultilevel"/>
    <w:lvl w:ilvl="0">
      <w:lvlJc w:val="left"/>
      <w:lvlText w:val="(%1)"/>
      <w:numFmt w:val="decimal"/>
      <w:start w:val="8"/>
    </w:lvl>
  </w:abstractNum>
  <w:abstractNum w:abstractNumId="11">
    <w:nsid w:val="1E7FF521"/>
    <w:multiLevelType w:val="hybridMultilevel"/>
    <w:lvl w:ilvl="0">
      <w:lvlJc w:val="left"/>
      <w:lvlText w:val="(%1)"/>
      <w:numFmt w:val="decimal"/>
      <w:start w:val="9"/>
    </w:lvl>
  </w:abstractNum>
  <w:abstractNum w:abstractNumId="12">
    <w:nsid w:val="7C3DBD3D"/>
    <w:multiLevelType w:val="hybridMultilevel"/>
    <w:lvl w:ilvl="0">
      <w:lvlJc w:val="left"/>
      <w:lvlText w:val="(%1)"/>
      <w:numFmt w:val="decimal"/>
      <w:start w:val="10"/>
    </w:lvl>
  </w:abstractNum>
  <w:abstractNum w:abstractNumId="13">
    <w:nsid w:val="737B8DDC"/>
    <w:multiLevelType w:val="hybridMultilevel"/>
    <w:lvl w:ilvl="0">
      <w:lvlJc w:val="left"/>
      <w:lvlText w:val="(%1)"/>
      <w:numFmt w:val="decimal"/>
      <w:start w:val="11"/>
    </w:lvl>
  </w:abstractNum>
  <w:abstractNum w:abstractNumId="14">
    <w:nsid w:val="6CEAF087"/>
    <w:multiLevelType w:val="hybridMultilevel"/>
    <w:lvl w:ilvl="0">
      <w:lvlJc w:val="left"/>
      <w:lvlText w:val="(%1)"/>
      <w:numFmt w:val="decimal"/>
      <w:start w:val="12"/>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2022-11-10T05:53:44Z</dcterms:created>
  <dcterms:modified xsi:type="dcterms:W3CDTF">2022-11-10T05:53:44Z</dcterms:modified>
</cp:coreProperties>
</file>