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540" w:right="260" w:hanging="519"/>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62"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40"/>
        <w:spacing w:after="0"/>
        <w:tabs>
          <w:tab w:leader="none" w:pos="57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227"/>
        </w:trPr>
        <w:tc>
          <w:tcPr>
            <w:tcW w:w="35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560" w:type="dxa"/>
            <w:vAlign w:val="bottom"/>
          </w:tcPr>
          <w:p>
            <w:pPr>
              <w:jc w:val="center"/>
              <w:ind w:left="149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49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80"/>
        </w:trPr>
        <w:tc>
          <w:tcPr>
            <w:tcW w:w="7880" w:type="dxa"/>
            <w:vAlign w:val="bottom"/>
            <w:gridSpan w:val="6"/>
          </w:tcPr>
          <w:p>
            <w:pPr>
              <w:jc w:val="center"/>
              <w:ind w:right="272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w w:val="92"/>
              </w:rPr>
              <w:t>Trading Symbol</w:t>
            </w: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0"/>
              </w:rPr>
              <w:t>Name of exchange on which registered</w:t>
            </w:r>
          </w:p>
        </w:tc>
        <w:tc>
          <w:tcPr>
            <w:tcW w:w="0" w:type="dxa"/>
            <w:vAlign w:val="bottom"/>
          </w:tcPr>
          <w:p>
            <w:pPr>
              <w:spacing w:after="0"/>
              <w:rPr>
                <w:sz w:val="1"/>
                <w:szCs w:val="1"/>
                <w:color w:val="auto"/>
              </w:rPr>
            </w:pPr>
          </w:p>
        </w:tc>
      </w:tr>
      <w:tr>
        <w:trPr>
          <w:trHeight w:val="203"/>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92"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41" w:right="339" w:bottom="1440" w:gutter="0" w:footer="0" w:header="0"/>
        </w:sectPr>
      </w:pPr>
    </w:p>
    <w:p>
      <w:pPr>
        <w:spacing w:after="0" w:line="104" w:lineRule="exact"/>
        <w:rPr>
          <w:sz w:val="24"/>
          <w:szCs w:val="24"/>
          <w:color w:val="auto"/>
        </w:rPr>
      </w:pPr>
    </w:p>
    <w:p>
      <w:pPr>
        <w:ind w:left="20"/>
        <w:spacing w:after="0" w:line="184" w:lineRule="exact"/>
        <w:tabs>
          <w:tab w:leader="none" w:pos="2500" w:val="left"/>
          <w:tab w:leader="none" w:pos="74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Accelerated filer</w:t>
      </w:r>
    </w:p>
    <w:p>
      <w:pPr>
        <w:spacing w:after="0" w:line="86" w:lineRule="exact"/>
        <w:rPr>
          <w:sz w:val="24"/>
          <w:szCs w:val="24"/>
          <w:color w:val="auto"/>
        </w:rPr>
      </w:pPr>
    </w:p>
    <w:p>
      <w:pPr>
        <w:ind w:left="20"/>
        <w:spacing w:after="0" w:line="184" w:lineRule="exact"/>
        <w:tabs>
          <w:tab w:leader="none" w:pos="2500" w:val="left"/>
          <w:tab w:leader="none" w:pos="748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46" w:lineRule="exact"/>
        <w:rPr>
          <w:sz w:val="24"/>
          <w:szCs w:val="24"/>
          <w:color w:val="auto"/>
        </w:rPr>
      </w:pPr>
    </w:p>
    <w:p>
      <w:pPr>
        <w:ind w:left="7500"/>
        <w:spacing w:after="0"/>
        <w:rPr>
          <w:sz w:val="20"/>
          <w:szCs w:val="20"/>
          <w:color w:val="auto"/>
        </w:rPr>
      </w:pPr>
      <w:r>
        <w:rPr>
          <w:rFonts w:ascii="Arial" w:cs="Arial" w:eastAsia="Arial" w:hAnsi="Arial"/>
          <w:sz w:val="16"/>
          <w:szCs w:val="16"/>
          <w:color w:val="auto"/>
        </w:rPr>
        <w:t>Emerging growth company</w:t>
      </w:r>
    </w:p>
    <w:p>
      <w:pPr>
        <w:spacing w:after="0" w:line="126"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right="2100"/>
        <w:spacing w:after="0" w:line="28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4, 2023, there were 68,211,278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60" w:space="260"/>
            <w:col w:w="320"/>
          </w:cols>
          <w:pgMar w:left="320" w:top="341"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(COVID-19) or by other health epidemics or pandemics;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399"/>
        </w:trPr>
        <w:tc>
          <w:tcPr>
            <w:tcW w:w="1058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6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auto"/>
              </w:rPr>
              <w:t>Item 1. Financial Statements</w:t>
            </w:r>
          </w:p>
        </w:tc>
        <w:tc>
          <w:tcPr>
            <w:tcW w:w="66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Balance Sheets</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Operations and Comprehensive Loss</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Stockholders’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Unaudited Consolidated Statements of Cash Flows</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0000FF"/>
              </w:rPr>
              <w:t>Notes to Unaudited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4. 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0580" w:type="dxa"/>
            <w:vAlign w:val="bottom"/>
            <w:gridSpan w:val="17"/>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66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1. 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1A. 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3. Defaults Upon Senior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4. 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5. 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4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8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581"/>
        </w:trPr>
        <w:tc>
          <w:tcPr>
            <w:tcW w:w="28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6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31,829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61,768</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62,359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79,782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Right of use asset - operating lease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14,356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Prepaid research and development, net of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93,443</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Lease liability - operating lease</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4,152</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obligations</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Lease liability - operating lease, net of current portion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14,993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16,129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 obligations, net of current portion</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$0.001 par value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380"/>
              <w:spacing w:after="0"/>
              <w:rPr>
                <w:sz w:val="20"/>
                <w:szCs w:val="20"/>
                <w:color w:val="auto"/>
              </w:rPr>
            </w:pPr>
            <w:r>
              <w:rPr>
                <w:rFonts w:ascii="Arial" w:cs="Arial" w:eastAsia="Arial" w:hAnsi="Arial"/>
                <w:sz w:val="18"/>
                <w:szCs w:val="18"/>
                <w:color w:val="auto"/>
              </w:rPr>
              <w:t>250,000,000 shares authorized as of March 31, 2023 and December 31, 2022.</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480"/>
              <w:spacing w:after="0"/>
              <w:rPr>
                <w:sz w:val="20"/>
                <w:szCs w:val="20"/>
                <w:color w:val="auto"/>
              </w:rPr>
            </w:pPr>
            <w:r>
              <w:rPr>
                <w:rFonts w:ascii="Arial" w:cs="Arial" w:eastAsia="Arial" w:hAnsi="Arial"/>
                <w:sz w:val="18"/>
                <w:szCs w:val="18"/>
                <w:color w:val="auto"/>
              </w:rPr>
              <w:t>72,238,745 shares issued and 68,041,856 shares outstanding as of March 31, 2023 and</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color w:val="auto"/>
              </w:rPr>
              <w:t>70,933,140 shares issued and 66,736,251 shares outstanding as of December 31, 2022.</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443,829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442,237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(161 )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(372,641 )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(357,019 )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Treasury stock, at cost (4,196,889 shares at March 31, 2023 and at December 31, 2022)</w:t>
            </w:r>
          </w:p>
        </w:tc>
        <w:tc>
          <w:tcPr>
            <w:tcW w:w="2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(2,518 )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(2,518 )</w:t>
            </w: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68,712</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82,610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93,443</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-4868545</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-4868545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-3934460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-3934460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-2665095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-2665095</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-2031365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-2031365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gridSpan w:val="5"/>
          </w:tcPr>
          <w:p>
            <w:pPr>
              <w:jc w:val="right"/>
              <w:ind w:right="1190"/>
              <w:spacing w:after="0"/>
              <w:rPr>
                <w:sz w:val="20"/>
                <w:szCs w:val="20"/>
                <w:color w:val="auto"/>
              </w:rPr>
            </w:pPr>
            <w:r>
              <w:rPr>
                <w:rFonts w:ascii="Arial" w:cs="Arial" w:eastAsia="Arial" w:hAnsi="Arial"/>
                <w:sz w:val="14"/>
                <w:szCs w:val="14"/>
                <w:b w:val="1"/>
                <w:bCs w:val="1"/>
                <w:color w:val="auto"/>
              </w:rPr>
              <w:t>For the Three Months Ended</w:t>
            </w:r>
          </w:p>
        </w:tc>
      </w:tr>
      <w:tr>
        <w:trPr>
          <w:trHeight w:val="169"/>
        </w:trPr>
        <w:tc>
          <w:tcPr>
            <w:tcW w:w="70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jc w:val="right"/>
              <w:ind w:right="721"/>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r>
      <w:tr>
        <w:trPr>
          <w:trHeight w:val="237"/>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20"/>
                <w:szCs w:val="20"/>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11,738</w:t>
            </w:r>
          </w:p>
        </w:tc>
        <w:tc>
          <w:tcPr>
            <w:tcW w:w="140" w:type="dxa"/>
            <w:vAlign w:val="bottom"/>
            <w:shd w:val="clear" w:color="auto" w:fill="CFF0FC"/>
          </w:tcPr>
          <w:p>
            <w:pPr>
              <w:spacing w:after="0"/>
              <w:rPr>
                <w:sz w:val="21"/>
                <w:szCs w:val="21"/>
                <w:color w:val="auto"/>
              </w:rPr>
            </w:pPr>
          </w:p>
        </w:tc>
      </w:tr>
      <w:tr>
        <w:trPr>
          <w:trHeight w:val="237"/>
        </w:trPr>
        <w:tc>
          <w:tcPr>
            <w:tcW w:w="70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40" w:type="dxa"/>
            <w:vAlign w:val="bottom"/>
          </w:tcPr>
          <w:p>
            <w:pPr>
              <w:spacing w:after="0"/>
              <w:rPr>
                <w:sz w:val="20"/>
                <w:szCs w:val="20"/>
                <w:color w:val="auto"/>
              </w:rPr>
            </w:pPr>
          </w:p>
        </w:tc>
      </w:tr>
      <w:tr>
        <w:trPr>
          <w:trHeight w:val="237"/>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16,417</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920" w:type="dxa"/>
            <w:vAlign w:val="bottom"/>
            <w:gridSpan w:val="2"/>
          </w:tcPr>
          <w:p>
            <w:pPr>
              <w:jc w:val="right"/>
              <w:ind w:right="201"/>
              <w:spacing w:after="0"/>
              <w:rPr>
                <w:sz w:val="20"/>
                <w:szCs w:val="20"/>
                <w:color w:val="auto"/>
              </w:rPr>
            </w:pPr>
            <w:r>
              <w:rPr>
                <w:rFonts w:ascii="Arial" w:cs="Arial" w:eastAsia="Arial" w:hAnsi="Arial"/>
                <w:sz w:val="18"/>
                <w:szCs w:val="18"/>
                <w:color w:val="auto"/>
              </w:rPr>
              <w:t>(16,243 )</w:t>
            </w:r>
          </w:p>
        </w:tc>
        <w:tc>
          <w:tcPr>
            <w:tcW w:w="2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(15,765 )</w:t>
            </w:r>
          </w:p>
        </w:tc>
      </w:tr>
      <w:tr>
        <w:trPr>
          <w:trHeight w:val="24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040" w:type="dxa"/>
            <w:vAlign w:val="bottom"/>
          </w:tcPr>
          <w:p>
            <w:pPr>
              <w:ind w:left="3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0"/>
                <w:szCs w:val="20"/>
                <w:color w:val="auto"/>
              </w:rPr>
            </w:pPr>
          </w:p>
        </w:tc>
      </w:tr>
      <w:tr>
        <w:trPr>
          <w:trHeight w:val="249"/>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(1 )</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704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920" w:type="dxa"/>
            <w:vAlign w:val="bottom"/>
            <w:gridSpan w:val="2"/>
          </w:tcPr>
          <w:p>
            <w:pPr>
              <w:jc w:val="right"/>
              <w:ind w:right="201"/>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r>
      <w:tr>
        <w:trPr>
          <w:trHeight w:val="237"/>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01"/>
              <w:spacing w:after="0"/>
              <w:rPr>
                <w:sz w:val="20"/>
                <w:szCs w:val="20"/>
                <w:color w:val="auto"/>
              </w:rPr>
            </w:pPr>
            <w:r>
              <w:rPr>
                <w:rFonts w:ascii="Arial" w:cs="Arial" w:eastAsia="Arial" w:hAnsi="Arial"/>
                <w:sz w:val="18"/>
                <w:szCs w:val="18"/>
                <w:color w:val="auto"/>
              </w:rPr>
              <w:t>(15,622 )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(15,697 )</w:t>
            </w:r>
          </w:p>
        </w:tc>
      </w:tr>
      <w:tr>
        <w:trPr>
          <w:trHeight w:val="20"/>
        </w:trPr>
        <w:tc>
          <w:tcPr>
            <w:tcW w:w="7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spacing w:after="0"/>
              <w:rPr>
                <w:sz w:val="19"/>
                <w:szCs w:val="19"/>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01"/>
              <w:spacing w:after="0"/>
              <w:rPr>
                <w:sz w:val="20"/>
                <w:szCs w:val="20"/>
                <w:color w:val="auto"/>
              </w:rPr>
            </w:pPr>
            <w:r>
              <w:rPr>
                <w:rFonts w:ascii="Arial" w:cs="Arial" w:eastAsia="Arial" w:hAnsi="Arial"/>
                <w:sz w:val="18"/>
                <w:szCs w:val="18"/>
                <w:color w:val="auto"/>
              </w:rPr>
              <w:t>(0.23 )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(0.22 )</w:t>
            </w:r>
          </w:p>
        </w:tc>
      </w:tr>
      <w:tr>
        <w:trPr>
          <w:trHeight w:val="20"/>
        </w:trPr>
        <w:tc>
          <w:tcPr>
            <w:tcW w:w="7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7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Weighted-average common stock outstanding -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69,070,211</w:t>
            </w:r>
          </w:p>
        </w:tc>
        <w:tc>
          <w:tcPr>
            <w:tcW w:w="3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71,969,007</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4"/>
        </w:trPr>
        <w:tc>
          <w:tcPr>
            <w:tcW w:w="70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(15,622 )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(15,697 )</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Net unrealized (loss) gain on marketable securities</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(300 )</w:t>
            </w:r>
          </w:p>
        </w:tc>
      </w:tr>
      <w:tr>
        <w:trPr>
          <w:trHeight w:val="277"/>
        </w:trPr>
        <w:tc>
          <w:tcPr>
            <w:tcW w:w="7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(15,491</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-2296795</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-2296795</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-1353820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-1353820</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-676910</wp:posOffset>
            </wp:positionV>
            <wp:extent cx="149161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1615" cy="18034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2"/>
              </w:rPr>
              <w:t>d</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7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2"/>
                <w:szCs w:val="12"/>
                <w:color w:val="auto"/>
              </w:rPr>
            </w:pPr>
          </w:p>
        </w:tc>
        <w:tc>
          <w:tcPr>
            <w:tcW w:w="7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other</w:t>
            </w:r>
          </w:p>
        </w:tc>
        <w:tc>
          <w:tcPr>
            <w:tcW w:w="106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w w:val="90"/>
              </w:rPr>
              <w:t>Accumulate</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comprehensi</w:t>
            </w:r>
          </w:p>
        </w:tc>
        <w:tc>
          <w:tcPr>
            <w:tcW w:w="1060" w:type="dxa"/>
            <w:vAlign w:val="bottom"/>
            <w:gridSpan w:val="2"/>
            <w:vMerge w:val="continue"/>
          </w:tcPr>
          <w:p>
            <w:pPr>
              <w:spacing w:after="0"/>
              <w:rPr>
                <w:sz w:val="12"/>
                <w:szCs w:val="12"/>
                <w:color w:val="auto"/>
              </w:rPr>
            </w:pPr>
          </w:p>
        </w:tc>
        <w:tc>
          <w:tcPr>
            <w:tcW w:w="190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8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7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$0.001 par value</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paid-in</w:t>
            </w:r>
          </w:p>
        </w:tc>
        <w:tc>
          <w:tcPr>
            <w:tcW w:w="240" w:type="dxa"/>
            <w:vAlign w:val="bottom"/>
          </w:tcPr>
          <w:p>
            <w:pPr>
              <w:spacing w:after="0"/>
              <w:rPr>
                <w:sz w:val="15"/>
                <w:szCs w:val="15"/>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ve</w:t>
            </w:r>
          </w:p>
        </w:tc>
        <w:tc>
          <w:tcPr>
            <w:tcW w:w="180" w:type="dxa"/>
            <w:vAlign w:val="bottom"/>
          </w:tcPr>
          <w:p>
            <w:pPr>
              <w:spacing w:after="0"/>
              <w:rPr>
                <w:sz w:val="15"/>
                <w:szCs w:val="15"/>
                <w:color w:val="auto"/>
              </w:rPr>
            </w:pPr>
          </w:p>
        </w:tc>
        <w:tc>
          <w:tcPr>
            <w:tcW w:w="88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d</w:t>
            </w:r>
          </w:p>
        </w:tc>
        <w:tc>
          <w:tcPr>
            <w:tcW w:w="19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capital</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2"/>
              </w:rPr>
              <w:t>deficit</w:t>
            </w: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70,933,140</w:t>
            </w:r>
          </w:p>
        </w:tc>
        <w:tc>
          <w:tcPr>
            <w:tcW w:w="74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71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442,237</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(357,019 )</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(4,196,889 )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82,610</w:t>
            </w:r>
          </w:p>
        </w:tc>
        <w:tc>
          <w:tcPr>
            <w:tcW w:w="0" w:type="dxa"/>
            <w:vAlign w:val="bottom"/>
          </w:tcPr>
          <w:p>
            <w:pPr>
              <w:spacing w:after="0"/>
              <w:rPr>
                <w:sz w:val="1"/>
                <w:szCs w:val="1"/>
                <w:color w:val="auto"/>
              </w:rPr>
            </w:pPr>
          </w:p>
        </w:tc>
      </w:tr>
      <w:tr>
        <w:trPr>
          <w:trHeight w:val="143"/>
        </w:trPr>
        <w:tc>
          <w:tcPr>
            <w:tcW w:w="3400" w:type="dxa"/>
            <w:vAlign w:val="bottom"/>
          </w:tcPr>
          <w:p>
            <w:pPr>
              <w:ind w:left="20"/>
              <w:spacing w:after="0" w:line="143" w:lineRule="exact"/>
              <w:rPr>
                <w:sz w:val="20"/>
                <w:szCs w:val="20"/>
                <w:color w:val="auto"/>
              </w:rPr>
            </w:pPr>
            <w:r>
              <w:rPr>
                <w:rFonts w:ascii="Arial" w:cs="Arial" w:eastAsia="Arial" w:hAnsi="Arial"/>
                <w:sz w:val="14"/>
                <w:szCs w:val="14"/>
                <w:color w:val="auto"/>
                <w:w w:val="97"/>
              </w:rPr>
              <w:t>Proceeds from issuance of common stock in connection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4"/>
                <w:szCs w:val="14"/>
                <w:color w:val="auto"/>
              </w:rPr>
              <w:t>with at-the-market offering, net of issuance costs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1,033,398</w:t>
            </w:r>
          </w:p>
        </w:tc>
        <w:tc>
          <w:tcPr>
            <w:tcW w:w="740" w:type="dxa"/>
            <w:vAlign w:val="bottom"/>
          </w:tcPr>
          <w:p>
            <w:pPr>
              <w:spacing w:after="0"/>
              <w:rPr>
                <w:sz w:val="15"/>
                <w:szCs w:val="15"/>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815</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restricted stock</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162,210</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40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0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109,997</w:t>
            </w:r>
          </w:p>
        </w:tc>
        <w:tc>
          <w:tcPr>
            <w:tcW w:w="740" w:type="dxa"/>
            <w:vAlign w:val="bottom"/>
          </w:tcPr>
          <w:p>
            <w:pPr>
              <w:spacing w:after="0"/>
              <w:rPr>
                <w:sz w:val="15"/>
                <w:szCs w:val="15"/>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Equity-based compensation expense</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718</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Arial" w:cs="Arial" w:eastAsia="Arial" w:hAnsi="Arial"/>
                <w:sz w:val="14"/>
                <w:szCs w:val="14"/>
                <w:color w:val="auto"/>
              </w:rPr>
              <w:t>Unrealized gain (loss) on securities</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80" w:type="dxa"/>
            <w:vAlign w:val="bottom"/>
          </w:tcPr>
          <w:p>
            <w:pPr>
              <w:spacing w:after="0"/>
              <w:rPr>
                <w:sz w:val="15"/>
                <w:szCs w:val="15"/>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5"/>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(15,622 )</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(15,622 )</w:t>
            </w:r>
          </w:p>
        </w:tc>
        <w:tc>
          <w:tcPr>
            <w:tcW w:w="0" w:type="dxa"/>
            <w:vAlign w:val="bottom"/>
          </w:tcPr>
          <w:p>
            <w:pPr>
              <w:spacing w:after="0"/>
              <w:rPr>
                <w:sz w:val="1"/>
                <w:szCs w:val="1"/>
                <w:color w:val="auto"/>
              </w:rPr>
            </w:pPr>
          </w:p>
        </w:tc>
      </w:tr>
      <w:tr>
        <w:trPr>
          <w:trHeight w:val="169"/>
        </w:trPr>
        <w:tc>
          <w:tcPr>
            <w:tcW w:w="3400" w:type="dxa"/>
            <w:vAlign w:val="bottom"/>
          </w:tcPr>
          <w:p>
            <w:pPr>
              <w:ind w:left="20"/>
              <w:spacing w:after="0"/>
              <w:rPr>
                <w:sz w:val="20"/>
                <w:szCs w:val="20"/>
                <w:color w:val="auto"/>
              </w:rPr>
            </w:pPr>
            <w:r>
              <w:rPr>
                <w:rFonts w:ascii="Arial" w:cs="Arial" w:eastAsia="Arial" w:hAnsi="Arial"/>
                <w:sz w:val="14"/>
                <w:szCs w:val="14"/>
                <w:color w:val="auto"/>
              </w:rPr>
              <w:t>Balance at March 31, 2023</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72,238,745</w:t>
            </w:r>
          </w:p>
        </w:tc>
        <w:tc>
          <w:tcPr>
            <w:tcW w:w="7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72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443,829</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(372,641 )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(4,196,889 )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68,712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337" w:right="339" w:bottom="1440" w:gutter="0" w:footer="0" w:header="0"/>
        </w:sectPr>
      </w:pPr>
    </w:p>
    <w:p>
      <w:pPr>
        <w:ind w:left="20" w:right="1060"/>
        <w:spacing w:after="0" w:line="264" w:lineRule="auto"/>
        <w:rPr>
          <w:sz w:val="20"/>
          <w:szCs w:val="20"/>
          <w:color w:val="auto"/>
        </w:rPr>
      </w:pPr>
      <w:r>
        <w:rPr>
          <w:rFonts w:ascii="Arial" w:cs="Arial" w:eastAsia="Arial" w:hAnsi="Arial"/>
          <w:sz w:val="14"/>
          <w:szCs w:val="14"/>
          <w:color w:val="auto"/>
        </w:rPr>
        <w:t>Balance at December 31, 2021 Exercise of options Issuance of restricted stock</w:t>
      </w:r>
    </w:p>
    <w:p>
      <w:pPr>
        <w:spacing w:after="0" w:line="2" w:lineRule="exact"/>
        <w:rPr>
          <w:sz w:val="20"/>
          <w:szCs w:val="20"/>
          <w:color w:val="auto"/>
        </w:rPr>
      </w:pPr>
    </w:p>
    <w:p>
      <w:pPr>
        <w:ind w:left="20"/>
        <w:spacing w:after="0" w:line="241" w:lineRule="auto"/>
        <w:rPr>
          <w:sz w:val="20"/>
          <w:szCs w:val="20"/>
          <w:color w:val="auto"/>
        </w:rPr>
      </w:pPr>
      <w:r>
        <w:rPr>
          <w:rFonts w:ascii="Arial" w:cs="Arial" w:eastAsia="Arial" w:hAnsi="Arial"/>
          <w:sz w:val="14"/>
          <w:szCs w:val="14"/>
          <w:color w:val="auto"/>
        </w:rPr>
        <w:t>Issuance of common stock under employee stock purchase plan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Cancellation of restricted stock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Equity-based compensation expense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 (loss) on securities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69,698,844</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438,113</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(45 )</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8"/>
              <w:spacing w:after="0"/>
              <w:rPr>
                <w:sz w:val="20"/>
                <w:szCs w:val="20"/>
                <w:color w:val="auto"/>
              </w:rPr>
            </w:pPr>
            <w:r>
              <w:rPr>
                <w:rFonts w:ascii="Arial" w:cs="Arial" w:eastAsia="Arial" w:hAnsi="Arial"/>
                <w:sz w:val="14"/>
                <w:szCs w:val="14"/>
                <w:color w:val="auto"/>
              </w:rPr>
              <w:t>(290,872 )</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147,266</w:t>
            </w:r>
          </w:p>
        </w:tc>
      </w:tr>
      <w:tr>
        <w:trPr>
          <w:trHeight w:val="175"/>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30,622</w:t>
            </w:r>
          </w:p>
        </w:tc>
        <w:tc>
          <w:tcPr>
            <w:tcW w:w="4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4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52</w:t>
            </w:r>
          </w:p>
        </w:tc>
      </w:tr>
      <w:tr>
        <w:trPr>
          <w:trHeight w:val="182"/>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507,260</w:t>
            </w:r>
          </w:p>
        </w:tc>
        <w:tc>
          <w:tcPr>
            <w:tcW w:w="4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317"/>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40,528</w:t>
            </w:r>
          </w:p>
        </w:tc>
        <w:tc>
          <w:tcPr>
            <w:tcW w:w="42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4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w:t>
            </w:r>
          </w:p>
        </w:tc>
      </w:tr>
      <w:tr>
        <w:trPr>
          <w:trHeight w:val="175"/>
        </w:trPr>
        <w:tc>
          <w:tcPr>
            <w:tcW w:w="980" w:type="dxa"/>
            <w:vAlign w:val="bottom"/>
          </w:tcPr>
          <w:p>
            <w:pPr>
              <w:jc w:val="right"/>
              <w:spacing w:after="0"/>
              <w:rPr>
                <w:sz w:val="20"/>
                <w:szCs w:val="20"/>
                <w:color w:val="auto"/>
              </w:rPr>
            </w:pPr>
            <w:r>
              <w:rPr>
                <w:rFonts w:ascii="Arial" w:cs="Arial" w:eastAsia="Arial" w:hAnsi="Arial"/>
                <w:sz w:val="14"/>
                <w:szCs w:val="14"/>
                <w:color w:val="auto"/>
              </w:rPr>
              <w:t>(9,668 )</w:t>
            </w:r>
          </w:p>
        </w:tc>
        <w:tc>
          <w:tcPr>
            <w:tcW w:w="4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890</w:t>
            </w:r>
          </w:p>
        </w:tc>
        <w:tc>
          <w:tcPr>
            <w:tcW w:w="4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890</w:t>
            </w:r>
          </w:p>
        </w:tc>
      </w:tr>
      <w:tr>
        <w:trPr>
          <w:trHeight w:val="175"/>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(300 )</w:t>
            </w:r>
          </w:p>
        </w:tc>
        <w:tc>
          <w:tcPr>
            <w:tcW w:w="22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(300 )</w:t>
            </w:r>
          </w:p>
        </w:tc>
      </w:tr>
      <w:tr>
        <w:trPr>
          <w:trHeight w:val="181"/>
        </w:trPr>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(15,697 )</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(15,697 )</w:t>
            </w:r>
          </w:p>
        </w:tc>
      </w:tr>
      <w:tr>
        <w:trPr>
          <w:trHeight w:val="169"/>
        </w:trPr>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70,267,586</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439,138</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(345 )</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(306,569 )</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132,294</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-1130935</wp:posOffset>
            </wp:positionV>
            <wp:extent cx="713232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-908050</wp:posOffset>
            </wp:positionV>
            <wp:extent cx="7132320" cy="111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-591185</wp:posOffset>
            </wp:positionV>
            <wp:extent cx="7132320"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-367665</wp:posOffset>
            </wp:positionV>
            <wp:extent cx="7132320"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-136525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540"/>
            <w:col w:w="7840"/>
          </w:cols>
          <w:pgMar w:left="320" w:top="337"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57" w:lineRule="exact"/>
        <w:rPr>
          <w:sz w:val="20"/>
          <w:szCs w:val="20"/>
          <w:color w:val="auto"/>
        </w:rPr>
      </w:pPr>
    </w:p>
    <w:p>
      <w:pPr>
        <w:jc w:val="center"/>
        <w:ind w:left="750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22225</wp:posOffset>
            </wp:positionV>
            <wp:extent cx="11226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March 31, 2023</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22225</wp:posOffset>
            </wp:positionV>
            <wp:extent cx="1071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March 31, 2022</w:t>
      </w:r>
    </w:p>
    <w:p>
      <w:pPr>
        <w:spacing w:after="0" w:line="24" w:lineRule="exact"/>
        <w:rPr>
          <w:sz w:val="20"/>
          <w:szCs w:val="20"/>
          <w:color w:val="auto"/>
        </w:rPr>
      </w:pPr>
    </w:p>
    <w:p>
      <w:pPr>
        <w:sectPr>
          <w:pgSz w:w="11900" w:h="16838" w:orient="portrait"/>
          <w:cols w:equalWidth="0" w:num="2">
            <w:col w:w="8880" w:space="720"/>
            <w:col w:w="16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3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(15,622 )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(15,697 )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(Gain)/loss on disposal of property and equipment</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Accretion/amortization of investment securities</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(327 )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(11 )</w:t>
            </w: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Change in carrying amount of operating lease right of use asset</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(2,838 )</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research and development, net of current portion</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(1,233 )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(488 )</w:t>
            </w: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(2,378 )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(1,387 )</w:t>
            </w:r>
          </w:p>
        </w:tc>
      </w:tr>
      <w:tr>
        <w:trPr>
          <w:trHeight w:val="249"/>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(190 )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(217 )</w:t>
            </w:r>
          </w:p>
        </w:tc>
      </w:tr>
      <w:tr>
        <w:trPr>
          <w:trHeight w:val="237"/>
        </w:trPr>
        <w:tc>
          <w:tcPr>
            <w:tcW w:w="730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(994 )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(739 )</w:t>
            </w:r>
          </w:p>
        </w:tc>
      </w:tr>
      <w:tr>
        <w:trPr>
          <w:trHeight w:val="243"/>
        </w:trPr>
        <w:tc>
          <w:tcPr>
            <w:tcW w:w="73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6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(15 )</w:t>
            </w: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(19 )</w:t>
            </w:r>
          </w:p>
        </w:tc>
      </w:tr>
      <w:tr>
        <w:trPr>
          <w:trHeight w:val="20"/>
        </w:trPr>
        <w:tc>
          <w:tcPr>
            <w:tcW w:w="7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(21,505 )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(15,477 )</w:t>
            </w: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66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(12,121 )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maturity of marketable securities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30,397</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(143 )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(477 )</w:t>
            </w:r>
          </w:p>
        </w:tc>
      </w:tr>
      <w:tr>
        <w:trPr>
          <w:trHeight w:val="243"/>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6"/>
        </w:trPr>
        <w:tc>
          <w:tcPr>
            <w:tcW w:w="7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6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30,270</w:t>
            </w:r>
          </w:p>
        </w:tc>
        <w:tc>
          <w:tcPr>
            <w:tcW w:w="36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19,758</w:t>
            </w:r>
          </w:p>
        </w:tc>
        <w:tc>
          <w:tcPr>
            <w:tcW w:w="140" w:type="dxa"/>
            <w:vAlign w:val="bottom"/>
            <w:tcBorders>
              <w:top w:val="single" w:sz="8" w:color="CFF0FC"/>
            </w:tcBorders>
          </w:tcPr>
          <w:p>
            <w:pPr>
              <w:spacing w:after="0"/>
              <w:rPr>
                <w:sz w:val="20"/>
                <w:szCs w:val="20"/>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Payments on finance lease obligations</w:t>
            </w:r>
          </w:p>
        </w:tc>
        <w:tc>
          <w:tcPr>
            <w:tcW w:w="6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(2 )</w:t>
            </w:r>
          </w:p>
        </w:tc>
        <w:tc>
          <w:tcPr>
            <w:tcW w:w="6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r>
      <w:tr>
        <w:trPr>
          <w:trHeight w:val="221"/>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Proceeds from issuance of common stock in connection with at-the-market offering, net of</w:t>
            </w: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costs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4,413</w:t>
            </w:r>
          </w:p>
        </w:tc>
        <w:tc>
          <w:tcPr>
            <w:tcW w:w="14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16,958</w:t>
            </w:r>
          </w:p>
        </w:tc>
        <w:tc>
          <w:tcPr>
            <w:tcW w:w="3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26,636</w:t>
            </w:r>
          </w:p>
        </w:tc>
        <w:tc>
          <w:tcPr>
            <w:tcW w:w="36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21,948</w:t>
            </w:r>
          </w:p>
        </w:tc>
        <w:tc>
          <w:tcPr>
            <w:tcW w:w="14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Assets acquired under operating lease obligation</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Issuance costs included in accounts payable and accrued expenses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interest</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-3616960</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-3616960</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-2673985</wp:posOffset>
            </wp:positionV>
            <wp:extent cx="857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-2673985</wp:posOffset>
            </wp:positionV>
            <wp:extent cx="857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-1585595</wp:posOffset>
            </wp:positionV>
            <wp:extent cx="8572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-1585595</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-1268095</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At March 31, 2023, the Company had approximately $57.4 million in cash, cash equivalents, and short-term marketable securities, $1.1 million of restricted cash and an accumulated deficit of approximately $372.6 million. Since its inception through March 31, 2023, the Company has primarily financed its operations through the issuance of preferred stock, units and warrants, the sale of its common stock, and collaborations, including with Roche. In the absence of positive cash flows from operations, the Company is highly dependent on its ability to find additional sources of funding in the form of debt or equity financing. Management believes that the Company has sufficient cash and other sources of liquidity, including cash equivalents and short-term marketable securities, to fund its operations through at least twelve months from the date of issuance of these financial statements.</w:t>
      </w:r>
    </w:p>
    <w:p>
      <w:pPr>
        <w:spacing w:after="0" w:line="164"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While the Company is not aware of a material impact from the continuation of the COVID-19 pandemic through March 31, 2023, the full extent to which the COVID-19 pandemic will directly or indirectly impact the Company’s business, results of operations, and financial condition, including expenses and manufacturing, clinical trials, and research and development costs, depends on future developments that are uncertain at this time.</w:t>
      </w:r>
    </w:p>
    <w:p>
      <w:pPr>
        <w:spacing w:after="0" w:line="25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significant accounting policies described in the Company’s audited financial statements as of and for the year ended December 31, 2022, and the notes thereto, which are included in the Company’s Annual Report on Form 10-K for the year ended December 31, 2022, filed with the Securities and Exchange Commission (SEC) on March 29, 2023 (the 2022 Annual Report), have had no material changes during the three months ended March 31, 2023.</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09"/>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March 31, 2023 and for the three months ended March 31, 2023 and 2022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2022 and 2021 audited consolidated financial statements and notes included in the 2022 Annual Report. The consolidated balance sheet as of December 31, 2022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months ended March 31, 2023 and 2022. The results of operations for the interim periods are not necessarily indicative of the results to be expected for the year ending December 31, 2023 or any other interim period or future year or period.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64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New accounting pronouncements are issued by the Financial Accounting Standards Board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31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March 31, 2023 and December 31, 2022, the Company has classified assets measured at fair value on a recurring basis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8"/>
              </w:rPr>
              <w:t>Fair Value Measurements at Reporting Date Using</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Active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2"/>
                <w:szCs w:val="12"/>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5"/>
                <w:szCs w:val="15"/>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8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25,849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57,368</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31,519</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28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8"/>
              </w:rPr>
              <w:t>Fair Value Measurements at Reporting Date Using</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Active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2"/>
                <w:szCs w:val="12"/>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5"/>
                <w:szCs w:val="15"/>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Observable Inputs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8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(Level 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77,629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44,375</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-2211070</wp:posOffset>
            </wp:positionV>
            <wp:extent cx="77470" cy="342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-2211070</wp:posOffset>
            </wp:positionV>
            <wp:extent cx="85725"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-2211070</wp:posOffset>
            </wp:positionV>
            <wp:extent cx="76835"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-2211070</wp:posOffset>
            </wp:positionV>
            <wp:extent cx="77470" cy="1071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07188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-676275</wp:posOffset>
            </wp:positionV>
            <wp:extent cx="7747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-676275</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-676275</wp:posOffset>
            </wp:positionV>
            <wp:extent cx="7683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-676275</wp:posOffset>
            </wp:positionV>
            <wp:extent cx="7747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ind w:right="120" w:firstLine="509"/>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March 31, 2023 and December 31, 2022 are carried at amounts that approximate fair value due to their short-term maturities. Finance lease obligations at March 31, 2023 and December 31, 2022 approximate fair value as they bear interest at a rate approximating a market interest rate.</w:t>
      </w:r>
    </w:p>
    <w:p>
      <w:pPr>
        <w:spacing w:after="0" w:line="288"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March 31, 2023 and December 31, 2022 (in thousands):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Gross 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14"/>
                <w:szCs w:val="1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(16 )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31,829</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Gross unrealized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Gross unrealized</w:t>
            </w:r>
          </w:p>
        </w:tc>
        <w:tc>
          <w:tcPr>
            <w:tcW w:w="220" w:type="dxa"/>
            <w:vAlign w:val="bottom"/>
          </w:tcPr>
          <w:p>
            <w:pPr>
              <w:spacing w:after="0"/>
              <w:rPr>
                <w:sz w:val="24"/>
                <w:szCs w:val="24"/>
                <w:color w:val="auto"/>
              </w:rPr>
            </w:pPr>
          </w:p>
        </w:tc>
        <w:tc>
          <w:tcPr>
            <w:tcW w:w="11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(99 )</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61,929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61,768</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-890905</wp:posOffset>
            </wp:positionV>
            <wp:extent cx="3111500"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00" cy="39433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-25400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-7620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The contractual maturity of all securities held at March 31, 2023 was three months or less. There were seven and fifteen investments in an unrealized loss position at March 31, 2023 and December 31, 2022, respectively, none of which had been in an unrealized loss position for more than twelve months. The aggregate fair value of the securities in an unrealized loss position at March 31, 2023 and December 31, 2022 was $17.9 million and $36.6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March 31, 2023.</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4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(13,669 )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(13,140 )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0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0" w:type="dxa"/>
            <w:vAlign w:val="bottom"/>
            <w:vMerge w:val="restart"/>
          </w:tcPr>
          <w:p>
            <w:pPr>
              <w:jc w:val="right"/>
              <w:ind w:right="12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-1002030</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-1002030</wp:posOffset>
            </wp:positionV>
            <wp:extent cx="5969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-685165</wp:posOffset>
            </wp:positionV>
            <wp:extent cx="6858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-685165</wp:posOffset>
            </wp:positionV>
            <wp:extent cx="5969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9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 xml:space="preserve">In June 2019, the Company issued to Ginkgo Bioworks, Inc. (Ginkgo) an aggregate of 6,340,771 shares of common stock at a purchase price per share of $9.00, and pre-funded warrants (the Pre-Funded Warrants) to purchase up to an aggregate of 2,548,117 shares of common stock at an exercise price of $9.00 per share, with $8.99 of such exercise price paid at the closing of the offering. The net proceeds to the Company were approximately $79.9 million. None of the Pre-Funded Warrants have been exercised as of March 31, 2023. (See Note 9, </w:t>
      </w:r>
      <w:r>
        <w:rPr>
          <w:rFonts w:ascii="Arial" w:cs="Arial" w:eastAsia="Arial" w:hAnsi="Arial"/>
          <w:sz w:val="16"/>
          <w:szCs w:val="16"/>
          <w:i w:val="1"/>
          <w:iCs w:val="1"/>
          <w:color w:val="auto"/>
        </w:rPr>
        <w:t>Collaboration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Ginkgo Collaboration</w:t>
      </w:r>
      <w:r>
        <w:rPr>
          <w:rFonts w:ascii="Arial" w:cs="Arial" w:eastAsia="Arial" w:hAnsi="Arial"/>
          <w:sz w:val="16"/>
          <w:szCs w:val="16"/>
          <w:color w:val="auto"/>
        </w:rPr>
        <w:t>).</w:t>
      </w:r>
    </w:p>
    <w:p>
      <w:pPr>
        <w:spacing w:after="0" w:line="15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In July 2021, the Company entered into a sales agreement with Jefferies, LLC (Jefferies) with respect to an at-the-market (ATM) offering program. In an ATM offering, exchange-listed companies incrementally sell newly issued shares into the secondary trading market through a designated broker-dealer at prevailing market prices. Under the ATM offering program,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three months ended March 31, 2023, 1,033,398 shares of common stock were sold pursuant to the sales agreement with Jefferies, resulting in net proceeds of approximately $0.8 million.</w:t>
      </w:r>
    </w:p>
    <w:p>
      <w:pPr>
        <w:spacing w:after="0" w:line="164"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92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March 31, 2023</w:t>
            </w:r>
          </w:p>
        </w:tc>
      </w:tr>
      <w:tr>
        <w:trPr>
          <w:trHeight w:val="236"/>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issuable under pre-funded warrants</w:t>
            </w:r>
          </w:p>
        </w:tc>
        <w:tc>
          <w:tcPr>
            <w:tcW w:w="2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2,548,117</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Options exercisable to purchase common stock</w:t>
            </w:r>
          </w:p>
        </w:tc>
        <w:tc>
          <w:tcPr>
            <w:tcW w:w="2920" w:type="dxa"/>
            <w:vAlign w:val="bottom"/>
          </w:tcPr>
          <w:p>
            <w:pPr>
              <w:jc w:val="right"/>
              <w:ind w:right="54"/>
              <w:spacing w:after="0"/>
              <w:rPr>
                <w:sz w:val="20"/>
                <w:szCs w:val="20"/>
                <w:color w:val="auto"/>
              </w:rPr>
            </w:pPr>
            <w:r>
              <w:rPr>
                <w:rFonts w:ascii="Arial" w:cs="Arial" w:eastAsia="Arial" w:hAnsi="Arial"/>
                <w:sz w:val="18"/>
                <w:szCs w:val="18"/>
                <w:color w:val="auto"/>
              </w:rPr>
              <w:t>3,520,657</w:t>
            </w:r>
          </w:p>
        </w:tc>
      </w:tr>
      <w:tr>
        <w:trPr>
          <w:trHeight w:val="243"/>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29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6,068,774</w:t>
            </w:r>
          </w:p>
        </w:tc>
      </w:tr>
      <w:tr>
        <w:trPr>
          <w:trHeight w:val="20"/>
        </w:trPr>
        <w:tc>
          <w:tcPr>
            <w:tcW w:w="608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 based Compensation</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On January 1, 2023, the number of shares of common stock available for issuance under the 2015 Equity Incentive Award Plan (the 2015 Plan) and the 2015 Employee Stock Purchase Plan (ESPP) was increased by 3,336,812 shares and 667,362 shares, respectively, due to the annual evergreen provision to increase shares available under the 2015 Plan and the ESPP. As of March 31, 2023, there were an aggregate of 1,093,152 shares available for future grant under the 2017 Stock Incentive Plan (the 2017 Plan) and the 2015 Plan, and 1,832,565 shares available for future grant under the ESPP.</w:t>
      </w:r>
    </w:p>
    <w:p>
      <w:pPr>
        <w:spacing w:after="0" w:line="157" w:lineRule="exact"/>
        <w:rPr>
          <w:sz w:val="20"/>
          <w:szCs w:val="20"/>
          <w:color w:val="auto"/>
        </w:rPr>
      </w:pPr>
    </w:p>
    <w:p>
      <w:pPr>
        <w:ind w:right="108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months ended March 31, 2023 and 2022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jc w:val="right"/>
              <w:ind w:right="123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49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ind w:right="123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4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5"/>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20" w:type="dxa"/>
            <w:vAlign w:val="bottom"/>
          </w:tcPr>
          <w:p>
            <w:pPr>
              <w:jc w:val="right"/>
              <w:ind w:right="1175"/>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9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-513715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-496570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-513715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-496570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ind w:right="320" w:firstLine="509"/>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months ended March 31, 2023 and 2022 (in thousands):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4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FF0FC"/>
          </w:tcPr>
          <w:p>
            <w:pPr>
              <w:spacing w:after="0"/>
              <w:rPr>
                <w:sz w:val="20"/>
                <w:szCs w:val="20"/>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r>
      <w:tr>
        <w:trPr>
          <w:trHeight w:val="24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w:t>
            </w:r>
          </w:p>
        </w:tc>
        <w:tc>
          <w:tcPr>
            <w:tcW w:w="1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920" w:type="dxa"/>
            <w:vAlign w:val="bottom"/>
          </w:tcPr>
          <w:p>
            <w:pPr>
              <w:spacing w:after="0"/>
              <w:rPr>
                <w:sz w:val="20"/>
                <w:szCs w:val="20"/>
                <w:color w:val="auto"/>
              </w:rPr>
            </w:pPr>
          </w:p>
        </w:tc>
        <w:tc>
          <w:tcPr>
            <w:tcW w:w="1420" w:type="dxa"/>
            <w:vAlign w:val="bottom"/>
          </w:tcPr>
          <w:p>
            <w:pPr>
              <w:jc w:val="right"/>
              <w:ind w:right="123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w:t>
            </w:r>
          </w:p>
        </w:tc>
        <w:tc>
          <w:tcPr>
            <w:tcW w:w="13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-187960</wp:posOffset>
            </wp:positionV>
            <wp:extent cx="7683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During the three months ended March 31, 2023, the Company granted 4,011,130 stock options with a weighted average exercise price of $0.64. As of March 31, 2023, there was $5.9 million of unrecognized share-based compensation related to unvested stock option grants which is expected to be recognized over a weighted average period of 2.6 years. The total unrecognized share-based compensation cost will be adjusted for actual forfeitures as they occur.</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three months ended March 31, 2023, the Company granted 162,210 restricted stock awards with a weighted average grant date fair value per share of $0.62. As of March 31, 2023, there was approximately $1.2 million of unrecognized share-based compensation related to restricted stock awards granted, which is expected to be recognized over a weighted average period of 2.7 years. The total unrecognized share-based compensation cost will be adjusted for actual forfeitures as they occur.</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For a full description of the Company’s equity plans, refer to Note 9, Equity-based Compensation and Equity Incentive Plans in the 2022 Annual Report.</w:t>
      </w:r>
    </w:p>
    <w:p>
      <w:pPr>
        <w:spacing w:after="0" w:line="30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Biotics for addressing an undisclosed novel target for the treatment of inflammatory bowel disease.</w:t>
      </w:r>
    </w:p>
    <w:p>
      <w:pPr>
        <w:spacing w:after="0" w:line="187"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During each of the three months ended March 31, 2023 and 2022, the Company recognized $0.2 million as collaboration revenue associated with the Roche Collaboration and Option Agreement. Deferred revenue from the collaboration amounted to $0.7 million as of March 31, 2023, all of which is included in current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 full description of the Roche Collaboration and Option Agreement, refer to Note 10, Collaboration Agreements in the 2022 Annual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March 31, 2023 consolidated balance sheet. At March 31, 2023, the Company had remaining balances of $2.5 million and $5.2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12" w:name="page13"/>
    <w:bookmarkEnd w:id="12"/>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 xml:space="preserve">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8,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and Note 10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Collaborations: Ginkgo Collaboration, </w:t>
      </w:r>
      <w:r>
        <w:rPr>
          <w:rFonts w:ascii="Arial" w:cs="Arial" w:eastAsia="Arial" w:hAnsi="Arial"/>
          <w:sz w:val="16"/>
          <w:szCs w:val="16"/>
          <w:color w:val="auto"/>
        </w:rPr>
        <w:t>in the audited financial statements included in the 2022 Annual Report). The shares of common stock into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warrants may be exercised are considered outstanding for the purposes of computing net loss per share.</w:t>
      </w:r>
    </w:p>
    <w:p>
      <w:pPr>
        <w:spacing w:after="0" w:line="16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84" w:lineRule="exact"/>
        <w:rPr>
          <w:sz w:val="20"/>
          <w:szCs w:val="20"/>
          <w:color w:val="auto"/>
        </w:rPr>
      </w:pPr>
    </w:p>
    <w:p>
      <w:pPr>
        <w:ind w:right="420" w:firstLine="509"/>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56"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As of March 31,</w:t>
            </w:r>
          </w:p>
        </w:tc>
        <w:tc>
          <w:tcPr>
            <w:tcW w:w="980" w:type="dxa"/>
            <w:vAlign w:val="bottom"/>
            <w:tcBorders>
              <w:bottom w:val="single" w:sz="8" w:color="auto"/>
            </w:tcBorders>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4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common stock awards</w:t>
            </w:r>
          </w:p>
        </w:tc>
        <w:tc>
          <w:tcPr>
            <w:tcW w:w="14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984,234</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793,693</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Outstanding options to purchase common stock</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11,109,435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6,684,468</w:t>
            </w: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Potential shares issuable under the ESPP</w:t>
            </w:r>
          </w:p>
        </w:tc>
        <w:tc>
          <w:tcPr>
            <w:tcW w:w="20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On November 25, 2022, the Company entered into a definitive share repurchase agreement with a stockholder, as part of a privately negotiated transaction, to repurchase 4,196,889 shares of common stock held by them for an aggregate purchase price of $2.5 million, or $0.60 per share. This repurchase was completed on November 28, 2022.</w:t>
      </w:r>
    </w:p>
    <w:p>
      <w:pPr>
        <w:spacing w:after="0" w:line="184"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Repurchased shares are held as treasury stock at cost until they are retired or re-issued. There were no additional shares repurchased and no retirements or re-issuances of treasury stock during the three months ended March 31, 2023.</w:t>
      </w:r>
    </w:p>
    <w:p>
      <w:pPr>
        <w:spacing w:after="0" w:line="166"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Company’s commitments described in the Company’s consolidated financial statements as of and for the year ended December 31, 2022 and the notes thereto included in the 2022 Annual Report have had no material changes during the three months ended March 31, 2023.</w:t>
      </w:r>
    </w:p>
    <w:p>
      <w:pPr>
        <w:spacing w:after="0" w:line="250"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 xml:space="preserve">In June 2019, the Company expanded its collaboration and entered into an agreement with Ginkgo for the research and development of engineered microbial therapeutic products. As of March 31, 2023, Ginkgo owned 6,340,771 shares of the Company’s outstanding common stock. See Note 10, </w:t>
      </w:r>
      <w:r>
        <w:rPr>
          <w:rFonts w:ascii="Arial" w:cs="Arial" w:eastAsia="Arial" w:hAnsi="Arial"/>
          <w:sz w:val="18"/>
          <w:szCs w:val="18"/>
          <w:i w:val="1"/>
          <w:iCs w:val="1"/>
          <w:color w:val="auto"/>
        </w:rPr>
        <w:t>Ginkgo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Collaboration, </w:t>
      </w:r>
      <w:r>
        <w:rPr>
          <w:rFonts w:ascii="Arial" w:cs="Arial" w:eastAsia="Arial" w:hAnsi="Arial"/>
          <w:sz w:val="18"/>
          <w:szCs w:val="18"/>
          <w:color w:val="auto"/>
        </w:rPr>
        <w:t>in the audited financial statements included in the 2022 Annual Report.</w:t>
      </w:r>
    </w:p>
    <w:p>
      <w:pPr>
        <w:spacing w:after="0" w:line="18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March 31, 2023, the Company had remaining balances of $2.5 million and $5.2 million of current and non-current prepaid research and development costs related to this transaction, respectively. The Company used $0.6 million of the prepaid research and development expenses for the three months ended March 31,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2022 and 2021 included in our Annual Report on Form 10-K filed with the SEC on March 29, 2023 (the "2022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[23]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Synlogic is a late clinical-stage biotechnology company advancing the design and development of biotherapeutics based on synthetic biology. Synthetic biology leverages the application of engineering principles in the design of biological systems, genetic circuits and molecular components. We apply the power of synthetic biology to medicine, combining precision engineering with rational drug development to develop Synthetic Biotics. Synthetic Biotics are living probiotics genetically engineered to perform specific functions in the gastrointestinal (GI) tract targeting validated biology. Because Synthetic Biotics are orally administered and are based on familiar probiotics as their delivery method, or chassis, they offer a potentially convenient and safe approach to treatment.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 Pipeline</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Synlogic’s pipeline includes SYNB1934, its lead program in phenylketonuria (PKU), which has demonstrated clinical proof of concept and is anticipated to enter Synpheny-3, its pivotal Phase 3 study in the first half of 2023. Our pipeline also includes novel drug candidates designed to treat homocystinuria (HCU), enteric hyperoxaluria and gout. Synlogic is working with Roche under a research collaboration focused on the discovery of a novel Synthetic Biotic for the treatment of inflammatory bowel disease (IBD) and with Ginkgo Bioworks, Inc. (Ginkgo) on additional undisclosed preclinical assets,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120650</wp:posOffset>
            </wp:positionV>
            <wp:extent cx="5151755" cy="2486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517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Metabolic Disease</w:t>
      </w:r>
    </w:p>
    <w:p>
      <w:pPr>
        <w:spacing w:after="0" w:line="13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Metabolic diseases are disorders resulting from defects or alterations in how our bodies break down or produce important metabolites or molecules. In patients with these diseases, the absence of certain enzymes causes metabolites to accumulate in the gut and systemically throughout the body. In patients with PKU and HCU, these metabolites build up to toxic levels resulting in serious health consequences, including the possibility of irreversible neurological dysfunction.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PKU</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Our lead PKU program, SYNB1934, is an orally administered, non-systemically absorbed drug candidate based on a genetically engineered form of the probiotic E. coli Nissle. SYNB1934 was designed to produce the enzymes LAAD and PAL to metabolize the amino acid phenylalanine (Phe), which can reach neurotoxic levels in people with PKU or hyperphenylalanemia (a term for less severe forms of inherited deficits in Phe metabolism). Treatment options for PKU are currently limited due to efficacy and safety, with the vast majority remaining in need of treatment, and many of those who are treated remain in need of additional Phe-lowering. Findings to date support the potential for an efficacious, safe, convenient, and flexible treatment option for PKU. An earlier generation of the same drug candidate, SYNB1618, received both Orphan Drug and Fast Track designations by the US Food and Drug Administration (FDA) and a positive opinion on orphan designation from the European Medicines Agency (EMA). In October 2022, we announced positive findings for both SYNB1618 and SYNB1934 from the Phase 2 Synpheny-1 study and confirmed that SYNB1934 would be the candidate advancing to Synpheny-3, a pivotal Phase 3 study, expected to begin during the first half of 2023. In January 2023, we announced that the FDA granted Rare Pediatric Disease Designation to SYNB1934 for the treatment of PKU. In March 2023, SYNB1934 received a positive opinion on orphan designation from the EMA, and in May 2023, we announced that the FDA had also granted Orphan Drug Designation to SYNB1934 as a potential treatment for PKU.</w:t>
      </w:r>
    </w:p>
    <w:p>
      <w:pPr>
        <w:spacing w:after="0" w:line="19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solid oral lyophilized formulation of SYNB1618. We have evaluated this oral formulation in a bridging study in healthy volunteers. The study of this more patient-and commercialization-appropriate presentation of SYNB1618 demonstrated activity and improved tolerability over the liquid formulation.</w:t>
      </w:r>
    </w:p>
    <w:p>
      <w:pPr>
        <w:spacing w:after="0" w:line="18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referred to as the Synpheny-1 Study. The Synpheny-1 Study was designed to evaluate safety and tolerability of a solid oral formulation of SYNB1618 as well as its potential to lower blood Phe levels in adult PKU patients. In September 2021, an interim analysis of the ongoing Synpheny-1 study found that SYNB1618 demonstrated statistically significant reductions in blood Phe levels.</w:t>
      </w:r>
    </w:p>
    <w:p>
      <w:pPr>
        <w:spacing w:after="0" w:line="214" w:lineRule="exact"/>
        <w:rPr>
          <w:sz w:val="20"/>
          <w:szCs w:val="20"/>
          <w:color w:val="auto"/>
        </w:rPr>
      </w:pPr>
    </w:p>
    <w:p>
      <w:pPr>
        <w:ind w:right="560" w:firstLine="509"/>
        <w:spacing w:after="0" w:line="286" w:lineRule="auto"/>
        <w:rPr>
          <w:sz w:val="20"/>
          <w:szCs w:val="20"/>
          <w:color w:val="auto"/>
        </w:rPr>
      </w:pPr>
      <w:r>
        <w:rPr>
          <w:rFonts w:ascii="Arial" w:cs="Arial" w:eastAsia="Arial" w:hAnsi="Arial"/>
          <w:sz w:val="17"/>
          <w:szCs w:val="17"/>
          <w:color w:val="auto"/>
        </w:rPr>
        <w:t>Our second development candidate for PKU, SYNB1934, was engineered to potentially provide increased Phe lowering activity compared to SYNB1618. In July 2021, we initiated clinical studies of a solid oral formulation of SYNB1934 following preclinical in vivo and in vitro studies demonstrating an approximately two-fold improvement in the ability of SYNB1934 to metabolize Phe compared to SYNB1618.</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In September 2021, we announced results from a comparison of SYNB1618 and SYNB1934 activity in a Phase 1 healthy volunteer study.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SYNB1934 showed an approximately two-fold higher activity level than SYNB1618 in a comparative analysis based on biomarkers of Phe metabolism.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SYNB1934 demonstrated a safety and tolerability profile similar to other Synthetic Biotics, including SYNB1618, at equivalent doses.</w:t>
      </w:r>
    </w:p>
    <w:p>
      <w:pPr>
        <w:spacing w:after="0" w:line="24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SYNB1934 clinical results in healthy volunteers were consistent with preclinical data and previously presented prospective biomarker-driven modeling. We believed that the increased activity of SYNB1934, relative to SYNB1618, could provide the opportunity to optimize the clinical profile based on individual patient needs. Accordingly, we added an arm evaluating SYNB1934 to the ongoing Synpheny-1 Phase 2 study. Positive top-line data from the Synpheny-1 Phase 1 study were announced in October 2022, and in March 2023 the data was presented in full at the Society for Inborn Metabolic Disorders (SIMD) Annual Meeting.</w:t>
      </w:r>
    </w:p>
    <w:p>
      <w:pPr>
        <w:spacing w:after="0" w:line="18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Based on data obtained across the PKU program, we have decided that SYNB1934 will advance to Synpheny-3, a Phase 3 pivotal study, which we plan to begin in the first half of 2023.</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Homocystinuria</w:t>
      </w:r>
    </w:p>
    <w:p>
      <w:pPr>
        <w:spacing w:after="0" w:line="13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Homocystinuria (HCU)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192"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In November 2021 we announced the nomination of SYNB1353, a novel, orally administered, non-systemically absorbed live biotherapeutic drug candidate engineered to consume methionine, a precursor of homocysteine, in the GI tract thereby lowering tHcy in HCU patients. The rationale for this approach includes the methionine-restricted diet which is a standard of care in HCU to lower and control homocysteine levels. SYNB1353 was developed as part of a research collaboration with Ginkgo. We hold worldwide development and commercialization rights to SYNB1353. In November 2022, we announced proof of mechanism was achieved based on the positive findings from a Phase 1 study in healthy volunteers using a dietary model of homocystinuria, which showed that SYNB1353 reduced plasma methionine by metabolizing methionine and preventing its absorption in the GI tract. To date, the FDA has granted SYNB1353 Fast Track, Orphan Drug, and Rare Pediatric Disease designations as a potential treatment for HCU.</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Enteric Hyperoxaluria</w:t>
      </w:r>
    </w:p>
    <w:p>
      <w:pPr>
        <w:spacing w:after="0" w:line="13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Enteric hyperoxaluria is a chronic, progressive disease characterized by high levels of urinary oxalate (Uox), a well-recognized cause of recurrent kidney stones with no approved treatment options. It is caused by fat malabsorption due to insults to the GI tract typically caused by surgery or disease such as Crohn’s, which leads to increased absorption of dietary oxalate, which is present in many common foods including leafy greens, nuts, and chocolate, and elevated urinary oxalate levels. The increased absorption into the circulation can cause crystal formation in the kidneys, reflected in dangerously high levels of Uox and with the potential to result in both recurrent kidney stones and progressive kidney damage. In May 2020, we announced the nomination of a clinical candidate for enteric hyperoxaluria, SYNB8802. In 2021, Synlogic reported positive proof-of-mechanism for SYNB8802 from a Phase 1b study that demonstrated lowering of urinary and fecal oxalate levels in healthy volunteers with diet-induced hyperoxaluria. In December of 2022, we announced that SYNB8802 achieved proof of concept, and that dosing with SYNB8802 was associated with a dose-dependent reduction in Uox, with a -28% lowering (-37.2, -18.2) from baseline in Uox versus placebo at the 1x10</w:t>
      </w:r>
      <w:r>
        <w:rPr>
          <w:rFonts w:ascii="Arial" w:cs="Arial" w:eastAsia="Arial" w:hAnsi="Arial"/>
          <w:sz w:val="10"/>
          <w:szCs w:val="10"/>
          <w:color w:val="auto"/>
        </w:rPr>
        <w:t>11</w:t>
      </w:r>
      <w:r>
        <w:rPr>
          <w:rFonts w:ascii="Arial" w:cs="Arial" w:eastAsia="Arial" w:hAnsi="Arial"/>
          <w:sz w:val="17"/>
          <w:szCs w:val="17"/>
          <w:color w:val="auto"/>
        </w:rPr>
        <w:t xml:space="preserve"> TID dose, and a -38% (-46.4, -28.7) lowering from baseline in Uox versus placebo at the 3x10</w:t>
      </w:r>
      <w:r>
        <w:rPr>
          <w:rFonts w:ascii="Arial" w:cs="Arial" w:eastAsia="Arial" w:hAnsi="Arial"/>
          <w:sz w:val="10"/>
          <w:szCs w:val="10"/>
          <w:color w:val="auto"/>
        </w:rPr>
        <w:t>11</w:t>
      </w:r>
      <w:r>
        <w:rPr>
          <w:rFonts w:ascii="Arial" w:cs="Arial" w:eastAsia="Arial" w:hAnsi="Arial"/>
          <w:sz w:val="17"/>
          <w:szCs w:val="17"/>
          <w:color w:val="auto"/>
        </w:rPr>
        <w:t xml:space="preserve"> TID dose.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Gout</w:t>
      </w:r>
    </w:p>
    <w:p>
      <w:pPr>
        <w:spacing w:after="0" w:line="1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SYNB2081 is a Synthetic Biotic designed to consume uric acid in the GI tract with the goal of lowering systemic uric acid levels as a potential treatment for gout, a complex form of inflammatory arthritis. Current treatment options present limitations in both safety and efficacy. SYNB2081 presents a novel, orally administered, non-systemically absorbed drug candidate created through a research collaboration between Synlogic and Ginkgo, the leading horizontal platform for cell programming. Gout occurs when excess uric acid in the body forms crystals in the joints. Patients can experience symptoms such as intense joint pain, inflammation and redness, and limited range of motion in the affected joints due to excessive levels of uric acid. In addition, gout is a recognized risk factor in chronic kidney disease. Due to present limitations in current treatment options, we believe that there is a clear need for a new approach. In August 2022, we announced SYNB2081 as our drug candidate for the potential treatment of gout and the second product candidate to advance to clinical development through our collaboration with Ginkgo. Our plan is to continue moving SYNB2081 to the next stage of our drug development pipeline, and it is currently in IND-enabling studies.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Pipeline Programs in Metabolic &amp; Immunological Diseases</w:t>
      </w:r>
    </w:p>
    <w:p>
      <w:pPr>
        <w:spacing w:after="0" w:line="1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The Synthetic Biotic approach is particularly well-suited for addressing known disease targets that have been associated with validated biological pathways in metabolic and immunological diseases. 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right="360"/>
        <w:spacing w:after="0" w:line="277" w:lineRule="auto"/>
        <w:rPr>
          <w:sz w:val="20"/>
          <w:szCs w:val="20"/>
          <w:color w:val="auto"/>
        </w:rPr>
      </w:pPr>
      <w:r>
        <w:rPr>
          <w:rFonts w:ascii="Arial" w:cs="Arial" w:eastAsia="Arial" w:hAnsi="Arial"/>
          <w:sz w:val="18"/>
          <w:szCs w:val="18"/>
          <w:color w:val="auto"/>
        </w:rPr>
        <w:t>Biotic platform allows for the effective programming of E. coli Nissle to execute these functions, including the metabolic production of factors such as short chain fatty acids to enhance barrier function, and secreting proteins, such as immunomodulatory cytokines.</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Current approaches to treat IBD are focused on therapeutics that modulate the immune system and suppress inflammation. These therapies include steroids, such as prednisone, and tumor necrosis factor inhibitors, such as Humira®(adalimumab). However, these approaches are associated with systemic immunosuppression, which includes greater susceptibility to infectious diseases and cancer. According to the Centers for Disease Control, in 2015 an estimated three million adults in the United States are reported as being diagnosed with IBD. In June of 2021 we entered into a research collaboration agreement with Roche for the discovery of a novel Synthetic Biotic for the treatment of IBD. In addition, we continue to advance additional, wholly-owned preclinical research efforts in IBD.</w:t>
      </w:r>
    </w:p>
    <w:p>
      <w:pPr>
        <w:spacing w:after="0" w:line="19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18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developed a portfolio of Synthetic Biotics to treat certain cancers which were designed to modify the tumor microenvironment, activate the immune system and result in tumor reduction. These Synthetic Biotics could be used in combination with other cancer therapies such as checkpoint inhibitors. Our Synthetic Biotic clinical immuno-oncology (IO) candidate is SYNB1891, an intratumorally administered Synthetic Biotic medicine engineered to act as a dual innate and adaptive immune activator. On November 10, 2021, we announced that our Phase 1 trial of SYNB1891 in combination with PD-L1 checkpoint inhibitor patients with advanced solid tumors or lymphoma had completed enrollment. No further studies are planned for SYNB1891 and we are focusing our research and development efforts specifically on metabolic and immunological diseases.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w:t>
      </w:r>
    </w:p>
    <w:p>
      <w:pPr>
        <w:spacing w:after="0" w:line="187"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$15.6 million and $15.7 million for the three months ended March 31, 2023 and 2022, respectively. As of March 31, 2023, we had an accumulated deficit of approximately $372.6 million, and we expect to incur losses for the foreseeable future as we develop our product candidates. We expect our expenses and capital requirements will increase substantially in connection with our ongoing activities, as we:</w:t>
      </w:r>
    </w:p>
    <w:p>
      <w:pPr>
        <w:spacing w:after="0" w:line="63"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w:t>
      </w:r>
    </w:p>
    <w:p>
      <w:pPr>
        <w:spacing w:after="0" w:line="22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The COVID-19 pandemic continues to affect economies and business around the world. The extent and duration of such effects remain uncertain and difficult to predict. We continue to assess actual and potential impacts to our operating results and financial condition, as well as developments in our business, which could further impact the developments, trends and expectations described below. See the risk factor titled, “A pandemic, epidemic, or outbreak of an infectious disease, such as COVID-19 may materially and adversely affect our business and our financial results.” described in “Risk Factors” in Part II, Item 1A, found elsewhere in this Quarterly Report on Form 10-Q.</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 xml:space="preserve">Revenue for the three months ended March 31, 2023 was generated from the Roche Collaboration and Option Agreement. In June 2021, we announced that we entered into the Roche Collaboration and Option Agreement for the discovery of novel Synthetic Biotics for the treatment of IBD. The collaboration agreement contains multiple deliverables, which include an exclusive option for Roche to negotiate a definitive collaboration and license agreement for further development of the Product Candidate (as defined in the Roche Collaboration and Option Agreement) and acquire research and development milestones. See Note 9, </w:t>
      </w:r>
      <w:r>
        <w:rPr>
          <w:rFonts w:ascii="Arial" w:cs="Arial" w:eastAsia="Arial" w:hAnsi="Arial"/>
          <w:sz w:val="17"/>
          <w:szCs w:val="17"/>
          <w:i w:val="1"/>
          <w:iCs w:val="1"/>
          <w:color w:val="auto"/>
        </w:rPr>
        <w:t>Collaboration Agreements: Roche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 costs relating to research, process and formulation development, preclinical and clinical studies and regulatory operations.</w:t>
      </w:r>
    </w:p>
    <w:p>
      <w:pPr>
        <w:spacing w:after="0" w:line="17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ind w:right="520" w:firstLine="509"/>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For the Three Months Ended</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4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SYNB1934</w:t>
            </w:r>
          </w:p>
        </w:tc>
        <w:tc>
          <w:tcPr>
            <w:tcW w:w="120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6"/>
                <w:szCs w:val="16"/>
                <w:color w:val="auto"/>
              </w:rPr>
              <w:t>SYNB1618</w:t>
            </w:r>
          </w:p>
        </w:tc>
        <w:tc>
          <w:tcPr>
            <w:tcW w:w="1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SYNB8802</w:t>
            </w:r>
          </w:p>
        </w:tc>
        <w:tc>
          <w:tcPr>
            <w:tcW w:w="1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6"/>
                <w:szCs w:val="16"/>
                <w:color w:val="auto"/>
              </w:rPr>
              <w:t>SYNB1353</w:t>
            </w:r>
          </w:p>
        </w:tc>
        <w:tc>
          <w:tcPr>
            <w:tcW w:w="1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SYNB1891</w:t>
            </w:r>
          </w:p>
        </w:tc>
        <w:tc>
          <w:tcPr>
            <w:tcW w:w="1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(139 )</w:t>
            </w:r>
          </w:p>
        </w:tc>
        <w:tc>
          <w:tcPr>
            <w:tcW w:w="7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640" w:type="dxa"/>
            <w:vAlign w:val="bottom"/>
          </w:tcPr>
          <w:p>
            <w:pPr>
              <w:spacing w:after="0"/>
              <w:rPr>
                <w:sz w:val="20"/>
                <w:szCs w:val="20"/>
                <w:color w:val="auto"/>
              </w:rPr>
            </w:pPr>
            <w:r>
              <w:rPr>
                <w:rFonts w:ascii="Arial" w:cs="Arial" w:eastAsia="Arial" w:hAnsi="Arial"/>
                <w:sz w:val="16"/>
                <w:szCs w:val="16"/>
                <w:color w:val="auto"/>
              </w:rPr>
              <w:t>External pre-development candidate expenses</w:t>
            </w:r>
          </w:p>
        </w:tc>
        <w:tc>
          <w:tcPr>
            <w:tcW w:w="1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1,600</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40" w:type="dxa"/>
            <w:vAlign w:val="bottom"/>
          </w:tcPr>
          <w:p>
            <w:pPr>
              <w:spacing w:after="0"/>
              <w:rPr>
                <w:sz w:val="20"/>
                <w:szCs w:val="20"/>
                <w:color w:val="auto"/>
              </w:rPr>
            </w:pPr>
            <w:r>
              <w:rPr>
                <w:rFonts w:ascii="Arial" w:cs="Arial" w:eastAsia="Arial" w:hAnsi="Arial"/>
                <w:sz w:val="16"/>
                <w:szCs w:val="16"/>
                <w:color w:val="auto"/>
              </w:rPr>
              <w:t>and unallocated expenses</w:t>
            </w:r>
          </w:p>
        </w:tc>
        <w:tc>
          <w:tcPr>
            <w:tcW w:w="1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Internal research and development expenses</w:t>
            </w:r>
          </w:p>
        </w:tc>
        <w:tc>
          <w:tcPr>
            <w:tcW w:w="1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40" w:type="dxa"/>
            <w:vAlign w:val="bottom"/>
          </w:tcPr>
          <w:p>
            <w:pPr>
              <w:spacing w:after="0"/>
              <w:rPr>
                <w:sz w:val="20"/>
                <w:szCs w:val="20"/>
                <w:color w:val="auto"/>
              </w:rPr>
            </w:pPr>
          </w:p>
        </w:tc>
        <w:tc>
          <w:tcPr>
            <w:tcW w:w="120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400" w:type="dxa"/>
            <w:vAlign w:val="bottom"/>
          </w:tcPr>
          <w:p>
            <w:pPr>
              <w:spacing w:after="0"/>
              <w:rPr>
                <w:sz w:val="20"/>
                <w:szCs w:val="20"/>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7747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critical accounting policies are described in our 2022 Annual Report. During the three months ended March 31, 2023, there were no new or material changes to our existing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9" w:name="page20"/>
    <w:bookmarkEnd w:id="19"/>
    <w:p>
      <w:pPr>
        <w:ind w:firstLine="509"/>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61"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76"/>
              </w:rPr>
              <w:t>$</w:t>
            </w:r>
          </w:p>
        </w:tc>
      </w:tr>
      <w:tr>
        <w:trPr>
          <w:trHeight w:val="169"/>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174</w:t>
            </w:r>
          </w:p>
        </w:tc>
        <w:tc>
          <w:tcPr>
            <w:tcW w:w="4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244</w:t>
            </w: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12,450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11,738</w:t>
            </w: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712</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4,271</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(304 )</w:t>
            </w:r>
          </w:p>
        </w:tc>
      </w:tr>
      <w:tr>
        <w:trPr>
          <w:trHeight w:val="23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16,417</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16,009</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408</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(16,243 )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(15,765 )</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(478 )</w:t>
            </w: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561</w:t>
            </w: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553</w:t>
            </w: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(15,622 )</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(15,697 )</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-1130935</wp:posOffset>
            </wp:positionV>
            <wp:extent cx="8572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-1130935</wp:posOffset>
            </wp:positionV>
            <wp:extent cx="8572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857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8572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Revenue was $0.2 million for each of the three months ended March 31, 2023 and March 31, 2022. Revenue for both periods was primarily related to services performed under the Roche collaboration that we entered into in June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Research and development expense was $12.5 million for the three months ended March 31, 2023 compared to $11.7 million for the three months ended March 31, 2022. The increase in research and development expense was primarily due to an increase of $1.8 million of clinical development costs for SYNB1934 and $0.3 million of manufacturing costs. These increases were offset by decreases of $0.7 million of compensation, benefits and other employee-related expenses, $0.3 million of clinical development costs for SYNB8802, and $0.3 million of clinical development costs for SYNB1891.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General and administrative expense was $4.0 million for the three months ended March 31, 2023, compared to $4.3 million for the three months ended March 31, 2022. The decrease was primarily due to decreased professional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Other income was $0.6 million for the three months ended March 31, 2023, compared to $0.1 million for the three months ended March 31, 2022. The increase in other income of $0.5 million was due to an increase in income earned on our cash, cash equivalents and short-term investment balances, primarily related to higher interest rates.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have incurred losses since our inception on March 14, 2014 and, as of March 31, 2023, we had an accumulated deficit of approximately $372.6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March 31, 2023, we had approximately $57.4 million in cash, cash equivalents, and short-term marketable securities. Our cash and cash equivalents include amounts held in money market funds, stated at cost plus unrealized gain and loss, which approximates fair market value. Our available-for-sale securities include amounts held in commercial paper and U.S.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three months ended March 31, 2023, our cash, cash equivalents and short-term marketable securities balance decreased by approximately $20.2 million. This decrease was primarily due to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280"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112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169"/>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cash equivalents and restricted cash provided by (used in)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(21,505 )</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(15,477 )</w:t>
            </w:r>
          </w:p>
        </w:tc>
      </w:tr>
      <w:tr>
        <w:trPr>
          <w:trHeight w:val="249"/>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30,270</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19,758</w:t>
            </w: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132</w:t>
            </w:r>
          </w:p>
        </w:tc>
      </w:tr>
      <w:tr>
        <w:trPr>
          <w:trHeight w:val="277"/>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9,678</w:t>
            </w: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cash equivalents and restricted cash used in operating activities was approximately $21.5 million for the three months ended March 31,</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2023. The primary use of cash was our net loss of $15.6 million, changes in our assets and liabilities of $7.7 million, partially offset by $1.8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 Net cash, cash equivalents and restricted cash used in operating activities for the remaining three quarters of the fiscal year ending December 31, 2023 is expected to be lower than the amount reported for the three months ended March 31, 2023, primarily due to significant upfront external payments related to the initiation of the Synpheny-3 trial made during the three months ended March 31, 2023.</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cash equivalents and restricted cash used in operating activities was approximately $15.5 million for the three months ended March 31,</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2022. The primary use of cash was our net loss of $15.7 million, changes in our assets and liabilities of $0.3 million, partially offset by $0.5 million of non-cash items primarily including depreciation, equity-based compensation, and the right of use asset. The changes in our assets and liabilities include increases in prepaid research and development expenses, as a result of the work being completed on the Ginkgo collaboration, increases in the operating lease liability, decreases in prepaid expenses and other current assets, decreases in accounts payable and accrued expenses, and decreased deferred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2023 was $30.3 million and resulted primarily from the proceeds from maturity of marketable securities of $30.4 million. This was offset by the purchases of property and equipment of $0.1 million.</w:t>
      </w:r>
    </w:p>
    <w:p>
      <w:pPr>
        <w:spacing w:after="0" w:line="38"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2022 was $19.8 million and resulted primarily from the proceeds from maturity of marketable securities of $32.4 million. This was offset by the purchases of marketable securities of $12.1 million and property and equipment of $0.5 million.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2023 totaled $0.9 million, primarily related to net proceeds of $0.8 million from the sale of our common stock in the ATM offering program.</w:t>
      </w:r>
    </w:p>
    <w:p>
      <w:pPr>
        <w:spacing w:after="0" w:line="6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2022 totaled $0.1 million, related to proceeds of $0.1 million from exercise of stock options and ESPP contributions.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are currently generating revenue from our Roche collaboration and have historically generated revenue from previous collaborations, but have not generated any product revenue since our inception and do not expect to generate any product revenue unless we receive regulatory approval for our product candidates. We believe that our cash, cash equivalents, and short-term marketable securities as of March 31, 2023,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92"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or by other health epidemics or pandemics;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IA. “Risk Factors”.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As a clinical-stage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t>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 xml:space="preserve">There have been no material changes to our contractual obligations and commitments set forth under the heading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 Contractual Obligations and Commitments” </w:t>
      </w:r>
      <w:r>
        <w:rPr>
          <w:rFonts w:ascii="Arial" w:cs="Arial" w:eastAsia="Arial" w:hAnsi="Arial"/>
          <w:sz w:val="16"/>
          <w:szCs w:val="16"/>
          <w:color w:val="auto"/>
        </w:rPr>
        <w:t>in our 2022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May 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March 31, 2023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8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20" w:right="3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20" w:right="4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20" w:right="4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left="503"/>
        <w:spacing w:after="0" w:line="277" w:lineRule="auto"/>
        <w:rPr>
          <w:sz w:val="20"/>
          <w:szCs w:val="20"/>
          <w:color w:val="auto"/>
        </w:rPr>
      </w:pPr>
      <w:r>
        <w:rPr>
          <w:rFonts w:ascii="Arial" w:cs="Arial" w:eastAsia="Arial" w:hAnsi="Arial"/>
          <w:sz w:val="18"/>
          <w:szCs w:val="18"/>
          <w:color w:val="auto"/>
        </w:rPr>
        <w:t>adequate insurance or are required to pay for liabilities resulting from a claim excluded from, or beyond the limits of, our insurance coverage, such liability could adversely affect our financial condition.</w:t>
      </w:r>
    </w:p>
    <w:p>
      <w:pPr>
        <w:spacing w:after="0" w:line="62" w:lineRule="exact"/>
        <w:rPr>
          <w:sz w:val="20"/>
          <w:szCs w:val="20"/>
          <w:color w:val="auto"/>
        </w:rPr>
      </w:pPr>
    </w:p>
    <w:p>
      <w:pPr>
        <w:ind w:left="503" w:right="8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3" w:right="440" w:hanging="503"/>
        <w:spacing w:after="0" w:line="342" w:lineRule="auto"/>
        <w:tabs>
          <w:tab w:leader="none" w:pos="5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3" w:right="120" w:hanging="503"/>
        <w:spacing w:after="0" w:line="259"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3" w:right="10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3" w:right="18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spacing w:after="0" w:line="62" w:lineRule="exact"/>
        <w:rPr>
          <w:rFonts w:ascii="Arial" w:cs="Arial" w:eastAsia="Arial" w:hAnsi="Arial"/>
          <w:sz w:val="18"/>
          <w:szCs w:val="18"/>
          <w:color w:val="auto"/>
        </w:rPr>
      </w:pPr>
    </w:p>
    <w:p>
      <w:pPr>
        <w:ind w:left="503" w:right="64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Synthetic Biotics, product candidates and processes for our development pipeline through acquisitions and in-licenses.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17" w:lineRule="exact"/>
        <w:rPr>
          <w:rFonts w:ascii="Arial" w:cs="Arial" w:eastAsia="Arial" w:hAnsi="Arial"/>
          <w:sz w:val="18"/>
          <w:szCs w:val="18"/>
          <w:color w:val="auto"/>
        </w:rPr>
      </w:pPr>
    </w:p>
    <w:p>
      <w:pPr>
        <w:ind w:left="503" w:right="22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17"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503" w:right="40" w:hanging="503"/>
        <w:spacing w:after="0" w:line="263"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3" w:right="400" w:hanging="503"/>
        <w:spacing w:after="0" w:line="277" w:lineRule="auto"/>
        <w:tabs>
          <w:tab w:leader="none" w:pos="5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3" w:right="100" w:hanging="503"/>
        <w:spacing w:after="0" w:line="311" w:lineRule="auto"/>
        <w:tabs>
          <w:tab w:leader="none" w:pos="5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3" w:hanging="503"/>
        <w:spacing w:after="0"/>
        <w:tabs>
          <w:tab w:leader="none" w:pos="5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40" w:lineRule="exact"/>
        <w:rPr>
          <w:rFonts w:ascii="Arial" w:cs="Arial" w:eastAsia="Arial" w:hAnsi="Arial"/>
          <w:sz w:val="16"/>
          <w:szCs w:val="16"/>
          <w:color w:val="auto"/>
        </w:rPr>
      </w:pPr>
    </w:p>
    <w:p>
      <w:pPr>
        <w:ind w:left="503" w:right="300" w:hanging="503"/>
        <w:spacing w:after="0" w:line="308" w:lineRule="auto"/>
        <w:tabs>
          <w:tab w:leader="none" w:pos="5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146"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26" w:name="page27"/>
    <w:bookmarkEnd w:id="26"/>
    <w:p>
      <w:pPr>
        <w:ind w:left="1020" w:right="20" w:hanging="503"/>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rFonts w:ascii="Arial" w:cs="Arial" w:eastAsia="Arial" w:hAnsi="Arial"/>
          <w:sz w:val="17"/>
          <w:szCs w:val="17"/>
          <w:color w:val="auto"/>
        </w:rPr>
      </w:pPr>
    </w:p>
    <w:p>
      <w:pPr>
        <w:ind w:left="1020" w:right="2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comply with the continued listing requirements of the Nasdaq Global Market, such that our common stock may be delisted and the price of our common stock and its ability to access the capital markets could be negatively impacted. We have received a written notice from Nasdaq regarding our failure to meet the listing requirements by Nasdaq, which has triggered a 180 calendar-day grace period for us to regain compliance.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Biotics and we have incurred significant operating losses since our inception. Our net loss was approximately $15.6 million and $15.7 million for the three months ended March 31, 2023 and March 31, 2022, respectively. As of March 31, 2023, we had an accumulated deficit of approximately $372.6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2"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7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spacing w:after="0" w:line="273" w:lineRule="auto"/>
        <w:rPr>
          <w:sz w:val="20"/>
          <w:szCs w:val="20"/>
          <w:color w:val="auto"/>
        </w:rPr>
      </w:pPr>
      <w:r>
        <w:rPr>
          <w:rFonts w:ascii="Arial" w:cs="Arial" w:eastAsia="Arial" w:hAnsi="Arial"/>
          <w:sz w:val="17"/>
          <w:szCs w:val="17"/>
          <w:color w:val="auto"/>
        </w:rPr>
        <w:t>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8" w:lineRule="exact"/>
        <w:rPr>
          <w:sz w:val="20"/>
          <w:szCs w:val="20"/>
          <w:color w:val="auto"/>
        </w:rPr>
      </w:pPr>
    </w:p>
    <w:p>
      <w:pPr>
        <w:ind w:right="460" w:firstLine="509"/>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milestones with our collaborators, such as Roche;</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Arial" w:cs="Arial" w:eastAsia="Arial" w:hAnsi="Arial"/>
          <w:sz w:val="18"/>
          <w:szCs w:val="18"/>
          <w:u w:val="single" w:color="auto"/>
          <w:color w:val="auto"/>
        </w:rPr>
        <w:t>,</w:t>
      </w:r>
      <w:r>
        <w:rPr>
          <w:rFonts w:ascii="Arial" w:cs="Arial" w:eastAsia="Arial" w:hAnsi="Arial"/>
          <w:sz w:val="18"/>
          <w:szCs w:val="18"/>
          <w:color w:val="auto"/>
        </w:rPr>
        <w:t xml:space="preserve">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20" w:right="5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 w:name="page29"/>
    <w:bookmarkEnd w:id="28"/>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Perspectives on synthetic biology and genetic engineering;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Perspectives on the programs of competitors</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disruptions caused by natural disasters;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09"/>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w:t>
      </w:r>
    </w:p>
    <w:p>
      <w:pPr>
        <w:spacing w:after="0" w:line="73"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ind w:right="140"/>
        <w:spacing w:after="0" w:line="259" w:lineRule="auto"/>
        <w:rPr>
          <w:sz w:val="20"/>
          <w:szCs w:val="20"/>
          <w:color w:val="auto"/>
        </w:rPr>
      </w:pPr>
      <w:r>
        <w:rPr>
          <w:rFonts w:ascii="Arial" w:cs="Arial" w:eastAsia="Arial" w:hAnsi="Arial"/>
          <w:sz w:val="18"/>
          <w:szCs w:val="18"/>
          <w:color w:val="auto"/>
        </w:rPr>
        <w:t>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58" w:lineRule="exact"/>
        <w:rPr>
          <w:sz w:val="20"/>
          <w:szCs w:val="20"/>
          <w:color w:val="auto"/>
        </w:rPr>
      </w:pPr>
    </w:p>
    <w:p>
      <w:pPr>
        <w:ind w:firstLine="509"/>
        <w:spacing w:after="0" w:line="328"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Arial" w:cs="Arial" w:eastAsia="Arial" w:hAnsi="Arial"/>
          <w:sz w:val="19"/>
          <w:szCs w:val="19"/>
          <w:color w:val="auto"/>
        </w:rPr>
        <w:t>:</w:t>
      </w:r>
    </w:p>
    <w:p>
      <w:pPr>
        <w:spacing w:after="0" w:line="1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access to working capital 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or credit or other credit support arrangements; or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termination of cash management arrangements and/or delays in accessing or actual loss of funds subject to cash management arrangements.</w:t>
      </w:r>
    </w:p>
    <w:p>
      <w:pPr>
        <w:spacing w:after="0" w:line="14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6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20" w:right="1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Inability to generate satisfactory preclinical or other nonclinical data, including,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or diagnostics to support the initiation or continuation of clinical trials;</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left="1020" w:right="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20" w:right="44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including demonstrating proof of concept for SYNB1934 for PKU, proof of concept for SYNB8802 for enteric hyperoxaluria, and proof of mechanism for SYNB1353 for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8"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required to conduct additional clinical trials or costly post-marketing testing and surveillance to monitor the safety of the product;</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2" w:name="page33"/>
    <w:bookmarkEnd w:id="32"/>
    <w:p>
      <w:pPr>
        <w:ind w:right="10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addition, none of our product candidates have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In May 2022, the EMA granted orphan designation to SYNB1618 for the treatment of PKU in March 2023, SYNB1934 received a positive opinion on orphan designation for the treatment of PKU and in May 2023, the FDA granted orphan drug designation to SYNB1934 as a treatment for PKU. In November 2022, we received orphan drug designation from the FDA for SYNB1353 as a potential treatment for HCU.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3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seek a Rare Pediatric Disease Designation, or RPDD, for one or more of our product candidates. However, a BLA for one or more of our product candidates may not meet the eligibility criteria for a priority review voucher upon approval.</w:t>
      </w:r>
    </w:p>
    <w:p>
      <w:pPr>
        <w:spacing w:after="0" w:line="17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January 2023, SYNB1934 received Rare Pediatric Drug Designation (RPDD)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3" w:name="page34"/>
    <w:bookmarkEnd w:id="33"/>
    <w:p>
      <w:pPr>
        <w:ind w:right="120"/>
        <w:spacing w:after="0" w:line="301" w:lineRule="auto"/>
        <w:rPr>
          <w:sz w:val="20"/>
          <w:szCs w:val="20"/>
          <w:color w:val="auto"/>
        </w:rPr>
      </w:pPr>
      <w:r>
        <w:rPr>
          <w:rFonts w:ascii="Arial" w:cs="Arial" w:eastAsia="Arial" w:hAnsi="Arial"/>
          <w:sz w:val="16"/>
          <w:szCs w:val="16"/>
          <w:color w:val="auto"/>
        </w:rPr>
        <w:t>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57"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firstLine="8"/>
        <w:spacing w:after="0" w:line="25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though we received rare pediatric disease designation for SYNB1934 and SYNB1353 by the current statutory deadline of September 30, 2024 we may not receive the voucher if we do not obtain approval by September 2026. Even if 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spacing w:after="0" w:line="3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150,000 patients that may be diagnosed with PKU in the United States, Europe and Asia.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right="20"/>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key employees;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geopolitical tensions, such as the armed conflict between Russia and Ukraine, may materially and adversely affect our business and our financial results.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Over the past several years, the coronavirus outbreak has affected segments of the global economy and it may continue to materially affect our operations,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For example, in 2021, we experienced delays with the FDA that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Our CROs and clinical trial sites also experienced labor shortages in 2022, 2021 and 2020. Some patients may not be able to comply with clinical trial protocols if quarantines or their concerns about COVID-19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8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COVID-19 pandemic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We continue to monitor the potential impact of the coronavirus outbreak, and any associated restrictions on travel and work that have been implemented, on our business and pre-clinical and clinical trials. The extent to which the coronavirus impacts us will depend on future developments, which are uncertain and cannot be predicted. We will continue to carefully monitor the situation with respect to each of our clinical trials and follow guidance from local and federal health authorities.</w:t>
      </w:r>
    </w:p>
    <w:p>
      <w:pPr>
        <w:spacing w:after="0" w:line="187"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COVID-19 may also affect employees of third-party contract research organizations and contract manufacturing organizations located in affected geographies that we rely upon to carry out our clinical trials. For example, there were delays in laboratory analyses of patient samples due to pandemic related staffing issues at our CROs in 2021. In addition, we have taken precautionary measures, and may take additional measures, intended to help minimize the risk of the virus to our employees. We will continue to adjust these measures as necessary and as we are able in the future to balance the needs of our business with the safety of our employees.</w:t>
      </w:r>
    </w:p>
    <w:p>
      <w:pPr>
        <w:spacing w:after="0" w:line="18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cannot presently predict the extent to which potential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Similarly, the current conflict between Ukraine and Russia has created extreme volatility in the global capital markets and is expected to have further global economic consequences, including disruptions of the global supply chain and energy markets. A recession or market correction resulting from the continued spread of COVID-19 or the geopolitical tensions in Russia and Ukraine, could materially affect our business and the price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candidate and it is possible that none of our existing product candidates or any product candidates we may seek to develop in the future will ever obtain that approval.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comparable foreign regulatory authorities in order to support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380" w:hanging="503"/>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15" w:lineRule="exact"/>
        <w:rPr>
          <w:rFonts w:ascii="Arial" w:cs="Arial" w:eastAsia="Arial" w:hAnsi="Arial"/>
          <w:sz w:val="16"/>
          <w:szCs w:val="16"/>
          <w:color w:val="auto"/>
        </w:rPr>
      </w:pPr>
    </w:p>
    <w:p>
      <w:pPr>
        <w:ind w:left="1020" w:right="38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7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92"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100" w:firstLine="509"/>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160"/>
        <w:spacing w:after="0" w:line="342" w:lineRule="auto"/>
        <w:rPr>
          <w:sz w:val="20"/>
          <w:szCs w:val="20"/>
          <w:color w:val="auto"/>
        </w:rPr>
      </w:pPr>
      <w:r>
        <w:rPr>
          <w:rFonts w:ascii="Arial" w:cs="Arial" w:eastAsia="Arial" w:hAnsi="Arial"/>
          <w:sz w:val="16"/>
          <w:szCs w:val="16"/>
          <w:color w:val="auto"/>
        </w:rPr>
        <w:t>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3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76" w:lineRule="exact"/>
        <w:rPr>
          <w:sz w:val="20"/>
          <w:szCs w:val="20"/>
          <w:color w:val="auto"/>
        </w:rPr>
      </w:pPr>
    </w:p>
    <w:p>
      <w:pPr>
        <w:jc w:val="both"/>
        <w:ind w:right="40" w:firstLine="509"/>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in April 2018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5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p>
      <w:pPr>
        <w:jc w:val="both"/>
        <w:ind w:right="40" w:firstLine="509"/>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1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9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300"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financial condition or results of operations.</w:t>
      </w:r>
    </w:p>
    <w:p>
      <w:pPr>
        <w:spacing w:after="0" w:line="129"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88"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subject to enforcement via civil money penalties.</w:t>
      </w:r>
    </w:p>
    <w:p>
      <w:pPr>
        <w:spacing w:after="0" w:line="196"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For example, in July 2021, President Biden issued a sweeping executive order on promoting competition in the American economy that included several mandates pertaining to the pharmaceutical and health care insurance industries and called on HHS to release a comprehensive plan to combat high prescription drug prices.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w:t>
      </w:r>
    </w:p>
    <w:p>
      <w:pPr>
        <w:spacing w:after="0" w:line="17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The effect of the IRA on our business and the healthcare industry in general is not yet known. There remains a large amount of uncertainty regarding the federal government’s approach to making pharmaceutical treatment costs more affordable for patients.</w:t>
      </w:r>
    </w:p>
    <w:p>
      <w:pPr>
        <w:spacing w:after="0" w:line="194"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7"/>
          <w:szCs w:val="17"/>
          <w:color w:val="auto"/>
        </w:rPr>
        <w:t>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84"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20" w:right="6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20" w:right="160" w:hanging="503"/>
        <w:spacing w:after="0" w:line="30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20" w:right="560" w:hanging="503"/>
        <w:spacing w:after="0" w:line="308"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20" w:right="60" w:hanging="503"/>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8"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ind w:right="240" w:firstLine="509"/>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many activities, including the conduct of clinical trials, we are subject to laws and regulations governing data privacy and the protection of health-related and other personal information. The regulatory framework for collecting, using, safeguarding, sharing, transferring and other processing of information worldwide is rapidly evolving and is likely to remain uncertain for the foreseeable future.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on May 25, 2018. The withdrawal of the United Kingdom from the European Union and the subsequent separation of the data protection regimes of these territories mean we are required to comply with separate data protection laws in the European Union and the United Kingdom, which may lead to additional compliance costs and could increase our overall risk. Similar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0" w:lineRule="exact"/>
        <w:rPr>
          <w:sz w:val="20"/>
          <w:szCs w:val="20"/>
          <w:color w:val="auto"/>
        </w:rPr>
      </w:pPr>
    </w:p>
    <w:p>
      <w:pPr>
        <w:ind w:right="320" w:firstLine="509"/>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jc w:val="both"/>
        <w:ind w:right="120"/>
        <w:spacing w:after="0" w:line="259" w:lineRule="auto"/>
        <w:rPr>
          <w:sz w:val="20"/>
          <w:szCs w:val="20"/>
          <w:color w:val="auto"/>
        </w:rPr>
      </w:pPr>
      <w:r>
        <w:rPr>
          <w:rFonts w:ascii="Arial" w:cs="Arial" w:eastAsia="Arial" w:hAnsi="Arial"/>
          <w:sz w:val="18"/>
          <w:szCs w:val="18"/>
          <w:color w:val="auto"/>
        </w:rPr>
        <w:t>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In addition, California enacted the California Consumer Privacy Act (the CCPA), which took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2020, became enforceable by the California Attorney General on July 1, 2020, and has been dubbed the first “GDPR-like” law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The CCPA gives California residents expanded rights to access and delete their personal information, opt out of certain personal information sharing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receive detailed information about how their personal information is used by requiring covered companies to provide new disclosures to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consumers (as that term is broadly defined) and provide such consumers new ways to opt-out of certain sales of personal information. The CCPA provides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civil penalties for violations, as well as a private right of action for data breaches that is expected to increase data breach litigation. Further,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California Privacy Rights Act (the CPRA) recently passed in California. The CPRA will impose additional data protection obligations on companies doing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in California, including additional consumer rights processes, limitations on data uses, new audit requirements for higher risk data, and opt outs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certain uses of sensitive data. It will also create a new California data protection agency authorized to issue substantive regulations and could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privacy and information security enforcement. The majority of the provisions will go into effect on January 1, 2023, and additional compliance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and potential business process changes may be required. Although the CCPA currently exempts certain health-related information,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trial data, the CCPA and the CPRA may increase our compliance costs and potential liability. Similar laws have been adopted in other states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example Nevada, Virginia, Connecticut, Utah and Colorado) or proposed in other states and at the federal level, and if passed, such laws may have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potentially conflicting requirements that would make compliance challenging.</w:t>
      </w:r>
    </w:p>
    <w:p>
      <w:pPr>
        <w:spacing w:after="0" w:line="21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The number and complexity of these threats continue to increase over time.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ind w:firstLine="509"/>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Biotics, product candidates and processes for our development pipeline through acquisitions and in-licenses.</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w:t>
      </w:r>
    </w:p>
    <w:p>
      <w:pPr>
        <w:spacing w:after="0" w:line="18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w:t>
      </w:r>
    </w:p>
    <w:p>
      <w:pPr>
        <w:spacing w:after="0" w:line="188"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9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84"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European patent practice is expected to change when the European Unitary Patent (UP) and Unified Patent Court (UPC) enter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ind w:right="100"/>
        <w:spacing w:after="0" w:line="263" w:lineRule="auto"/>
        <w:rPr>
          <w:sz w:val="20"/>
          <w:szCs w:val="20"/>
          <w:color w:val="auto"/>
        </w:rPr>
      </w:pPr>
      <w:r>
        <w:rPr>
          <w:rFonts w:ascii="Arial" w:cs="Arial" w:eastAsia="Arial" w:hAnsi="Arial"/>
          <w:sz w:val="18"/>
          <w:szCs w:val="18"/>
          <w:color w:val="auto"/>
        </w:rPr>
        <w:t>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right="20"/>
        <w:spacing w:after="0" w:line="255" w:lineRule="auto"/>
        <w:rPr>
          <w:sz w:val="20"/>
          <w:szCs w:val="20"/>
          <w:color w:val="auto"/>
        </w:rPr>
      </w:pPr>
      <w:r>
        <w:rPr>
          <w:rFonts w:ascii="Arial" w:cs="Arial" w:eastAsia="Arial" w:hAnsi="Arial"/>
          <w:sz w:val="18"/>
          <w:szCs w:val="18"/>
          <w:color w:val="auto"/>
        </w:rPr>
        <w:t>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9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ind w:right="60"/>
        <w:spacing w:after="0" w:line="269" w:lineRule="auto"/>
        <w:rPr>
          <w:sz w:val="20"/>
          <w:szCs w:val="20"/>
          <w:color w:val="auto"/>
        </w:rPr>
      </w:pPr>
      <w:r>
        <w:rPr>
          <w:rFonts w:ascii="Arial" w:cs="Arial" w:eastAsia="Arial" w:hAnsi="Arial"/>
          <w:sz w:val="17"/>
          <w:szCs w:val="17"/>
          <w:color w:val="auto"/>
        </w:rPr>
        <w:t>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1" w:name="page52"/>
    <w:bookmarkEnd w:id="51"/>
    <w:p>
      <w:pPr>
        <w:ind w:right="82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w:t>
      </w:r>
    </w:p>
    <w:p>
      <w:pPr>
        <w:spacing w:after="0" w:line="1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For example, we have agreements with Azzur Cleanrooms-On-Demand to lease clean-room space at their facility for manufacturing and formulation of cGMP 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8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20" w:right="6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 which may impact our potential economic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2" w:name="page53"/>
    <w:bookmarkEnd w:id="52"/>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firstLine="509"/>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09"/>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140" w:firstLine="509"/>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 developed or are developing product candidates for the treatment of PKU. Novome Biotechnologies, Inc., Federation Bio, Inc., Oxidien Pharmaceuticals L.L.C. and others are developing product candidates for enteric hyperoxaluria. Travere Therapeutics is developing product candidates for HCU. Selecta Biosciences, Jiangsu HengRui Medicine Co., Ltd., Horizon Pharma Inc., Dyve Biosciences, Arrowhead Pharmaceuticals, and HemoShear Therapeutics are developing drug candidates for gout.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ind w:right="180" w:firstLine="509"/>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5" w:name="page56"/>
    <w:bookmarkEnd w:id="55"/>
    <w:p>
      <w:pPr>
        <w:ind w:right="180"/>
        <w:spacing w:after="0" w:line="277" w:lineRule="auto"/>
        <w:rPr>
          <w:sz w:val="20"/>
          <w:szCs w:val="20"/>
          <w:color w:val="auto"/>
        </w:rPr>
      </w:pPr>
      <w:r>
        <w:rPr>
          <w:rFonts w:ascii="Arial" w:cs="Arial" w:eastAsia="Arial" w:hAnsi="Arial"/>
          <w:sz w:val="18"/>
          <w:szCs w:val="18"/>
          <w:color w:val="auto"/>
        </w:rPr>
        <w:t>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62" w:lineRule="exact"/>
        <w:rPr>
          <w:sz w:val="20"/>
          <w:szCs w:val="20"/>
          <w:color w:val="auto"/>
        </w:rPr>
      </w:pPr>
    </w:p>
    <w:p>
      <w:pPr>
        <w:ind w:left="1020" w:right="5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firstLine="509"/>
        <w:spacing w:after="0" w:line="296"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6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64" w:lineRule="exact"/>
        <w:rPr>
          <w:sz w:val="20"/>
          <w:szCs w:val="20"/>
          <w:color w:val="auto"/>
        </w:rPr>
      </w:pPr>
    </w:p>
    <w:p>
      <w:pPr>
        <w:ind w:right="280" w:firstLine="509"/>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5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Based on the beneficial ownership of our common stock as of May 4, 2023, our executive officers and directors, together with holders of 5% or more of our common stock outstanding and their respective affiliates, beneficially own approximately 47.0%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May 4, 2023, there were a total of 68,211,278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20" w:right="16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8" w:name="page59"/>
    <w:bookmarkEnd w:id="58"/>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b w:val="1"/>
          <w:bCs w:val="1"/>
          <w:i w:val="1"/>
          <w:iCs w:val="1"/>
          <w:color w:val="auto"/>
        </w:rPr>
        <w:t>If we continue to fail to comply with the continued listing requirements of the Nasdaq Global Market, our common stock may be delisted and the price of our common stock and our ability to access the capital markets could be negatively impacted.</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common stock is currently listed for trading on the Nasdaq Global Market (“Nasdaq”). We must satisfy Nasdaq’s continued listing requirements, including, among other things, a minimum bid price for our common stock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December 6, 2022, we received a written notice from Nasdaq notifying us that, based upon the closing bid price of our common stock for the prior 30 consecutive business days, our common stock did not meet the minimum bid price of $1.00 per share required by Nasdaq Listing Rule 5450(a)(1), initiating an automatic 180 calendar-day grace period for us to regain compliance.</w:t>
      </w:r>
    </w:p>
    <w:p>
      <w:pPr>
        <w:spacing w:after="0" w:line="76"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In accordance with Nasdaq Listing Rule 5810(c)(3)(A), we have a period of 180 calendar days from the date of the notification, or until June 5, 2023, to achieve compliance with the minimum bid price requirement. We will regain compliance with the minimum bid price requirement if at any time before June 5, 2023, the bid price for our common stock closes at or above $1.00 per share for a minimum of 10 consecutive business days.</w:t>
      </w:r>
    </w:p>
    <w:p>
      <w:pPr>
        <w:spacing w:after="0" w:line="41"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We may choose on or before June 5, 2023 to transfer to the Nasdaq Capital Market and apply for a second 180 calendar day period to regain compliance. If we do not regain compliance within the allotted compliance periods, including any extensions that may be granted by Nasdaq, Nasdaq will provide notice that our common stock will be subject to delisting. At such time, we may appeal the delisting determination to a hearings panel.</w:t>
      </w:r>
    </w:p>
    <w:p>
      <w:pPr>
        <w:spacing w:after="0" w:line="4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intend to continue to monitor the bid price levels for our common stock and will consider appropriate alternatives to achieve compliance within the 180 calendar-day compliance periods, including, among other things, a potential reverse stock split. There can be no assurance, however, that we will be able to do so.</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2" w:right="4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8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0" w:type="dxa"/>
            <w:vAlign w:val="bottom"/>
            <w:gridSpan w:val="4"/>
            <w:vMerge w:val="restart"/>
          </w:tcPr>
          <w:p>
            <w:pPr>
              <w:ind w:left="14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with this</w:t>
            </w: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4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0000FF"/>
                <w:w w:val="97"/>
              </w:rPr>
              <w:t>Certification of Chief Executive Officer required by Rule 13a-14(a) or Rule 15d-</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6"/>
          </w:tcPr>
          <w:p>
            <w:pPr>
              <w:spacing w:after="0" w:line="183" w:lineRule="exact"/>
              <w:rPr>
                <w:sz w:val="20"/>
                <w:szCs w:val="20"/>
                <w:color w:val="auto"/>
              </w:rPr>
            </w:pPr>
            <w:r>
              <w:rPr>
                <w:rFonts w:ascii="Arial" w:cs="Arial" w:eastAsia="Arial" w:hAnsi="Arial"/>
                <w:sz w:val="16"/>
                <w:szCs w:val="16"/>
                <w:color w:val="0000FF"/>
              </w:rPr>
              <w:t>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0000FF"/>
                <w:w w:val="95"/>
              </w:rPr>
              <w:t>Certification of Interim Chief Financial Officer required by Rule 13a-14(a) or Rule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7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6"/>
          </w:tcPr>
          <w:p>
            <w:pPr>
              <w:spacing w:after="0" w:line="183" w:lineRule="exact"/>
              <w:rPr>
                <w:sz w:val="20"/>
                <w:szCs w:val="20"/>
                <w:color w:val="auto"/>
              </w:rPr>
            </w:pPr>
            <w:r>
              <w:rPr>
                <w:rFonts w:ascii="Arial" w:cs="Arial" w:eastAsia="Arial" w:hAnsi="Arial"/>
                <w:sz w:val="16"/>
                <w:szCs w:val="16"/>
                <w:color w:val="0000FF"/>
              </w:rPr>
              <w:t>15d-14(a).</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0000FF"/>
                <w:w w:val="97"/>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6"/>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ind w:left="100"/>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0000FF"/>
                <w:w w:val="97"/>
              </w:rPr>
              <w:t>Certification required by Rule 13a-14(b) or Rule 15d-14(b) and Section 1350 of</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60" w:type="dxa"/>
            <w:vAlign w:val="bottom"/>
            <w:gridSpan w:val="6"/>
          </w:tcPr>
          <w:p>
            <w:pPr>
              <w:spacing w:after="0" w:line="183" w:lineRule="exact"/>
              <w:rPr>
                <w:sz w:val="20"/>
                <w:szCs w:val="20"/>
                <w:color w:val="auto"/>
              </w:rPr>
            </w:pPr>
            <w:r>
              <w:rPr>
                <w:rFonts w:ascii="Arial" w:cs="Arial" w:eastAsia="Arial" w:hAnsi="Arial"/>
                <w:sz w:val="16"/>
                <w:szCs w:val="16"/>
                <w:color w:val="0000FF"/>
              </w:rPr>
              <w:t>Chapter 63 of Title 18 of the United States Code (18 U.S.C. §1350).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00" w:type="dxa"/>
            <w:vAlign w:val="bottom"/>
          </w:tcPr>
          <w:p>
            <w:pPr>
              <w:ind w:left="2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w w:val="95"/>
              </w:rPr>
              <w:t>Inline XBRL Instance Document – the instance document does not appear in the</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w w:val="97"/>
              </w:rPr>
              <w:t>Interactive Date File because XBRL tags are embedded within the Inline XBRL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ind w:left="2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5460" w:type="dxa"/>
            <w:vAlign w:val="bottom"/>
            <w:gridSpan w:val="6"/>
          </w:tcPr>
          <w:p>
            <w:pPr>
              <w:spacing w:after="0"/>
              <w:rPr>
                <w:sz w:val="20"/>
                <w:szCs w:val="20"/>
                <w:color w:val="auto"/>
              </w:rPr>
            </w:pPr>
            <w:r>
              <w:rPr>
                <w:rFonts w:ascii="Arial" w:cs="Arial" w:eastAsia="Arial" w:hAnsi="Arial"/>
                <w:sz w:val="16"/>
                <w:szCs w:val="16"/>
                <w:color w:val="auto"/>
                <w:w w:val="97"/>
              </w:rPr>
              <w:t>Cover Page Interactive Data File (embedded within the Inline XBRL document)</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X</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68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6" w:lineRule="exact"/>
        <w:rPr>
          <w:sz w:val="20"/>
          <w:szCs w:val="20"/>
          <w:color w:val="auto"/>
        </w:rPr>
      </w:pPr>
    </w:p>
    <w:p>
      <w:pPr>
        <w:ind w:right="80" w:firstLine="8"/>
        <w:spacing w:after="0" w:line="335" w:lineRule="auto"/>
        <w:tabs>
          <w:tab w:leader="none" w:pos="22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6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SYNLOGIC, INC.</w:t>
      </w:r>
    </w:p>
    <w:p>
      <w:pPr>
        <w:spacing w:after="0" w:line="306" w:lineRule="exact"/>
        <w:rPr>
          <w:sz w:val="20"/>
          <w:szCs w:val="20"/>
          <w:color w:val="auto"/>
        </w:rPr>
      </w:pPr>
    </w:p>
    <w:p>
      <w:pPr>
        <w:ind w:left="68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9" w:lineRule="exact"/>
        <w:rPr>
          <w:sz w:val="20"/>
          <w:szCs w:val="20"/>
          <w:color w:val="auto"/>
        </w:rPr>
      </w:pPr>
    </w:p>
    <w:p>
      <w:pPr>
        <w:ind w:left="68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23495</wp:posOffset>
            </wp:positionV>
            <wp:extent cx="2468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Officer and Principal Accounting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Jensen, certify that:</w:t>
      </w:r>
    </w:p>
    <w:p>
      <w:pPr>
        <w:spacing w:after="0" w:line="225"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March 31, 2023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41"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Aoife Brennan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connection with the Quarterly Report of Synlogic, Inc. (the “Company”) on Form 10-Q for the period ended March 31, 2023 as filed with the Securities and Exchange Commission on the date hereof (the “Report”), I, Michael Jensen, Chief Financial Officer of the Company, certify, pursuant to 18 U.S.C. Section 1350, as adopted pursuant to Section 906 of the Sarbanes-Oxley Act of 2002, to my knowledge that:</w:t>
      </w:r>
    </w:p>
    <w:p>
      <w:pPr>
        <w:spacing w:after="0" w:line="7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7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Jensen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May 11, 2023</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2"/>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1"/>
    </w:lvl>
  </w:abstractNum>
  <w:abstractNum w:abstractNumId="14">
    <w:nsid w:val="7C3DBD3D"/>
    <w:multiLevelType w:val="hybridMultilevel"/>
    <w:lvl w:ilvl="0">
      <w:lvlJc w:val="left"/>
      <w:lvlText w:val="(%1)"/>
      <w:numFmt w:val="decimal"/>
      <w:start w:val="12"/>
    </w:lvl>
  </w:abstractNum>
  <w:abstractNum w:abstractNumId="15">
    <w:nsid w:val="737B8DDC"/>
    <w:multiLevelType w:val="hybridMultilevel"/>
    <w:lvl w:ilvl="0">
      <w:lvlJc w:val="left"/>
      <w:lvlText w:val="(%1)"/>
      <w:numFmt w:val="decimal"/>
      <w:start w:val="13"/>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Letter"/>
      <w:start w:val="2"/>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2023-05-11T05:43:32Z</dcterms:created>
  <dcterms:modified xsi:type="dcterms:W3CDTF">2023-05-11T05:43:32Z</dcterms:modified>
</cp:coreProperties>
</file>