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SYNLOGIC,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4160" w:type="dxa"/>
            <w:vAlign w:val="bottom"/>
          </w:tcPr>
          <w:p>
            <w:pPr>
              <w:jc w:val="center"/>
              <w:ind w:right="1699"/>
              <w:spacing w:after="0"/>
              <w:rPr>
                <w:sz w:val="20"/>
                <w:szCs w:val="20"/>
                <w:color w:val="auto"/>
              </w:rPr>
            </w:pPr>
            <w:r>
              <w:rPr>
                <w:rFonts w:ascii="Arial" w:cs="Arial" w:eastAsia="Arial" w:hAnsi="Arial"/>
                <w:sz w:val="18"/>
                <w:szCs w:val="18"/>
                <w:b w:val="1"/>
                <w:bCs w:val="1"/>
                <w:color w:val="auto"/>
                <w:w w:val="93"/>
              </w:rPr>
              <w:t>Delaware</w:t>
            </w:r>
          </w:p>
        </w:tc>
        <w:tc>
          <w:tcPr>
            <w:tcW w:w="3780" w:type="dxa"/>
            <w:vAlign w:val="bottom"/>
          </w:tcPr>
          <w:p>
            <w:pPr>
              <w:jc w:val="right"/>
              <w:ind w:right="481"/>
              <w:spacing w:after="0"/>
              <w:rPr>
                <w:sz w:val="20"/>
                <w:szCs w:val="20"/>
                <w:color w:val="auto"/>
              </w:rPr>
            </w:pPr>
            <w:r>
              <w:rPr>
                <w:rFonts w:ascii="Arial" w:cs="Arial" w:eastAsia="Arial" w:hAnsi="Arial"/>
                <w:sz w:val="18"/>
                <w:szCs w:val="18"/>
                <w:b w:val="1"/>
                <w:bCs w:val="1"/>
                <w:color w:val="auto"/>
              </w:rPr>
              <w:t>26-1824804</w:t>
            </w:r>
          </w:p>
        </w:tc>
      </w:tr>
      <w:tr>
        <w:trPr>
          <w:trHeight w:val="149"/>
        </w:trPr>
        <w:tc>
          <w:tcPr>
            <w:tcW w:w="4160" w:type="dxa"/>
            <w:vAlign w:val="bottom"/>
          </w:tcPr>
          <w:p>
            <w:pPr>
              <w:jc w:val="center"/>
              <w:ind w:right="16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1679"/>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ind w:left="172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60" w:type="dxa"/>
            <w:vAlign w:val="bottom"/>
          </w:tcPr>
          <w:p>
            <w:pPr>
              <w:jc w:val="center"/>
              <w:ind w:right="1679"/>
              <w:spacing w:after="0"/>
              <w:rPr>
                <w:sz w:val="20"/>
                <w:szCs w:val="20"/>
                <w:color w:val="auto"/>
              </w:rPr>
            </w:pPr>
            <w:r>
              <w:rPr>
                <w:rFonts w:ascii="Arial" w:cs="Arial" w:eastAsia="Arial" w:hAnsi="Arial"/>
                <w:sz w:val="18"/>
                <w:szCs w:val="18"/>
                <w:b w:val="1"/>
                <w:bCs w:val="1"/>
                <w:color w:val="auto"/>
                <w:w w:val="89"/>
              </w:rPr>
              <w:t>200 Sidney St., Suite 320</w:t>
            </w:r>
          </w:p>
        </w:tc>
        <w:tc>
          <w:tcPr>
            <w:tcW w:w="3780" w:type="dxa"/>
            <w:vAlign w:val="bottom"/>
          </w:tcPr>
          <w:p>
            <w:pPr>
              <w:spacing w:after="0"/>
              <w:rPr>
                <w:sz w:val="24"/>
                <w:szCs w:val="24"/>
                <w:color w:val="auto"/>
              </w:rPr>
            </w:pPr>
          </w:p>
        </w:tc>
      </w:tr>
      <w:tr>
        <w:trPr>
          <w:trHeight w:val="225"/>
        </w:trPr>
        <w:tc>
          <w:tcPr>
            <w:tcW w:w="4160" w:type="dxa"/>
            <w:vAlign w:val="bottom"/>
          </w:tcPr>
          <w:p>
            <w:pPr>
              <w:jc w:val="center"/>
              <w:ind w:right="1699"/>
              <w:spacing w:after="0"/>
              <w:rPr>
                <w:sz w:val="20"/>
                <w:szCs w:val="20"/>
                <w:color w:val="auto"/>
              </w:rPr>
            </w:pPr>
            <w:r>
              <w:rPr>
                <w:rFonts w:ascii="Arial" w:cs="Arial" w:eastAsia="Arial" w:hAnsi="Arial"/>
                <w:sz w:val="18"/>
                <w:szCs w:val="18"/>
                <w:b w:val="1"/>
                <w:bCs w:val="1"/>
                <w:color w:val="auto"/>
                <w:w w:val="92"/>
              </w:rPr>
              <w:t>Cambridge, MA 02139</w:t>
            </w:r>
          </w:p>
        </w:tc>
        <w:tc>
          <w:tcPr>
            <w:tcW w:w="3780" w:type="dxa"/>
            <w:vAlign w:val="bottom"/>
          </w:tcPr>
          <w:p>
            <w:pPr>
              <w:jc w:val="right"/>
              <w:ind w:right="341"/>
              <w:spacing w:after="0"/>
              <w:rPr>
                <w:sz w:val="20"/>
                <w:szCs w:val="20"/>
                <w:color w:val="auto"/>
              </w:rPr>
            </w:pPr>
            <w:r>
              <w:rPr>
                <w:rFonts w:ascii="Arial" w:cs="Arial" w:eastAsia="Arial" w:hAnsi="Arial"/>
                <w:sz w:val="18"/>
                <w:szCs w:val="18"/>
                <w:b w:val="1"/>
                <w:bCs w:val="1"/>
                <w:color w:val="auto"/>
              </w:rPr>
              <w:t>(617) 401-9947</w:t>
            </w:r>
          </w:p>
        </w:tc>
      </w:tr>
      <w:tr>
        <w:trPr>
          <w:trHeight w:val="186"/>
        </w:trPr>
        <w:tc>
          <w:tcPr>
            <w:tcW w:w="4160" w:type="dxa"/>
            <w:vAlign w:val="bottom"/>
          </w:tcPr>
          <w:p>
            <w:pPr>
              <w:jc w:val="center"/>
              <w:ind w:right="16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80" w:type="dxa"/>
            <w:vAlign w:val="bottom"/>
          </w:tcPr>
          <w:p>
            <w:pPr>
              <w:jc w:val="center"/>
              <w:ind w:left="1721"/>
              <w:spacing w:after="0"/>
              <w:rPr>
                <w:sz w:val="20"/>
                <w:szCs w:val="20"/>
                <w:color w:val="auto"/>
              </w:rPr>
            </w:pPr>
            <w:r>
              <w:rPr>
                <w:rFonts w:ascii="Arial" w:cs="Arial" w:eastAsia="Arial" w:hAnsi="Arial"/>
                <w:sz w:val="14"/>
                <w:szCs w:val="14"/>
                <w:b w:val="1"/>
                <w:bCs w:val="1"/>
                <w:color w:val="auto"/>
                <w:w w:val="91"/>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6, 2017, there were 16,285,271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180" w:type="dxa"/>
            <w:vAlign w:val="bottom"/>
            <w:gridSpan w:val="5"/>
          </w:tcPr>
          <w:p>
            <w:pPr>
              <w:jc w:val="center"/>
              <w:ind w:right="3520"/>
              <w:spacing w:after="0"/>
              <w:rPr>
                <w:sz w:val="20"/>
                <w:szCs w:val="20"/>
                <w:color w:val="auto"/>
              </w:rPr>
            </w:pPr>
            <w:r>
              <w:rPr>
                <w:rFonts w:ascii="Arial" w:cs="Arial" w:eastAsia="Arial" w:hAnsi="Arial"/>
                <w:sz w:val="18"/>
                <w:szCs w:val="18"/>
                <w:b w:val="1"/>
                <w:bCs w:val="1"/>
                <w:color w:val="auto"/>
              </w:rPr>
              <w:t>SYNLOGIC, INC. AND SUBSIDIARIES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80" w:type="dxa"/>
            <w:vAlign w:val="bottom"/>
            <w:gridSpan w:val="5"/>
          </w:tcPr>
          <w:p>
            <w:pPr>
              <w:jc w:val="center"/>
              <w:ind w:right="3520"/>
              <w:spacing w:after="0"/>
              <w:rPr>
                <w:sz w:val="20"/>
                <w:szCs w:val="20"/>
                <w:color w:val="auto"/>
              </w:rPr>
            </w:pPr>
            <w:r>
              <w:rPr>
                <w:rFonts w:ascii="Arial" w:cs="Arial" w:eastAsia="Arial" w:hAnsi="Arial"/>
                <w:sz w:val="18"/>
                <w:szCs w:val="18"/>
                <w:b w:val="1"/>
                <w:bCs w:val="1"/>
                <w:color w:val="auto"/>
                <w:w w:val="99"/>
              </w:rPr>
              <w:t>QUARTERLY REPORT ON FORM 10-Q</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0" w:type="dxa"/>
            <w:vAlign w:val="bottom"/>
            <w:gridSpan w:val="4"/>
          </w:tcPr>
          <w:p>
            <w:pPr>
              <w:jc w:val="center"/>
              <w:ind w:right="388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140" w:type="dxa"/>
            <w:vAlign w:val="bottom"/>
            <w:gridSpan w:val="1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7920" w:type="dxa"/>
            <w:vAlign w:val="bottom"/>
            <w:gridSpan w:val="9"/>
            <w:vMerge w:val="restart"/>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140" w:type="dxa"/>
            <w:vAlign w:val="bottom"/>
            <w:tcBorders>
              <w:bottom w:val="single" w:sz="8" w:color="0000EE"/>
            </w:tcBorders>
            <w:gridSpan w:val="12"/>
            <w:vMerge w:val="continue"/>
          </w:tcPr>
          <w:p>
            <w:pPr>
              <w:spacing w:after="0"/>
              <w:rPr>
                <w:sz w:val="13"/>
                <w:szCs w:val="13"/>
                <w:color w:val="auto"/>
              </w:rPr>
            </w:pPr>
          </w:p>
        </w:tc>
        <w:tc>
          <w:tcPr>
            <w:tcW w:w="7920" w:type="dxa"/>
            <w:vAlign w:val="bottom"/>
            <w:gridSpan w:val="9"/>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824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2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Comprehensive Loss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Statements of Cash Flows</w:t>
              </w:r>
            </w:hyperlink>
          </w:p>
        </w:tc>
        <w:tc>
          <w:tcPr>
            <w:tcW w:w="660" w:type="dxa"/>
            <w:vAlign w:val="bottom"/>
            <w:tcBorders>
              <w:top w:val="single" w:sz="8" w:color="0000EE"/>
            </w:tcBorders>
            <w:gridSpan w:val="2"/>
          </w:tcPr>
          <w:p>
            <w:pPr>
              <w:spacing w:after="0"/>
              <w:rPr>
                <w:sz w:val="24"/>
                <w:szCs w:val="24"/>
                <w:color w:val="auto"/>
              </w:rPr>
            </w:pPr>
          </w:p>
        </w:tc>
        <w:tc>
          <w:tcPr>
            <w:tcW w:w="68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2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 Controls and Procedures</w:t>
              </w:r>
            </w:hyperlink>
          </w:p>
        </w:tc>
        <w:tc>
          <w:tcPr>
            <w:tcW w:w="834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284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8220" w:type="dxa"/>
            <w:vAlign w:val="bottom"/>
            <w:gridSpan w:val="10"/>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 Legal Proceedings</w:t>
              </w:r>
            </w:hyperlink>
          </w:p>
        </w:tc>
        <w:tc>
          <w:tcPr>
            <w:tcW w:w="880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Item 1A. Risk Factors</w:t>
              </w:r>
            </w:hyperlink>
          </w:p>
        </w:tc>
        <w:tc>
          <w:tcPr>
            <w:tcW w:w="910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Item 2. Unregistered Sales of Equity Securities and Use of Proceeds</w:t>
              </w:r>
            </w:hyperlink>
          </w:p>
        </w:tc>
        <w:tc>
          <w:tcPr>
            <w:tcW w:w="57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3. Defaults Upon Senior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5"/>
          </w:tcPr>
          <w:p>
            <w:pPr>
              <w:spacing w:after="0"/>
              <w:rPr>
                <w:sz w:val="24"/>
                <w:szCs w:val="24"/>
                <w:color w:val="auto"/>
              </w:rPr>
            </w:pPr>
          </w:p>
        </w:tc>
        <w:tc>
          <w:tcPr>
            <w:tcW w:w="782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8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Item 5. Other Information</w:t>
              </w:r>
            </w:hyperlink>
          </w:p>
        </w:tc>
        <w:tc>
          <w:tcPr>
            <w:tcW w:w="88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6. 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34"/>
        </w:trPr>
        <w:tc>
          <w:tcPr>
            <w:tcW w:w="9160" w:type="dxa"/>
            <w:vAlign w:val="bottom"/>
            <w:gridSpan w:val="4"/>
          </w:tcPr>
          <w:p>
            <w:pPr>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20" w:type="dxa"/>
            <w:vAlign w:val="bottom"/>
            <w:gridSpan w:val="2"/>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0" w:type="dxa"/>
            <w:vAlign w:val="bottom"/>
          </w:tcPr>
          <w:p>
            <w:pPr>
              <w:jc w:val="center"/>
              <w:ind w:left="810"/>
              <w:spacing w:after="0"/>
              <w:rPr>
                <w:sz w:val="20"/>
                <w:szCs w:val="20"/>
                <w:color w:val="auto"/>
              </w:rPr>
            </w:pPr>
            <w:r>
              <w:rPr>
                <w:rFonts w:ascii="Arial" w:cs="Arial" w:eastAsia="Arial" w:hAnsi="Arial"/>
                <w:sz w:val="18"/>
                <w:szCs w:val="18"/>
                <w:b w:val="1"/>
                <w:bCs w:val="1"/>
                <w:color w:val="auto"/>
              </w:rPr>
              <w:t>SYNLOGIC, INC. AND SUBSIDIARIES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0" w:type="dxa"/>
            <w:vAlign w:val="bottom"/>
          </w:tcPr>
          <w:p>
            <w:pPr>
              <w:jc w:val="center"/>
              <w:ind w:left="830"/>
              <w:spacing w:after="0"/>
              <w:rPr>
                <w:sz w:val="20"/>
                <w:szCs w:val="20"/>
                <w:color w:val="auto"/>
              </w:rPr>
            </w:pPr>
            <w:r>
              <w:rPr>
                <w:rFonts w:ascii="Arial" w:cs="Arial" w:eastAsia="Arial" w:hAnsi="Arial"/>
                <w:sz w:val="18"/>
                <w:szCs w:val="18"/>
                <w:color w:val="auto"/>
                <w:w w:val="89"/>
              </w:rPr>
              <w:t>Unaudited Consolidated Balance Sheets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0" w:type="dxa"/>
            <w:vAlign w:val="bottom"/>
          </w:tcPr>
          <w:p>
            <w:pPr>
              <w:jc w:val="center"/>
              <w:ind w:left="830"/>
              <w:spacing w:after="0"/>
              <w:rPr>
                <w:sz w:val="20"/>
                <w:szCs w:val="20"/>
                <w:color w:val="auto"/>
              </w:rPr>
            </w:pPr>
            <w:r>
              <w:rPr>
                <w:rFonts w:ascii="Arial" w:cs="Arial" w:eastAsia="Arial" w:hAnsi="Arial"/>
                <w:sz w:val="18"/>
                <w:szCs w:val="18"/>
                <w:color w:val="auto"/>
                <w:w w:val="89"/>
              </w:rPr>
              <w:t>(In thousands, except share/unit amounts)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2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79,175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14,586</w:t>
            </w:r>
          </w:p>
        </w:tc>
      </w:tr>
      <w:tr>
        <w:trPr>
          <w:trHeight w:val="216"/>
        </w:trPr>
        <w:tc>
          <w:tcPr>
            <w:tcW w:w="20" w:type="dxa"/>
            <w:vAlign w:val="bottom"/>
          </w:tcPr>
          <w:p>
            <w:pPr>
              <w:spacing w:after="0"/>
              <w:rPr>
                <w:sz w:val="18"/>
                <w:szCs w:val="18"/>
                <w:color w:val="auto"/>
              </w:rPr>
            </w:pPr>
          </w:p>
        </w:tc>
        <w:tc>
          <w:tcPr>
            <w:tcW w:w="9140" w:type="dxa"/>
            <w:vAlign w:val="bottom"/>
            <w:gridSpan w:val="3"/>
          </w:tcPr>
          <w:p>
            <w:pPr>
              <w:ind w:left="34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17,397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1,477</w:t>
            </w: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520" w:type="dxa"/>
            <w:vAlign w:val="bottom"/>
            <w:gridSpan w:val="2"/>
          </w:tcPr>
          <w:p>
            <w:pPr>
              <w:ind w:left="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16,063</w:t>
            </w: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9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$2,132 and $810 as of September 30, 2017 and</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31, 2016, respectively</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3,504</w:t>
            </w:r>
          </w:p>
        </w:tc>
      </w:tr>
      <w:tr>
        <w:trPr>
          <w:trHeight w:val="216"/>
        </w:trPr>
        <w:tc>
          <w:tcPr>
            <w:tcW w:w="2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520" w:type="dxa"/>
            <w:vAlign w:val="bottom"/>
            <w:gridSpan w:val="2"/>
          </w:tcPr>
          <w:p>
            <w:pPr>
              <w:ind w:left="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Contingently Redeemable Preferred Shares/Units and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956</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r>
      <w:tr>
        <w:trPr>
          <w:trHeight w:val="216"/>
        </w:trPr>
        <w:tc>
          <w:tcPr>
            <w:tcW w:w="20" w:type="dxa"/>
            <w:vAlign w:val="bottom"/>
          </w:tcPr>
          <w:p>
            <w:pPr>
              <w:spacing w:after="0"/>
              <w:rPr>
                <w:sz w:val="18"/>
                <w:szCs w:val="18"/>
                <w:color w:val="auto"/>
              </w:rPr>
            </w:pPr>
          </w:p>
        </w:tc>
        <w:tc>
          <w:tcPr>
            <w:tcW w:w="914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2,296</w:t>
            </w: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w:t>
            </w:r>
          </w:p>
        </w:tc>
      </w:tr>
      <w:tr>
        <w:trPr>
          <w:trHeight w:val="216"/>
        </w:trPr>
        <w:tc>
          <w:tcPr>
            <w:tcW w:w="20" w:type="dxa"/>
            <w:vAlign w:val="bottom"/>
          </w:tcPr>
          <w:p>
            <w:pPr>
              <w:spacing w:after="0"/>
              <w:rPr>
                <w:sz w:val="18"/>
                <w:szCs w:val="18"/>
                <w:color w:val="auto"/>
              </w:rPr>
            </w:pPr>
          </w:p>
        </w:tc>
        <w:tc>
          <w:tcPr>
            <w:tcW w:w="9140" w:type="dxa"/>
            <w:vAlign w:val="bottom"/>
            <w:gridSpan w:val="3"/>
          </w:tcPr>
          <w:p>
            <w:pPr>
              <w:ind w:left="340"/>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Capital lease obligations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20" w:type="dxa"/>
            <w:vAlign w:val="bottom"/>
            <w:gridSpan w:val="2"/>
          </w:tcPr>
          <w:p>
            <w:pPr>
              <w:ind w:left="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ind w:left="340"/>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1,112</w:t>
            </w: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w:t>
            </w:r>
          </w:p>
        </w:tc>
      </w:tr>
      <w:tr>
        <w:trPr>
          <w:trHeight w:val="216"/>
        </w:trPr>
        <w:tc>
          <w:tcPr>
            <w:tcW w:w="20" w:type="dxa"/>
            <w:vAlign w:val="bottom"/>
          </w:tcPr>
          <w:p>
            <w:pPr>
              <w:spacing w:after="0"/>
              <w:rPr>
                <w:sz w:val="18"/>
                <w:szCs w:val="18"/>
                <w:color w:val="auto"/>
              </w:rPr>
            </w:pPr>
          </w:p>
        </w:tc>
        <w:tc>
          <w:tcPr>
            <w:tcW w:w="9140" w:type="dxa"/>
            <w:vAlign w:val="bottom"/>
            <w:gridSpan w:val="3"/>
          </w:tcPr>
          <w:p>
            <w:pPr>
              <w:ind w:left="3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 long-term liabilities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2,350</w:t>
            </w:r>
          </w:p>
        </w:tc>
      </w:tr>
      <w:tr>
        <w:trPr>
          <w:trHeight w:val="223"/>
        </w:trPr>
        <w:tc>
          <w:tcPr>
            <w:tcW w:w="9160" w:type="dxa"/>
            <w:vAlign w:val="bottom"/>
            <w:gridSpan w:val="4"/>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Contingently Redeemable Class A Preferred Units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20" w:type="dxa"/>
            <w:vAlign w:val="bottom"/>
            <w:gridSpan w:val="2"/>
          </w:tcPr>
          <w:p>
            <w:pPr>
              <w:ind w:left="80"/>
              <w:spacing w:after="0"/>
              <w:rPr>
                <w:sz w:val="20"/>
                <w:szCs w:val="20"/>
                <w:color w:val="auto"/>
              </w:rPr>
            </w:pPr>
            <w:r>
              <w:rPr>
                <w:rFonts w:ascii="Arial" w:cs="Arial" w:eastAsia="Arial" w:hAnsi="Arial"/>
                <w:sz w:val="18"/>
                <w:szCs w:val="18"/>
                <w:color w:val="auto"/>
                <w:w w:val="97"/>
              </w:rPr>
              <w:t>Issued and outstanding 0 and 781,693 units as of September 30, 2017 and December 31, 2016, respectively</w:t>
            </w:r>
          </w:p>
        </w:tc>
        <w:tc>
          <w:tcPr>
            <w:tcW w:w="2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share/unit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9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Equity</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Preferred Shares, $0.001 par value</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5,000,000 shares authorized, none issued and outstanding as of September 30, 2017 and none authorized, issued</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outstanding as of December 31, 2016</w:t>
            </w:r>
          </w:p>
        </w:tc>
        <w:tc>
          <w:tcPr>
            <w:tcW w:w="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Class B Preferred Units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4"/>
              </w:rPr>
              <w:t>Issued and outstanding 0 and 1,029,852 units as of September 30, 2017 and December 31, 2016, respectively</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13,611</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Class A Preferred Units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4"/>
              </w:rPr>
              <w:t>Issued and outstanding 0 and 3,922,028 units as of September 30, 2017 and December 31, 2016, respectively</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25,548</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Common shares, $0.001 par value</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0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6"/>
              </w:rPr>
              <w:t>250,000,000 and 0 shares authorized as of September 30, 2017 and December 31, 2016. 16,284,885 shares</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issued and outstanding as of September 30, 2017 and 0 shares issued and outstanding as of December 31,</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2016</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Common units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4"/>
              </w:rPr>
              <w:t>Issued and outstanding 0 and 1,847,616 units as of September 30, 2017 and December 31, 2016, respectively</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155,508</w:t>
            </w:r>
          </w:p>
        </w:tc>
        <w:tc>
          <w:tcPr>
            <w:tcW w:w="5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0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(59,957)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(31,248)</w:t>
            </w:r>
          </w:p>
        </w:tc>
      </w:tr>
      <w:tr>
        <w:trPr>
          <w:trHeight w:val="216"/>
        </w:trPr>
        <w:tc>
          <w:tcPr>
            <w:tcW w:w="9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95,565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104,470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20,039</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share/unit and per share/unit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For the 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8,634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14,438</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Interest and investment income</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(28,680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ind w:left="340"/>
              <w:spacing w:after="0" w:line="201" w:lineRule="exact"/>
              <w:rPr>
                <w:sz w:val="20"/>
                <w:szCs w:val="20"/>
                <w:color w:val="auto"/>
              </w:rPr>
            </w:pPr>
            <w:r>
              <w:rPr>
                <w:rFonts w:ascii="Arial" w:cs="Arial" w:eastAsia="Arial" w:hAnsi="Arial"/>
                <w:sz w:val="18"/>
                <w:szCs w:val="18"/>
                <w:color w:val="auto"/>
              </w:rPr>
              <w:t>Weighted-average common shares used in computing net loss per share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attributable to common shareholders - basic and diluted</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7,169,241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3,642,125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attributable to common unit holders - basic and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ind w:left="340"/>
              <w:spacing w:after="0" w:line="201" w:lineRule="exact"/>
              <w:rPr>
                <w:sz w:val="20"/>
                <w:szCs w:val="20"/>
                <w:color w:val="auto"/>
              </w:rPr>
            </w:pPr>
            <w:r>
              <w:rPr>
                <w:rFonts w:ascii="Arial" w:cs="Arial" w:eastAsia="Arial" w:hAnsi="Arial"/>
                <w:sz w:val="18"/>
                <w:szCs w:val="18"/>
                <w:color w:val="auto"/>
              </w:rPr>
              <w:t>Weighted-average common units used in computing net loss per unit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attributable to common unit holders - basic and diluted</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1,594,265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1,538,896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7"/>
              </w:rPr>
              <w:t>(5,306)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(28,680)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0"/>
              </w:rPr>
              <w:t>(14,106)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losses on marketable securities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(11,926)</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(5,306)</w:t>
            </w:r>
          </w:p>
        </w:tc>
        <w:tc>
          <w:tcPr>
            <w:tcW w:w="4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(28,682)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(14,106)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September 30, 2017</w:t>
            </w:r>
          </w:p>
        </w:tc>
        <w:tc>
          <w:tcPr>
            <w:tcW w:w="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1"/>
              </w:rPr>
              <w:t>September 30, 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(28,680)</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1,324</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disposal of assets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700"/>
              <w:spacing w:after="0"/>
              <w:rPr>
                <w:sz w:val="20"/>
                <w:szCs w:val="20"/>
                <w:color w:val="auto"/>
              </w:rPr>
            </w:pPr>
            <w:r>
              <w:rPr>
                <w:rFonts w:ascii="Arial" w:cs="Arial" w:eastAsia="Arial" w:hAnsi="Arial"/>
                <w:sz w:val="18"/>
                <w:szCs w:val="18"/>
                <w:color w:val="auto"/>
              </w:rPr>
              <w:t>Equity-based compensation expense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1,478</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Common shares issued for license acquisition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1,750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700"/>
              <w:spacing w:after="0"/>
              <w:rPr>
                <w:sz w:val="20"/>
                <w:szCs w:val="20"/>
                <w:color w:val="auto"/>
              </w:rPr>
            </w:pPr>
            <w:r>
              <w:rPr>
                <w:rFonts w:ascii="Arial" w:cs="Arial" w:eastAsia="Arial" w:hAnsi="Arial"/>
                <w:sz w:val="18"/>
                <w:szCs w:val="18"/>
                <w:color w:val="auto"/>
              </w:rPr>
              <w:t>Accretion/amortization of investment securities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(333)</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rent</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(538)</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188</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(22,034)</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(13,834)</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assets acquired in reverse merger, net of transaction costs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40,690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(22,855)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maturity of marketable securities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5,450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Changes in restricted cash</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(1,047)</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(2,531)</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19,718</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capital lease obligations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Proceeds from sale of preferred shares, net of issuance costs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40,433</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preferred units, net of issuance costs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26,648</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30,938</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66,905</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64,589</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14,586</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79,175</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Landlord funded allowance for tenant improvements</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Transaction costs from reverse merger in accounts payable and accrued expenses</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255</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Adjustment for property and equipment purchases included in accounts payable and accrued</w:t>
            </w: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expenses</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Purchase under capital lease</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225</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costs from sale of preferred shares in accounts payable and accrued expenses</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52" w:lineRule="exact"/>
        <w:rPr>
          <w:sz w:val="20"/>
          <w:szCs w:val="20"/>
          <w:color w:val="auto"/>
        </w:rPr>
      </w:pPr>
    </w:p>
    <w:p>
      <w:pPr>
        <w:ind w:left="460" w:right="9500" w:hanging="452"/>
        <w:spacing w:after="0" w:line="453" w:lineRule="auto"/>
        <w:tabs>
          <w:tab w:leader="none" w:pos="449"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Nature of Business </w:t>
      </w:r>
      <w:r>
        <w:rPr>
          <w:rFonts w:ascii="Arial" w:cs="Arial" w:eastAsia="Arial" w:hAnsi="Arial"/>
          <w:sz w:val="15"/>
          <w:szCs w:val="15"/>
          <w:b w:val="1"/>
          <w:bCs w:val="1"/>
          <w:i w:val="1"/>
          <w:iCs w:val="1"/>
          <w:color w:val="auto"/>
        </w:rPr>
        <w:t>Organization</w:t>
      </w:r>
    </w:p>
    <w:p>
      <w:pPr>
        <w:spacing w:after="0" w:line="1" w:lineRule="exact"/>
        <w:rPr>
          <w:rFonts w:ascii="Arial" w:cs="Arial" w:eastAsia="Arial" w:hAnsi="Arial"/>
          <w:sz w:val="15"/>
          <w:szCs w:val="15"/>
          <w:b w:val="1"/>
          <w:bCs w:val="1"/>
          <w:color w:val="auto"/>
        </w:rPr>
      </w:pPr>
    </w:p>
    <w:p>
      <w:pPr>
        <w:ind w:left="460"/>
        <w:spacing w:after="0" w:line="272" w:lineRule="auto"/>
        <w:rPr>
          <w:rFonts w:ascii="Arial" w:cs="Arial" w:eastAsia="Arial" w:hAnsi="Arial"/>
          <w:sz w:val="15"/>
          <w:szCs w:val="15"/>
          <w:b w:val="1"/>
          <w:bCs w:val="1"/>
          <w:color w:val="auto"/>
        </w:rPr>
      </w:pPr>
      <w:r>
        <w:rPr>
          <w:rFonts w:ascii="Arial" w:cs="Arial" w:eastAsia="Arial" w:hAnsi="Arial"/>
          <w:sz w:val="17"/>
          <w:szCs w:val="17"/>
          <w:color w:val="auto"/>
        </w:rPr>
        <w:t>Synlogic, Inc., together with its wholly owned and consolidated subsidiaries (“Synlogic” or the “Company”) is a clinical-stage biopharmaceutical company focused on advancing its drug discovery and development platform for Synthetic Biotic™ medicines, which are designed using synthetic biology to genetically reprogram beneficial microbes to treat metabolic and inflammatory diseases and cancer. Synthetic Biotic medicines are generated from Synlogic’ s proprietary drug discovery and development platform. Synlogic applies the principles and tools of synthetic biology to engineer beneficial, probiotic bacteria to perform or deliver critical therapeutic functions, compensating for missing or damaged pathways in patients with these serious diseases. As living medicines, Synthetic Biotic medicines are designed to sense a local disease context within a patient’s body and respond by metabolizing toxic substances or delivering combinations of therapeutic factors.</w:t>
      </w:r>
    </w:p>
    <w:p>
      <w:pPr>
        <w:spacing w:after="0" w:line="69" w:lineRule="exact"/>
        <w:rPr>
          <w:rFonts w:ascii="Arial" w:cs="Arial" w:eastAsia="Arial" w:hAnsi="Arial"/>
          <w:sz w:val="15"/>
          <w:szCs w:val="15"/>
          <w:b w:val="1"/>
          <w:bCs w:val="1"/>
          <w:color w:val="auto"/>
        </w:rPr>
      </w:pPr>
    </w:p>
    <w:p>
      <w:pPr>
        <w:ind w:left="460" w:right="20"/>
        <w:spacing w:after="0" w:line="254" w:lineRule="auto"/>
        <w:rPr>
          <w:rFonts w:ascii="Arial" w:cs="Arial" w:eastAsia="Arial" w:hAnsi="Arial"/>
          <w:sz w:val="15"/>
          <w:szCs w:val="15"/>
          <w:b w:val="1"/>
          <w:bCs w:val="1"/>
          <w:color w:val="auto"/>
        </w:rPr>
      </w:pPr>
      <w:r>
        <w:rPr>
          <w:rFonts w:ascii="Arial" w:cs="Arial" w:eastAsia="Arial" w:hAnsi="Arial"/>
          <w:sz w:val="18"/>
          <w:szCs w:val="18"/>
          <w:color w:val="auto"/>
        </w:rPr>
        <w:t>Synlogic, Inc. (“Private Synlogic” when referred to prior to the Merger (as defined below)) was founded and began operations on March 14, 2014, as TMC Therapeutic, Inc., located in Cambridge, Massachusetts. On July 15, 2014, TMC Therapeutics, Inc. changed its name to Synlogic, Inc. On July 2, 2015, the common and preferred shareholders of Private Synlogic executed the Synlogic, LLC Contribution Agreement (the “Contribution Agreement”), pursuant to which such common and preferred shareholders contributed such shareholders’ equity interests in Private Synlogic in exchange for common and preferred units in a newly formed parent company named Synlogic, LLC. In addition, Synlogic IBDCo, Inc. (“IBDCo”) was formed as a subsidiary of Synlogic, LLC (“2015 Reorganization”). In conjunction with the 2015 Reorganization, Private Synlogic entered into a license, option and merger agreement with AbbVie S.à.r.l. (“AbbVie”), for the development of treatments for inflammatory bowel disease (“IBD”) (Note 11).</w:t>
      </w:r>
    </w:p>
    <w:p>
      <w:pPr>
        <w:spacing w:after="0" w:line="84" w:lineRule="exact"/>
        <w:rPr>
          <w:rFonts w:ascii="Arial" w:cs="Arial" w:eastAsia="Arial" w:hAnsi="Arial"/>
          <w:sz w:val="15"/>
          <w:szCs w:val="15"/>
          <w:b w:val="1"/>
          <w:bCs w:val="1"/>
          <w:color w:val="auto"/>
        </w:rPr>
      </w:pPr>
    </w:p>
    <w:p>
      <w:pPr>
        <w:ind w:left="460"/>
        <w:spacing w:after="0" w:line="297" w:lineRule="auto"/>
        <w:rPr>
          <w:rFonts w:ascii="Arial" w:cs="Arial" w:eastAsia="Arial" w:hAnsi="Arial"/>
          <w:sz w:val="15"/>
          <w:szCs w:val="15"/>
          <w:b w:val="1"/>
          <w:bCs w:val="1"/>
          <w:color w:val="auto"/>
        </w:rPr>
      </w:pPr>
      <w:r>
        <w:rPr>
          <w:rFonts w:ascii="Arial" w:cs="Arial" w:eastAsia="Arial" w:hAnsi="Arial"/>
          <w:sz w:val="16"/>
          <w:szCs w:val="16"/>
          <w:color w:val="auto"/>
        </w:rPr>
        <w:t>In May 2017, Private Synlogic completed the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2017 Plan to replace the canceled incentive units pursuant to the termination of the Synlogic, LLC 2015 Equity Incentive Plan (“2015 LLC Plan”) (Note 10).</w:t>
      </w:r>
    </w:p>
    <w:p>
      <w:pPr>
        <w:spacing w:after="0" w:line="50" w:lineRule="exact"/>
        <w:rPr>
          <w:rFonts w:ascii="Arial" w:cs="Arial" w:eastAsia="Arial" w:hAnsi="Arial"/>
          <w:sz w:val="15"/>
          <w:szCs w:val="15"/>
          <w:b w:val="1"/>
          <w:bCs w:val="1"/>
          <w:color w:val="auto"/>
        </w:rPr>
      </w:pPr>
    </w:p>
    <w:p>
      <w:pPr>
        <w:ind w:left="460" w:right="40"/>
        <w:spacing w:after="0" w:line="293" w:lineRule="auto"/>
        <w:rPr>
          <w:rFonts w:ascii="Arial" w:cs="Arial" w:eastAsia="Arial" w:hAnsi="Arial"/>
          <w:sz w:val="15"/>
          <w:szCs w:val="15"/>
          <w:b w:val="1"/>
          <w:bCs w:val="1"/>
          <w:color w:val="auto"/>
        </w:rPr>
      </w:pPr>
      <w:r>
        <w:rPr>
          <w:rFonts w:ascii="Arial" w:cs="Arial" w:eastAsia="Arial" w:hAnsi="Arial"/>
          <w:sz w:val="16"/>
          <w:szCs w:val="16"/>
          <w:color w:val="auto"/>
        </w:rPr>
        <w:t>On August 28, 2017, Synlogic, Inc., formerly known as Mirna Therapeutics, Inc. (NASDAQ: MIRN) (“Mirna”), completed its business combination with Private Synlogic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1:7 reverse stock split of its common stock (the “Reverse Stock Split”), and on August 28, 2017, immediately after completion of the Merger, Mirna changed its name to “Synlogic, Inc.” (NASDAQ: SYBX) (Note 3).</w:t>
      </w:r>
    </w:p>
    <w:p>
      <w:pPr>
        <w:spacing w:after="0" w:line="56" w:lineRule="exact"/>
        <w:rPr>
          <w:rFonts w:ascii="Arial" w:cs="Arial" w:eastAsia="Arial" w:hAnsi="Arial"/>
          <w:sz w:val="15"/>
          <w:szCs w:val="15"/>
          <w:b w:val="1"/>
          <w:bCs w:val="1"/>
          <w:color w:val="auto"/>
        </w:rPr>
      </w:pPr>
    </w:p>
    <w:p>
      <w:pPr>
        <w:ind w:left="460" w:right="520"/>
        <w:spacing w:after="0" w:line="312" w:lineRule="auto"/>
        <w:rPr>
          <w:rFonts w:ascii="Arial" w:cs="Arial" w:eastAsia="Arial" w:hAnsi="Arial"/>
          <w:sz w:val="15"/>
          <w:szCs w:val="15"/>
          <w:b w:val="1"/>
          <w:bCs w:val="1"/>
          <w:color w:val="auto"/>
        </w:rPr>
      </w:pPr>
      <w:r>
        <w:rPr>
          <w:rFonts w:ascii="Arial" w:cs="Arial" w:eastAsia="Arial" w:hAnsi="Arial"/>
          <w:sz w:val="16"/>
          <w:szCs w:val="16"/>
          <w:color w:val="auto"/>
        </w:rPr>
        <w:t>The Company operates in one operating segment: the discovery and development of Synthetic Biotic medicines. The Company’s chief executive officer, as chief operating decision maker, manages and allocates resources to the operations of the Company on a total company basis. Since incorporation, the Company has devoted substantially all of its efforts to the research and development of its product candidates.</w:t>
      </w:r>
    </w:p>
    <w:p>
      <w:pPr>
        <w:spacing w:after="0" w:line="254"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Risks and Uncertainties</w:t>
      </w:r>
    </w:p>
    <w:p>
      <w:pPr>
        <w:spacing w:after="0" w:line="117" w:lineRule="exact"/>
        <w:rPr>
          <w:rFonts w:ascii="Arial" w:cs="Arial" w:eastAsia="Arial" w:hAnsi="Arial"/>
          <w:sz w:val="15"/>
          <w:szCs w:val="15"/>
          <w:b w:val="1"/>
          <w:bCs w:val="1"/>
          <w:color w:val="auto"/>
        </w:rPr>
      </w:pPr>
    </w:p>
    <w:p>
      <w:pPr>
        <w:ind w:left="46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At September 30, 2017, the Company had approximately $96.6 million in cash, cash equivalents, and marketable securities, approximately $1.1 million of restricted cash and an accumulated deficit of approximately $60.0 million. Since its inception through September 30, 2017, the Company has primarily financed its operations through the issuance of preferred stock, the AbbVie collaboration, and the Merger. In the absence of positive cash flows from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460" w:right="160"/>
        <w:spacing w:after="0" w:line="276" w:lineRule="auto"/>
        <w:rPr>
          <w:sz w:val="20"/>
          <w:szCs w:val="20"/>
          <w:color w:val="auto"/>
        </w:rPr>
      </w:pPr>
      <w:r>
        <w:rPr>
          <w:rFonts w:ascii="Arial" w:cs="Arial" w:eastAsia="Arial" w:hAnsi="Arial"/>
          <w:sz w:val="17"/>
          <w:szCs w:val="17"/>
          <w:color w:val="auto"/>
        </w:rPr>
        <w:t>operations, the Company is highly dependent on its ability to find additional sources of funding in the form of debt or equity financing. The Company secured new funding from the sale of Series C convertible preferred stock in May 2017, generating approximately $40.4 million in net proceeds. Additionally, the Company received approximately $40.4 million in net proceeds from the Merger. As a result of the Merger proceeds, the proceeds from the Series C financing in May 2017 and the Series B financing in February 2017, management believes that the Company has sufficient cash to fund its operations through at least twelve months from the issuance of these financial statements.</w:t>
      </w:r>
    </w:p>
    <w:p>
      <w:pPr>
        <w:spacing w:after="0" w:line="64"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33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5"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The accompanying consolidated financial statements and the related disclosures as of September 30, 2017 and for the three and nine months ended September 30, 2017 and 2016 are unaudited and have been prepared in accordance with accounting principles generally accepted in the United States (“U.S.”) (“U.S. GAAP” or “GAAP”) and the rules and regulations of the Securities Exchange Commission (“SEC”) for interim financial statements. Accordingly, they do not include all of the information and notes required by GAAP for complete financial statements. These interim consolidated financial statements should be read in conjunction with the Company’s 2016 and 2015 audited consolidated financial statements and notes included in the Company’s Current Report on Form 8-K/A filed with the SEC on September 26, 2017. The December 31, 2016 consolidated balance sheet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nine months ended September 30, 2017 and 2016. The results of operations for the interim periods are not necessarily indicative of the results to be expected for the year ending December 31, 2017 or any other interim period or future year or period.</w:t>
      </w:r>
    </w:p>
    <w:p>
      <w:pPr>
        <w:spacing w:after="0" w:line="32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920" w:right="46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31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920" w:right="560"/>
        <w:spacing w:after="0" w:line="26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related disclosure of contingent assets and liabilities at the date of the consolidated financial statements and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reported amounts of expenses during the reporting period. On an on-going basis, the Company’s management evaluates its estimates, including those related to revenue recognition, income taxes including the valuation allowance for deferred tax assets, research and development, accrued expenses, contingencies and equity-based compensation.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34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920" w:right="460"/>
        <w:spacing w:after="0" w:line="297" w:lineRule="auto"/>
        <w:rPr>
          <w:sz w:val="20"/>
          <w:szCs w:val="20"/>
          <w:color w:val="auto"/>
        </w:rPr>
      </w:pPr>
      <w:r>
        <w:rPr>
          <w:rFonts w:ascii="Arial" w:cs="Arial" w:eastAsia="Arial" w:hAnsi="Arial"/>
          <w:sz w:val="16"/>
          <w:szCs w:val="16"/>
          <w:color w:val="auto"/>
        </w:rPr>
        <w:t>Financial instruments that potentially subject the Company to concentrations of credit risk include amounts held as cash, cash equivalents, marketable securities and restricted cash. The Company uses high quality, accredited financial institutions to maintain its balances,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30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Company records money market funds at fair value. ASC Topic 820, Fair Value Measurements and Disclosures, establishes a fair value hierarchy for those instruments measured at fair value that distinguishes between assumptions based on market data (observable inputs) and the Company’s own assumptions (unobservable inputs). The hierarchy consists of three levels:</w:t>
      </w:r>
    </w:p>
    <w:p>
      <w:pPr>
        <w:spacing w:after="0" w:line="87" w:lineRule="exact"/>
        <w:rPr>
          <w:sz w:val="20"/>
          <w:szCs w:val="20"/>
          <w:color w:val="auto"/>
        </w:rPr>
      </w:pPr>
    </w:p>
    <w:p>
      <w:pPr>
        <w:ind w:left="1920" w:hanging="318"/>
        <w:spacing w:after="0"/>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1 – Utilize observable inputs such as quoted prices in active markets for identical assets or liabilities;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Level 2 – Utilize data points that are either directly or indirectly observable, such as quoted prices, interest rates and yield curves;</w:t>
      </w:r>
    </w:p>
    <w:p>
      <w:pPr>
        <w:spacing w:after="0" w:line="153" w:lineRule="exact"/>
        <w:rPr>
          <w:rFonts w:ascii="Arial" w:cs="Arial" w:eastAsia="Arial" w:hAnsi="Arial"/>
          <w:sz w:val="16"/>
          <w:szCs w:val="16"/>
          <w:color w:val="auto"/>
        </w:rPr>
      </w:pPr>
    </w:p>
    <w:p>
      <w:pPr>
        <w:ind w:left="1920" w:right="20" w:hanging="318"/>
        <w:spacing w:after="0" w:line="277"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3 – Utilize unobservable data points in which there is little or no market data, which require the Company to develop its own assumptions for the asset or liability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Available-for-Sale Securities</w:t>
      </w:r>
    </w:p>
    <w:p>
      <w:pPr>
        <w:spacing w:after="0" w:line="117"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The Company classifies all short-term investments with an original maturity when purchased of greater than three months as available-for-sale. Available-for-sale securities are carried at fair value, with the unrealized gains and losses reported in other comprehensive income (loss). The amortized cost of debt securities in this category is adjusted for amortization of premiums and accretion of discounts to maturity. Such amortization is included in interest and investment income. Realized gains and losses, and declines in value judged to be other than temporary on available-for-sale securities, are included in interest and investment income.</w:t>
      </w:r>
    </w:p>
    <w:p>
      <w:pPr>
        <w:spacing w:after="0" w:line="80"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The cost of securities sold is based on the specific identification method. Interest and dividends on securities classified as available-for-sale are included in interest and investment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 There were no other-than-temporary impairments for the three or nine months ended September 30, 2017.</w:t>
      </w:r>
    </w:p>
    <w:p>
      <w:pPr>
        <w:spacing w:after="0" w:line="33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920" w:right="40"/>
        <w:spacing w:after="0" w:line="312" w:lineRule="auto"/>
        <w:rPr>
          <w:sz w:val="20"/>
          <w:szCs w:val="20"/>
          <w:color w:val="auto"/>
        </w:rPr>
      </w:pPr>
      <w:r>
        <w:rPr>
          <w:rFonts w:ascii="Arial" w:cs="Arial" w:eastAsia="Arial" w:hAnsi="Arial"/>
          <w:sz w:val="16"/>
          <w:szCs w:val="16"/>
          <w:color w:val="auto"/>
        </w:rPr>
        <w:t>The recently issued accounting pronouncements described in the Company’s consolidated financial statements as of and for the year ended December 31, 2016, and the notes thereto included in the Company’s Current Report on Form 8-K/A filed with the SEC on September 26, 2017, have had no material changes during the three and nine months ended September 30, 2017, except as described below.</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In May 2014, the FASB issued ASU 2014-09—Revenue from Contracts with Customers (Topic 606), which supersedes all existing revenue recognition requirements, including most industry-specific guidance. This standard is based on the principle that an entity should recognize revenue when it transfers goods or services to customers in an amount that reflects the consideration that the company expects to receive. This standard also requires additional disclosure about the nature, amount, timing and uncertainty of assets recognized from costs incurred to fulfill a contract. It will be effective for annual reporting periods beginning after December 15, 2017, including interim periods within those annual periods. Early adoption is permitted any time after the original effective date, which for the Company is January 1, 2017. Entities have the option of using either a full retrospective or a modified retrospective approach for the adoption of the new standard. The Company is continuing to assess the impact that this standard will have on its financial statements and the expected method of transition. The Company’s revenue during the nine months ended September 30, 2017 is from its collaboration arrangement. During the fourth quarter of 2017, the Company plans to complete its review to determine the impact that this standard could have on its consolidated financial statements and disclosures.</w:t>
      </w:r>
    </w:p>
    <w:p>
      <w:pPr>
        <w:spacing w:after="0" w:line="61" w:lineRule="exact"/>
        <w:rPr>
          <w:sz w:val="20"/>
          <w:szCs w:val="20"/>
          <w:color w:val="auto"/>
        </w:rPr>
      </w:pPr>
    </w:p>
    <w:p>
      <w:pPr>
        <w:ind w:left="920" w:right="220"/>
        <w:spacing w:after="0" w:line="286" w:lineRule="auto"/>
        <w:rPr>
          <w:sz w:val="20"/>
          <w:szCs w:val="20"/>
          <w:color w:val="auto"/>
        </w:rPr>
      </w:pPr>
      <w:r>
        <w:rPr>
          <w:rFonts w:ascii="Arial" w:cs="Arial" w:eastAsia="Arial" w:hAnsi="Arial"/>
          <w:sz w:val="16"/>
          <w:szCs w:val="16"/>
          <w:color w:val="auto"/>
        </w:rPr>
        <w:t>In March 2016, the FASB issued ASU 2016-09—Compensation—Stock Compensation (Topic 718): Improvements to Employee Share-Based Payment Accounting (“ASU 2016-09”). The amendments in ASU 2016-09 are to simplify several aspects of the accounting for stock-based payment transactions including the income tax consequences, classification of awards as either equity or liabilities, and classification on the statement of cash flows. In addition, companies will now have to elect whether to account for forfeitures on share-based payments by</w:t>
      </w:r>
    </w:p>
    <w:p>
      <w:pPr>
        <w:spacing w:after="0" w:line="2" w:lineRule="exact"/>
        <w:rPr>
          <w:sz w:val="20"/>
          <w:szCs w:val="20"/>
          <w:color w:val="auto"/>
        </w:rPr>
      </w:pPr>
    </w:p>
    <w:p>
      <w:pPr>
        <w:ind w:left="1180" w:hanging="259"/>
        <w:spacing w:after="0"/>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recognizing forfeitures of awards as they occur or (2) estimating the number of awards expected to be forfeited and adjusting the estimate</w:t>
      </w:r>
    </w:p>
    <w:p>
      <w:pPr>
        <w:spacing w:after="0" w:line="32" w:lineRule="exact"/>
        <w:rPr>
          <w:rFonts w:ascii="Arial" w:cs="Arial" w:eastAsia="Arial" w:hAnsi="Arial"/>
          <w:sz w:val="16"/>
          <w:szCs w:val="16"/>
          <w:color w:val="auto"/>
        </w:rPr>
      </w:pPr>
    </w:p>
    <w:p>
      <w:pPr>
        <w:ind w:left="920" w:right="40"/>
        <w:spacing w:after="0" w:line="254" w:lineRule="auto"/>
        <w:rPr>
          <w:rFonts w:ascii="Arial" w:cs="Arial" w:eastAsia="Arial" w:hAnsi="Arial"/>
          <w:sz w:val="16"/>
          <w:szCs w:val="16"/>
          <w:color w:val="auto"/>
        </w:rPr>
      </w:pPr>
      <w:r>
        <w:rPr>
          <w:rFonts w:ascii="Arial" w:cs="Arial" w:eastAsia="Arial" w:hAnsi="Arial"/>
          <w:sz w:val="18"/>
          <w:szCs w:val="18"/>
          <w:color w:val="auto"/>
        </w:rPr>
        <w:t>when it is likely to change, as is currently required. The Company adopted ASU 2016-09 on April 1, 2017 on a modified retrospective basis, and elected to recognize forfeitures as they occur. The Company recorded an insignificant cumulative effect adjustment as a result of the adoption of this amendment. The adoption did not have a material impact on the Company’s condensed consolidated financial statements and related disclosures.</w:t>
      </w:r>
    </w:p>
    <w:p>
      <w:pPr>
        <w:spacing w:after="0" w:line="82" w:lineRule="exact"/>
        <w:rPr>
          <w:sz w:val="20"/>
          <w:szCs w:val="20"/>
          <w:color w:val="auto"/>
        </w:rPr>
      </w:pPr>
    </w:p>
    <w:p>
      <w:pPr>
        <w:ind w:left="920" w:right="40"/>
        <w:spacing w:after="0" w:line="257"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(“ASU 2017-01”), which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Company adopted ASU 2017-01 on April 1, 2017 and followed the guidance when determining the accounting treatment of its Merger with Mirna.</w:t>
      </w:r>
    </w:p>
    <w:p>
      <w:pPr>
        <w:spacing w:after="0" w:line="333"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Merger with Mirna Therapeutics</w:t>
      </w:r>
    </w:p>
    <w:p>
      <w:pPr>
        <w:spacing w:after="0" w:line="121"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On August 28, 2017, Private Synlogic completed the Merger with Mirna as discussed in Note 1. For accounting purposes, Private Synlogic is considered to have acquired Mirna in the Merger. Private Synlogic was determined to be the accounting acquirer based upon the terms of the Merger and other factors including: (i) Private Synlogic shareholders own approximately 83% of the combined company immediately following the closing of the Merger, (ii) Private Synlogic directors hold five of the seven board seats in the combined company, and (iii) Private Synlogic management holds all key positions in the management of the combined company. The Merger was accounted for as an asset acquisition rather than a business combination because the assets acquired and liabilities assumed by the Company do not meet the definition of a business as defined by ASU 2017-01. The net assets acquired in connection with this transaction were recorded at their estimated acquisition date fair values as of August 28, 2017, the date the Merger was completed (the “Merger Closing Date”).</w:t>
      </w:r>
    </w:p>
    <w:p>
      <w:pPr>
        <w:spacing w:after="0" w:line="71"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Under the terms of the Merger Agreement, Mirna issued shares of its common stock to Private Synlogic’s stockholders, at an exchange ratio of 0.5532 shares of Mirna’s common stock, after taking into account the Reverse Stock Split, for each share of Private Synlogic common stock and preferred stock outstanding immediately prior to the Merger(“Merger Exchange Ratio”). The Merger Exchange Ratio was determined through arms’-length negotiations between Mirna and Private Synlogic. Mirna assumed all of the stock options outstanding under the Synlogic 2017 Stock Incentive Plan (“2017 Plan”), with such stock options henceforth representing the right to purchase a number of shares of Mirna’s common stock equal to 0.5532 multiplied by the number of shares of Private Synlogic common stock previously represented by such options. Mirna also assumed the 2017 Plan. The consolidated financial statements give retroactive effect to the Merger Exchange Ratio for all periods presented.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Immediately after the Merger, there were 16,282,496 shares of the Company’s common stock outstanding. At this time, the former stockholders and optionholders of Private Synlogic owned, or held rights to acquire, approximately 82.4% of the fully-diluted common stock of the Company, which for these purposes is defined as the outstanding common stock of the Company, plus “in the money” options, assuming that all “in the money” options of the Company outstanding immediately prior to the Merger were exercised on a cashless basis immediately prior to the closing of the Merger (the “Fully-Diluted Common Stock of the Company”), with Mirna’s stockholders and optionholders immediately prior to the Merger owning approximately 17.6% of the Fully-Diluted Common Stock of the Company.</w:t>
      </w:r>
    </w:p>
    <w:p>
      <w:pPr>
        <w:spacing w:after="0" w:line="70"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On the Merger Closing Date, the Company had approximately 20.9 million shares of common stock outstanding and a market capitalization of approximately $35 million. The estimated fair value of the net assets of Mirna on August 28, 2017 was approximately $42.6 million. The fair value of the Company’s common stock on the Merger Closing Date was below the fair value of Mirna’s net assets. As Mirna’s net assets were predominantly comprised of cash, cash equivalents and marketable securities, partially offset by current liabilities, the fair value of Mirna’s net assets as of the Merger Closing Date is considered to be the best indicator of the fair value and, therefore, the estimated preliminary purchase consideration.</w:t>
      </w:r>
    </w:p>
    <w:p>
      <w:pPr>
        <w:spacing w:after="0" w:line="5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All of Mirna’s assets and liabilities were reflected at their fair value on the Merger Closing Date. No goodwill or intangible assets were recognized. Consistent with accounting for an asset acquisition, the Company capitalized the costs associated with the Merger. Transaction costs primarily included bank fees and professional fees associated with legal counsel, auditors and printers. The following table shows the net assets acquired in the Merger (in thousands):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780" w:type="dxa"/>
            <w:vAlign w:val="bottom"/>
            <w:gridSpan w:val="4"/>
          </w:tcPr>
          <w:p>
            <w:pPr>
              <w:ind w:left="1680"/>
              <w:spacing w:after="0"/>
              <w:rPr>
                <w:sz w:val="20"/>
                <w:szCs w:val="20"/>
                <w:color w:val="auto"/>
              </w:rPr>
            </w:pPr>
            <w:r>
              <w:rPr>
                <w:rFonts w:ascii="Arial" w:cs="Arial" w:eastAsia="Arial" w:hAnsi="Arial"/>
                <w:sz w:val="14"/>
                <w:szCs w:val="14"/>
                <w:b w:val="1"/>
                <w:bCs w:val="1"/>
                <w:color w:val="auto"/>
              </w:rPr>
              <w:t>August 28,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Prepaid assets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acquired</w:t>
            </w:r>
          </w:p>
        </w:tc>
        <w:tc>
          <w:tcPr>
            <w:tcW w:w="1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Less: Transaction costs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acquired less transaction costs</w:t>
            </w:r>
          </w:p>
        </w:tc>
        <w:tc>
          <w:tcPr>
            <w:tcW w:w="196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table below presents information about the Company’s assets that are measured at fair value on a recurring basis as of September 30, 2017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460" w:right="1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classified assets measured at fair value on a recurring basis as follows (in thousands):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4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34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62"/>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00" w:type="dxa"/>
            <w:vAlign w:val="bottom"/>
            <w:vMerge w:val="restart"/>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vMerge w:val="continue"/>
          </w:tcPr>
          <w:p>
            <w:pPr>
              <w:spacing w:after="0"/>
              <w:rPr>
                <w:sz w:val="14"/>
                <w:szCs w:val="14"/>
                <w:color w:val="auto"/>
              </w:rPr>
            </w:pPr>
          </w:p>
        </w:tc>
        <w:tc>
          <w:tcPr>
            <w:tcW w:w="44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(Level 2)</w:t>
            </w: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U.S. government-sponsored securities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16,997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16,997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56,030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55,630</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6"/>
              </w:rPr>
              <w:t>400</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September 30, 2017 and December 31, 2016 are carried at amounts that approximate fair value due to their short-term maturities. Capital lease obligations at September 30, 2017 and December 31, 2016 approximate fair value as they bear interest at a rate approximating a market interest rate.</w:t>
      </w:r>
    </w:p>
    <w:p>
      <w:pPr>
        <w:spacing w:after="0" w:line="32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available-for-sale securities held at September 30, 2017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4"/>
                <w:szCs w:val="14"/>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2017</w:t>
            </w:r>
          </w:p>
        </w:tc>
        <w:tc>
          <w:tcPr>
            <w:tcW w:w="17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unrealized</w:t>
            </w:r>
          </w:p>
        </w:tc>
        <w:tc>
          <w:tcPr>
            <w:tcW w:w="5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gridSpan w:val="3"/>
            <w:vMerge w:val="continue"/>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 government</w:t>
            </w:r>
          </w:p>
        </w:tc>
        <w:tc>
          <w:tcPr>
            <w:tcW w:w="3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securities</w:t>
            </w: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16,999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17,399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available-for-sale securities at December 31, 2016.</w:t>
      </w:r>
    </w:p>
    <w:p>
      <w:pPr>
        <w:spacing w:after="0" w:line="117"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contractual maturity of all securities held at September 30, 2017 was one year or less. There were five investments in an unrealized loss position at September 30, 2017, none of which had been in an unrealized loss position for more than twelve months. The aggregate fair value of the securities in an unrealized loss position was approximately $17.4 million.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September 30, 2017.</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Prepaid expenses and other current assets consists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80" w:type="dxa"/>
            <w:vAlign w:val="bottom"/>
            <w:gridSpan w:val="3"/>
          </w:tcPr>
          <w:p>
            <w:pPr>
              <w:jc w:val="center"/>
              <w:ind w:left="1099"/>
              <w:spacing w:after="0"/>
              <w:rPr>
                <w:sz w:val="20"/>
                <w:szCs w:val="20"/>
                <w:color w:val="auto"/>
              </w:rPr>
            </w:pPr>
            <w:r>
              <w:rPr>
                <w:rFonts w:ascii="Arial" w:cs="Arial" w:eastAsia="Arial" w:hAnsi="Arial"/>
                <w:sz w:val="14"/>
                <w:szCs w:val="14"/>
                <w:b w:val="1"/>
                <w:bCs w:val="1"/>
                <w:color w:val="auto"/>
                <w:w w:val="89"/>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2017</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Prepaid research and development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prepaid</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Accrued Expenses</w:t>
            </w: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3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2"/>
          </w:tcPr>
          <w:p>
            <w:pPr>
              <w:ind w:left="920"/>
              <w:spacing w:after="0"/>
              <w:rPr>
                <w:sz w:val="20"/>
                <w:szCs w:val="20"/>
                <w:color w:val="auto"/>
              </w:rPr>
            </w:pPr>
            <w:r>
              <w:rPr>
                <w:rFonts w:ascii="Arial" w:cs="Arial" w:eastAsia="Arial" w:hAnsi="Arial"/>
                <w:sz w:val="18"/>
                <w:szCs w:val="18"/>
                <w:color w:val="auto"/>
              </w:rPr>
              <w:t>Accrued expenses consists of the following (in thousands):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80" w:type="dxa"/>
            <w:vAlign w:val="bottom"/>
            <w:gridSpan w:val="3"/>
          </w:tcPr>
          <w:p>
            <w:pPr>
              <w:jc w:val="center"/>
              <w:ind w:left="1099"/>
              <w:spacing w:after="0"/>
              <w:rPr>
                <w:sz w:val="20"/>
                <w:szCs w:val="20"/>
                <w:color w:val="auto"/>
              </w:rPr>
            </w:pPr>
            <w:r>
              <w:rPr>
                <w:rFonts w:ascii="Arial" w:cs="Arial" w:eastAsia="Arial" w:hAnsi="Arial"/>
                <w:sz w:val="14"/>
                <w:szCs w:val="14"/>
                <w:b w:val="1"/>
                <w:bCs w:val="1"/>
                <w:color w:val="auto"/>
                <w:w w:val="89"/>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2017</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Payroll related</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Professional fees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common stock has the following characteristics:</w:t>
      </w:r>
    </w:p>
    <w:p>
      <w:pPr>
        <w:spacing w:after="0" w:line="130" w:lineRule="exact"/>
        <w:rPr>
          <w:rFonts w:ascii="Arial" w:cs="Arial" w:eastAsia="Arial" w:hAnsi="Arial"/>
          <w:sz w:val="18"/>
          <w:szCs w:val="18"/>
          <w:b w:val="1"/>
          <w:bCs w:val="1"/>
          <w:color w:val="auto"/>
        </w:rPr>
      </w:pPr>
    </w:p>
    <w:p>
      <w:pPr>
        <w:ind w:left="1920" w:right="780" w:hanging="318"/>
        <w:spacing w:after="0" w:line="277"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holders of shares of common stock are entitled to one vote for each share of common stock held at all meetings of stockholders.</w:t>
      </w:r>
    </w:p>
    <w:p>
      <w:pPr>
        <w:spacing w:after="0" w:line="75" w:lineRule="exact"/>
        <w:rPr>
          <w:rFonts w:ascii="Arial" w:cs="Arial" w:eastAsia="Arial" w:hAnsi="Arial"/>
          <w:sz w:val="18"/>
          <w:szCs w:val="18"/>
          <w:color w:val="auto"/>
        </w:rPr>
      </w:pPr>
    </w:p>
    <w:p>
      <w:pPr>
        <w:ind w:left="1920" w:right="480" w:hanging="318"/>
        <w:spacing w:after="0" w:line="277"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holders of shares of common stock are entitled to receive dividends, if and when, declared by the Company’s board of directors. Since inception, no cash dividends have been declared.</w:t>
      </w:r>
    </w:p>
    <w:p>
      <w:pPr>
        <w:spacing w:after="0" w:line="62"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Company holds repurchase options relating to 1,217,040 of these shares, at a price equal to the initial purchase price by the founder, adjusted by the Merger Exchange Ratio. The repurchase option is exercisable should the founder cease providing services to the Company prior to the end of a four-year period beginning in April 2014. As of September 30, 2017, the Company has exercised its repurchase option on 41,819 shares of common stock as services by one of the founders had ceased.</w:t>
      </w:r>
    </w:p>
    <w:p>
      <w:pPr>
        <w:spacing w:after="0" w:line="33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Prior to the Merger, the Company had contingently redeemable preferred stock and three series of convertible preferred stock. On the Merger Closing Date, Mirna issued shares of its common stock to holders of these shares, at an exchange rate of 0.5532 shares of common stock, after taking into account the Reverse Stock Split, in exchange for each share of preferred stock outstanding immediately prior to the Merger.</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Equity-based Compensation and Equity Incentive Plans</w:t>
      </w:r>
    </w:p>
    <w:p>
      <w:pPr>
        <w:spacing w:after="0" w:line="135"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920" w:right="20"/>
        <w:spacing w:after="0" w:line="288" w:lineRule="auto"/>
        <w:rPr>
          <w:sz w:val="20"/>
          <w:szCs w:val="20"/>
          <w:color w:val="auto"/>
        </w:rPr>
      </w:pPr>
      <w:r>
        <w:rPr>
          <w:rFonts w:ascii="Arial" w:cs="Arial" w:eastAsia="Arial" w:hAnsi="Arial"/>
          <w:sz w:val="16"/>
          <w:szCs w:val="16"/>
          <w:color w:val="auto"/>
        </w:rPr>
        <w:t>Equity compensation during the three and nine months ended September 30, 2017 and 2016 is derived from restricted stock awards and stock options issued under the 2017 Plan, the Synlogic, Inc. 2015 Stock Incentive Plan (“2015 Plan”), from incentive units issued under the 2015 LLC Plan and from a restricted common unit grant. The Company has recorded total equity-based compensation expense of approximately</w:t>
      </w:r>
    </w:p>
    <w:p>
      <w:pPr>
        <w:ind w:left="920"/>
        <w:spacing w:after="0"/>
        <w:rPr>
          <w:sz w:val="20"/>
          <w:szCs w:val="20"/>
          <w:color w:val="auto"/>
        </w:rPr>
      </w:pPr>
      <w:r>
        <w:rPr>
          <w:rFonts w:ascii="Arial" w:cs="Arial" w:eastAsia="Arial" w:hAnsi="Arial"/>
          <w:sz w:val="17"/>
          <w:szCs w:val="17"/>
          <w:color w:val="auto"/>
        </w:rPr>
        <w:t>$0.7 million and $1.5 million for the three and nine months ended September 30, 2017, respectively, and approximately $0.1 million and</w:t>
      </w:r>
    </w:p>
    <w:p>
      <w:pPr>
        <w:spacing w:after="0" w:line="21" w:lineRule="exact"/>
        <w:rPr>
          <w:sz w:val="20"/>
          <w:szCs w:val="20"/>
          <w:color w:val="auto"/>
        </w:rPr>
      </w:pPr>
    </w:p>
    <w:p>
      <w:pPr>
        <w:ind w:left="920" w:right="20"/>
        <w:spacing w:after="0" w:line="261" w:lineRule="auto"/>
        <w:rPr>
          <w:sz w:val="20"/>
          <w:szCs w:val="20"/>
          <w:color w:val="auto"/>
        </w:rPr>
      </w:pPr>
      <w:r>
        <w:rPr>
          <w:rFonts w:ascii="Arial" w:cs="Arial" w:eastAsia="Arial" w:hAnsi="Arial"/>
          <w:sz w:val="18"/>
          <w:szCs w:val="18"/>
          <w:color w:val="auto"/>
        </w:rPr>
        <w:t>$0.2 million for the three and nine months ended September 30, 2016, respectively, which is based on the number of awards ultimately expected to vest.</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Company is displaying all equity associated with the 2017 Plan in its post-Merger amounts, as impacted by the exchange ratio.</w:t>
      </w:r>
    </w:p>
    <w:p>
      <w:pPr>
        <w:spacing w:after="0" w:line="129" w:lineRule="exact"/>
        <w:rPr>
          <w:sz w:val="20"/>
          <w:szCs w:val="20"/>
          <w:color w:val="auto"/>
        </w:rPr>
      </w:pPr>
    </w:p>
    <w:p>
      <w:pPr>
        <w:ind w:left="920" w:right="780"/>
        <w:spacing w:after="0" w:line="277" w:lineRule="auto"/>
        <w:rPr>
          <w:sz w:val="20"/>
          <w:szCs w:val="20"/>
          <w:color w:val="auto"/>
        </w:rPr>
      </w:pPr>
      <w:r>
        <w:rPr>
          <w:rFonts w:ascii="Arial" w:cs="Arial" w:eastAsia="Arial" w:hAnsi="Arial"/>
          <w:sz w:val="18"/>
          <w:szCs w:val="18"/>
          <w:color w:val="auto"/>
        </w:rPr>
        <w:t>The following table summarizes equity-based compensation expense within the Company’s consolidated statements of operations and comprehensive loss for the three and nine months ended September 30, 2017 and 2016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2016</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2017</w:t>
            </w:r>
          </w:p>
        </w:tc>
        <w:tc>
          <w:tcPr>
            <w:tcW w:w="4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143</w:t>
            </w:r>
          </w:p>
        </w:tc>
      </w:tr>
      <w:tr>
        <w:trPr>
          <w:trHeight w:val="27"/>
        </w:trPr>
        <w:tc>
          <w:tcPr>
            <w:tcW w:w="7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226</w:t>
            </w:r>
          </w:p>
        </w:tc>
      </w:tr>
      <w:tr>
        <w:trPr>
          <w:trHeight w:val="20"/>
        </w:trPr>
        <w:tc>
          <w:tcPr>
            <w:tcW w:w="7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The following table summarizes equity-based compensation expense by type of award for the three and nine months ended September 30, 2017 and 2016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7"/>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9"/>
              </w:rPr>
              <w:t>Nine months ended</w:t>
            </w:r>
          </w:p>
        </w:tc>
      </w:tr>
      <w:tr>
        <w:trPr>
          <w:trHeight w:val="171"/>
        </w:trPr>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508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Incentive units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Restricted common units</w:t>
            </w: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r>
      <w:tr>
        <w:trPr>
          <w:trHeight w:val="27"/>
        </w:trPr>
        <w:tc>
          <w:tcPr>
            <w:tcW w:w="7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681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$ 226</w:t>
            </w:r>
          </w:p>
        </w:tc>
      </w:tr>
      <w:tr>
        <w:trPr>
          <w:trHeight w:val="20"/>
        </w:trPr>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Awards Issued Under the Synlogic, LLC 2015 Equity Incentive Plan</w:t>
      </w:r>
    </w:p>
    <w:p>
      <w:pPr>
        <w:spacing w:after="0" w:line="131"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Incentive Units</w:t>
      </w:r>
    </w:p>
    <w:p>
      <w:pPr>
        <w:spacing w:after="0" w:line="117"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In October 2015, Private Synlogic’s Board of Directors adopted the 2015 LLC Plan, which provided for the grant of equity incentive units to employees, officers, directors or consultants. The awards generally vested 25% after one year and ratably monthly thereafter over the next 36 months. Certain awards provided for accelerated vesting upon a change in control, as defined in the 2015 LLC Plan. Incentive units did not expire. Holders of incentive units had no voting rights in connection with such incentive units. Each incentive unit was intended to be a profits interest within the meaning of IRS regulations. Each incentive unit had a threshold price, which was the price above which an incentive unit would participate in distributions. In this way, an incentive unit was designed to participate in the future profits and appreciation of Private Synlogic. Holders of incentive units would have been entitled to receive profits when and if distributions were in excess of the threshold price of the award set by the Board of Directors on the date of grant.</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Private Synlogic measured and recorded the value of incentive units granted to non-employees over the period of time that services were provided and, as such, unvested portions were subject to remeasurement at subsequent reporting periods.</w:t>
      </w:r>
    </w:p>
    <w:p>
      <w:pPr>
        <w:spacing w:after="0" w:line="62"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No incentive units were issued during the three and nine months ended September 30, 2017 and 122,536 and 255,672 incentive units were issued during the three and nine months ended September 30, 2016, respectively. In May 2017, all incentive units were cancelled pursuant to the 2017 Reorganization and reissued as restricted common stock. As a result, there was no unrecognized compensation expense related to incentive units as of September 30, 2017.</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represents a summary of incentive unit activity, as adjusted for the Merger, under the 2015 LLC Plan: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1"/>
              </w:rPr>
              <w:t>Incentive units</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26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6"/>
              </w:rPr>
              <w:t>strike</w:t>
            </w:r>
          </w:p>
        </w:tc>
        <w:tc>
          <w:tcPr>
            <w:tcW w:w="8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threshold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price</w:t>
            </w:r>
          </w:p>
        </w:tc>
        <w:tc>
          <w:tcPr>
            <w:tcW w:w="26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971,906</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center"/>
              <w:ind w:left="115"/>
              <w:spacing w:after="0"/>
              <w:rPr>
                <w:sz w:val="20"/>
                <w:szCs w:val="20"/>
                <w:color w:val="auto"/>
              </w:rPr>
            </w:pPr>
            <w:r>
              <w:rPr>
                <w:rFonts w:ascii="Arial" w:cs="Arial" w:eastAsia="Arial" w:hAnsi="Arial"/>
                <w:sz w:val="18"/>
                <w:szCs w:val="18"/>
                <w:color w:val="auto"/>
                <w:w w:val="91"/>
              </w:rPr>
              <w:t>5.22</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1"/>
              </w:rPr>
              <w:t>5.93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85"/>
              </w:rPr>
              <w:t>1.01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(73,719)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4.01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5.53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85"/>
              </w:rPr>
              <w:t>0.87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(260,145)</w:t>
            </w:r>
          </w:p>
        </w:tc>
        <w:tc>
          <w:tcPr>
            <w:tcW w:w="12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4.19</w:t>
            </w:r>
          </w:p>
        </w:tc>
        <w:tc>
          <w:tcPr>
            <w:tcW w:w="16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5.57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center"/>
              <w:ind w:left="54"/>
              <w:spacing w:after="0"/>
              <w:rPr>
                <w:sz w:val="20"/>
                <w:szCs w:val="20"/>
                <w:color w:val="auto"/>
              </w:rPr>
            </w:pPr>
            <w:r>
              <w:rPr>
                <w:rFonts w:ascii="Arial" w:cs="Arial" w:eastAsia="Arial" w:hAnsi="Arial"/>
                <w:sz w:val="18"/>
                <w:szCs w:val="18"/>
                <w:color w:val="auto"/>
                <w:w w:val="85"/>
              </w:rPr>
              <w:t>1.05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cancelled upon 2017 Reorganization</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(638,042)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5.78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6.15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85"/>
              </w:rPr>
              <w:t>1.05</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Non-vested units at September 30, 2017</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September 30, 2017</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480" w:hanging="567"/>
        <w:spacing w:after="0"/>
        <w:tabs>
          <w:tab w:leader="none" w:pos="14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Common Units</w:t>
      </w:r>
    </w:p>
    <w:p>
      <w:pPr>
        <w:spacing w:after="0" w:line="117" w:lineRule="exact"/>
        <w:rPr>
          <w:sz w:val="20"/>
          <w:szCs w:val="20"/>
          <w:color w:val="auto"/>
        </w:rPr>
      </w:pPr>
    </w:p>
    <w:p>
      <w:pPr>
        <w:ind w:left="920" w:right="20"/>
        <w:spacing w:after="0" w:line="293" w:lineRule="auto"/>
        <w:rPr>
          <w:sz w:val="20"/>
          <w:szCs w:val="20"/>
          <w:color w:val="auto"/>
        </w:rPr>
      </w:pPr>
      <w:r>
        <w:rPr>
          <w:rFonts w:ascii="Arial" w:cs="Arial" w:eastAsia="Arial" w:hAnsi="Arial"/>
          <w:sz w:val="16"/>
          <w:szCs w:val="16"/>
          <w:color w:val="auto"/>
        </w:rPr>
        <w:t>No restricted common unit awards were issued during the three and nine months ended September 30, 2017 and 2016. During the three and nine months ended September 30, 2017, 0 and 68,280 units, respectively, vested and approximately $0 and $0.1 million, respectively, in equity compensation was recognized. During the three and nine months ended September 30, 2016, 40,968 units and 218,497 units vested, respectively, and approximately $34,000 and approximately $0.1 million, respectively, in equity-based compensation was recognized. In May 2017, the restricted common unit award was cancelled pursuant to the 2017 Reorganization and reissued as restricted common stock. As a result, there was no unrecognized compensation expense related to unvested restricted common units as of September 30, 2017.</w:t>
      </w:r>
    </w:p>
    <w:p>
      <w:pPr>
        <w:spacing w:after="0" w:line="313"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Awards Issued Under the Synlogic, Inc. 2017 Stock Incentive Plan and Synlogic, Inc. 2015 Stock Incentive Plan</w:t>
      </w:r>
    </w:p>
    <w:p>
      <w:pPr>
        <w:spacing w:after="0" w:line="117" w:lineRule="exact"/>
        <w:rPr>
          <w:sz w:val="20"/>
          <w:szCs w:val="20"/>
          <w:color w:val="auto"/>
        </w:rPr>
      </w:pPr>
    </w:p>
    <w:p>
      <w:pPr>
        <w:ind w:left="920" w:right="120"/>
        <w:spacing w:after="0" w:line="276" w:lineRule="auto"/>
        <w:rPr>
          <w:sz w:val="20"/>
          <w:szCs w:val="20"/>
          <w:color w:val="auto"/>
        </w:rPr>
      </w:pPr>
      <w:r>
        <w:rPr>
          <w:rFonts w:ascii="Arial" w:cs="Arial" w:eastAsia="Arial" w:hAnsi="Arial"/>
          <w:sz w:val="17"/>
          <w:szCs w:val="17"/>
          <w:color w:val="auto"/>
        </w:rPr>
        <w:t>In May 2017, Private Synlogic adopted the 2017 Plan which provided for the grant of incentive stock options, non-qualified stock options, restricted and unrestricted stock awards and other stock-based awards. Pursuant to the 2017 Reorganization, Private Synlogic issued restricted common stock awards under the 2017 Stock Incentive Plan to replace the canceled incentive units pursuant to the termination of the 2015 LLC Plan. In certain instances, Private Synlogic also issued stock options related to the cancelled incentive units. Pursuant to the Merger Agreement, each option to purchase shares of Private Synlogic common stock under the 2017</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920" w:right="200"/>
        <w:spacing w:after="0" w:line="308" w:lineRule="auto"/>
        <w:rPr>
          <w:sz w:val="20"/>
          <w:szCs w:val="20"/>
          <w:color w:val="auto"/>
        </w:rPr>
      </w:pPr>
      <w:r>
        <w:rPr>
          <w:rFonts w:ascii="Arial" w:cs="Arial" w:eastAsia="Arial" w:hAnsi="Arial"/>
          <w:sz w:val="17"/>
          <w:szCs w:val="17"/>
          <w:color w:val="auto"/>
        </w:rPr>
        <w:t>Plan that was outstanding and unexercised immediately prior to the Merger was converted into and became an option to purchase shares of the Company’s common stock based on the Merger Exchange Ratio of 0.5532 and the Company assumed the 2017 Plan.</w:t>
      </w:r>
    </w:p>
    <w:p>
      <w:pPr>
        <w:spacing w:after="0" w:line="38"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2015 Equity Incentive Award Plan (“2015 Plan”) was adopted by the Company in 2015 and remained active after the Merger, and now functions as an active plan for the Company. The 2015 Plan provides for the granting of a variety of stock-based compensation awards, including stock options, stock appreciation rights, restricted stock awards, restricted stock unit awards, deferred stock awards, dividend equivalent awards, stock payment awards, performance awards and other stock-based awards.</w:t>
      </w:r>
    </w:p>
    <w:p>
      <w:pPr>
        <w:spacing w:after="0" w:line="335" w:lineRule="exact"/>
        <w:rPr>
          <w:sz w:val="20"/>
          <w:szCs w:val="20"/>
          <w:color w:val="auto"/>
        </w:rPr>
      </w:pPr>
    </w:p>
    <w:p>
      <w:pPr>
        <w:ind w:left="1480" w:hanging="567"/>
        <w:spacing w:after="0"/>
        <w:tabs>
          <w:tab w:leader="none" w:pos="14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During the three and nine months ended September 30, 2017, 194,260 and 843,965 stock options, respectively, were granted to employees and consultants. There were no stock options granted during the three and nine months ended September 30, 2016.</w:t>
      </w:r>
    </w:p>
    <w:p>
      <w:pPr>
        <w:spacing w:after="0" w:line="62"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The weighted average assumptions used in the Black-Scholes option-pricing model for awards issued under the 2015 Plan and the 2017 Plan during both the three and nine months ended September 30, 2017 were: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5"/>
              </w:rPr>
              <w:t>Three months ended September 30,</w:t>
            </w:r>
          </w:p>
        </w:tc>
        <w:tc>
          <w:tcPr>
            <w:tcW w:w="2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71"/>
        </w:trPr>
        <w:tc>
          <w:tcPr>
            <w:tcW w:w="5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956"/>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93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9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6"/>
              </w:rPr>
              <w:t>Employee</w:t>
            </w:r>
          </w:p>
        </w:tc>
        <w:tc>
          <w:tcPr>
            <w:tcW w:w="260" w:type="dxa"/>
            <w:vAlign w:val="bottom"/>
          </w:tcPr>
          <w:p>
            <w:pPr>
              <w:spacing w:after="0"/>
              <w:rPr>
                <w:sz w:val="12"/>
                <w:szCs w:val="12"/>
                <w:color w:val="auto"/>
              </w:rPr>
            </w:pPr>
          </w:p>
        </w:tc>
        <w:tc>
          <w:tcPr>
            <w:tcW w:w="11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Nonemployee</w:t>
            </w:r>
          </w:p>
        </w:tc>
        <w:tc>
          <w:tcPr>
            <w:tcW w:w="480" w:type="dxa"/>
            <w:vAlign w:val="bottom"/>
          </w:tcPr>
          <w:p>
            <w:pPr>
              <w:spacing w:after="0"/>
              <w:rPr>
                <w:sz w:val="12"/>
                <w:szCs w:val="12"/>
                <w:color w:val="auto"/>
              </w:rPr>
            </w:pPr>
          </w:p>
        </w:tc>
        <w:tc>
          <w:tcPr>
            <w:tcW w:w="9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Employee</w:t>
            </w:r>
          </w:p>
        </w:tc>
        <w:tc>
          <w:tcPr>
            <w:tcW w:w="260" w:type="dxa"/>
            <w:vAlign w:val="bottom"/>
          </w:tcPr>
          <w:p>
            <w:pPr>
              <w:spacing w:after="0"/>
              <w:rPr>
                <w:sz w:val="12"/>
                <w:szCs w:val="12"/>
                <w:color w:val="auto"/>
              </w:rPr>
            </w:pPr>
          </w:p>
        </w:tc>
        <w:tc>
          <w:tcPr>
            <w:tcW w:w="11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Nonemployee</w:t>
            </w:r>
          </w:p>
        </w:tc>
        <w:tc>
          <w:tcPr>
            <w:tcW w:w="20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 years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0.2 - 1.6 years</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6.1 years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0.2 - 1.6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w:t>
            </w:r>
          </w:p>
        </w:tc>
        <w:tc>
          <w:tcPr>
            <w:tcW w:w="1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summarizes stock option activity, as adjusted for the Merger Exchange Ratio under the 2015 Plan and the 2017 Plan.</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5"/>
              </w:rPr>
              <w:t>Stock options outstanding</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88"/>
              </w:rPr>
              <w:t>Weighted</w:t>
            </w: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12"/>
                <w:szCs w:val="12"/>
                <w:color w:val="auto"/>
              </w:rPr>
            </w:pPr>
          </w:p>
        </w:tc>
        <w:tc>
          <w:tcPr>
            <w:tcW w:w="11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exercise</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contractual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0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80"/>
              <w:spacing w:after="0" w:line="142" w:lineRule="exact"/>
              <w:rPr>
                <w:sz w:val="20"/>
                <w:szCs w:val="20"/>
                <w:color w:val="auto"/>
              </w:rPr>
            </w:pPr>
            <w:r>
              <w:rPr>
                <w:rFonts w:ascii="Arial" w:cs="Arial" w:eastAsia="Arial" w:hAnsi="Arial"/>
                <w:sz w:val="14"/>
                <w:szCs w:val="14"/>
                <w:b w:val="1"/>
                <w:bCs w:val="1"/>
                <w:color w:val="auto"/>
                <w:w w:val="89"/>
              </w:rPr>
              <w:t>price</w:t>
            </w:r>
          </w:p>
        </w:tc>
        <w:tc>
          <w:tcPr>
            <w:tcW w:w="10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term</w:t>
            </w:r>
          </w:p>
        </w:tc>
        <w:tc>
          <w:tcPr>
            <w:tcW w:w="2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Options granted upon 2017 Reorganization</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295,289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13.53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548,676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15.25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Outstanding at September 30, 2017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841,510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September 30, 2017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841,510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Exercisable at September 30, 2017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109,745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13.57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740"/>
        <w:spacing w:after="0" w:line="277" w:lineRule="auto"/>
        <w:rPr>
          <w:sz w:val="20"/>
          <w:szCs w:val="20"/>
          <w:color w:val="auto"/>
        </w:rPr>
      </w:pPr>
      <w:r>
        <w:rPr>
          <w:rFonts w:ascii="Arial" w:cs="Arial" w:eastAsia="Arial" w:hAnsi="Arial"/>
          <w:sz w:val="18"/>
          <w:szCs w:val="18"/>
          <w:color w:val="auto"/>
        </w:rPr>
        <w:t>During the three and nine months ended September 30, 2017, approximately $0.5 million and $1.0 million in equity compensation was recognized related to stock options related to employees,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weighted average grant date fair value per share of options granted to employees during the three and nine months ended September 30, 2017 was approximately $11.89 and $12.58, respectively. The grant date fair value of the options awarded to employees during the three and nine months ended September 30, 2017 was approximately $2.3 million and $7.5 million, respectively. No options were exercised during the three and nine months ended September 30, 2017.</w:t>
      </w:r>
    </w:p>
    <w:p>
      <w:pPr>
        <w:spacing w:after="0" w:line="79" w:lineRule="exact"/>
        <w:rPr>
          <w:sz w:val="20"/>
          <w:szCs w:val="20"/>
          <w:color w:val="auto"/>
        </w:rPr>
      </w:pPr>
    </w:p>
    <w:p>
      <w:pPr>
        <w:ind w:left="920" w:right="60"/>
        <w:spacing w:after="0" w:line="273" w:lineRule="auto"/>
        <w:rPr>
          <w:sz w:val="20"/>
          <w:szCs w:val="20"/>
          <w:color w:val="auto"/>
        </w:rPr>
      </w:pPr>
      <w:r>
        <w:rPr>
          <w:rFonts w:ascii="Arial" w:cs="Arial" w:eastAsia="Arial" w:hAnsi="Arial"/>
          <w:sz w:val="17"/>
          <w:szCs w:val="17"/>
          <w:color w:val="auto"/>
        </w:rPr>
        <w:t>As of September 30, 2017, there was approximately $6.8 million of unrecognized share-based compensation related to employees for unvested stock option grants which is expected to be recognized over a weighted average period of 6.2 years. The total unrecognized share-based compensation cost will be adjusted for actual forfeitures as they occur. In addition, there was approximately $0.2 million of unrecognized share-based compensation, related to unvested stock option grants to non-employees which is expected to be recognized over a weighted average period of 0.6 years. The amount of equity-based compensation expense related to non-employees that will ultimately be recorded will depend on the remeasurement of the outstanding awards through their vesting date.</w:t>
      </w:r>
    </w:p>
    <w:p>
      <w:pPr>
        <w:spacing w:after="0" w:line="327" w:lineRule="exact"/>
        <w:rPr>
          <w:sz w:val="20"/>
          <w:szCs w:val="20"/>
          <w:color w:val="auto"/>
        </w:rPr>
      </w:pPr>
    </w:p>
    <w:p>
      <w:pPr>
        <w:ind w:left="1480" w:hanging="567"/>
        <w:spacing w:after="0"/>
        <w:tabs>
          <w:tab w:leader="none" w:pos="148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Common Stock</w:t>
      </w:r>
    </w:p>
    <w:p>
      <w:pPr>
        <w:spacing w:after="0" w:line="117"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During the three and nine months ended September 30, 2017, 2,884 and 1,062,795 shares of common stock, respectively were granted. As part of the 2017 Reorganization in May 2017, 1,059,911 shares of restricted common stock (adjusted for the merger exchange) were granted in exchange for the restricted common units that were cancelled as part of the 2017 Reorganization. These shares retained the same vesting schedule as the cancelled units. Private Synlogic treated these as modifications to the original grants of incentive units because the cancellation and reissuance was deemed to be concurrent. The calculation of the incremental compensation expense was based on the excess of the fair value of the award measured immediately before and after the modification. As a result of the modification, Private Synlogic recognized approximately $26,000 in equity-based compensation. No restricted common stock was granted during the three and nine months ended September 30, 2016.</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restricted stock activity:</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40" w:type="dxa"/>
            <w:vAlign w:val="bottom"/>
            <w:gridSpan w:val="6"/>
          </w:tcPr>
          <w:p>
            <w:pPr>
              <w:ind w:left="240"/>
              <w:spacing w:after="0"/>
              <w:rPr>
                <w:sz w:val="20"/>
                <w:szCs w:val="20"/>
                <w:color w:val="auto"/>
              </w:rPr>
            </w:pPr>
            <w:r>
              <w:rPr>
                <w:rFonts w:ascii="Arial" w:cs="Arial" w:eastAsia="Arial" w:hAnsi="Arial"/>
                <w:sz w:val="14"/>
                <w:szCs w:val="14"/>
                <w:b w:val="1"/>
                <w:bCs w:val="1"/>
                <w:color w:val="auto"/>
              </w:rPr>
              <w:t>Restricted stock awards</w:t>
            </w: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06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Number of</w:t>
            </w:r>
          </w:p>
        </w:tc>
        <w:tc>
          <w:tcPr>
            <w:tcW w:w="920" w:type="dxa"/>
            <w:vAlign w:val="bottom"/>
            <w:tcBorders>
              <w:top w:val="single" w:sz="8" w:color="auto"/>
            </w:tcBorders>
            <w:gridSpan w:val="3"/>
          </w:tcPr>
          <w:p>
            <w:pPr>
              <w:ind w:left="240"/>
              <w:spacing w:after="0" w:line="119" w:lineRule="exact"/>
              <w:rPr>
                <w:sz w:val="20"/>
                <w:szCs w:val="20"/>
                <w:color w:val="auto"/>
              </w:rPr>
            </w:pPr>
            <w:r>
              <w:rPr>
                <w:rFonts w:ascii="Arial" w:cs="Arial" w:eastAsia="Arial" w:hAnsi="Arial"/>
                <w:sz w:val="13"/>
                <w:szCs w:val="13"/>
                <w:b w:val="1"/>
                <w:bCs w:val="1"/>
                <w:color w:val="auto"/>
              </w:rPr>
              <w:t>Grant date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9"/>
              </w:rPr>
              <w:t>(per share)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7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Awards exchanged upon 2017 Reorganization</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1,059,911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(604,505)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Unvested at September 30, 2017</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40"/>
        <w:spacing w:after="0" w:line="257" w:lineRule="auto"/>
        <w:rPr>
          <w:sz w:val="20"/>
          <w:szCs w:val="20"/>
          <w:color w:val="auto"/>
        </w:rPr>
      </w:pPr>
      <w:r>
        <w:rPr>
          <w:rFonts w:ascii="Arial" w:cs="Arial" w:eastAsia="Arial" w:hAnsi="Arial"/>
          <w:sz w:val="18"/>
          <w:szCs w:val="18"/>
          <w:color w:val="auto"/>
        </w:rPr>
        <w:t>During the three months ended September 30, 2017, 88,840 shares of restricted stock vested and approximately $0.2 million in equity compensation was recognized. During the nine months ended September 30, 2017, 604,505 shares of restricted stock vested, of which 501,231 shares were vested at the time of grant and 103,274 shares represent continued vesting of the grants and $0.3 million in equity compensation was recognized. During both the three and nine months ended September 30, 2016, no restricted stock vested and no equity-based compensation was recognized associated with restricted stock awards.</w:t>
      </w:r>
    </w:p>
    <w:p>
      <w:pPr>
        <w:spacing w:after="0" w:line="80" w:lineRule="exact"/>
        <w:rPr>
          <w:sz w:val="20"/>
          <w:szCs w:val="20"/>
          <w:color w:val="auto"/>
        </w:rPr>
      </w:pPr>
    </w:p>
    <w:p>
      <w:pPr>
        <w:ind w:left="920" w:right="100"/>
        <w:spacing w:after="0" w:line="257" w:lineRule="auto"/>
        <w:rPr>
          <w:sz w:val="20"/>
          <w:szCs w:val="20"/>
          <w:color w:val="auto"/>
        </w:rPr>
      </w:pPr>
      <w:r>
        <w:rPr>
          <w:rFonts w:ascii="Arial" w:cs="Arial" w:eastAsia="Arial" w:hAnsi="Arial"/>
          <w:sz w:val="18"/>
          <w:szCs w:val="18"/>
          <w:color w:val="auto"/>
        </w:rPr>
        <w:t>As of September 30, 2017, there was approximately $0.7 million of unrecognized share-based compensation related to restricted stock awards granted to employees, which is expected to be recognized over a weighted average period of 2.4 years. The total unrecognized share-based compensation cost will be adjusted for actual forfeitures as they occur. In addition, there was approximately $0.3 million of unrecognized share-based compensation, related to unvested restricted stock awards granted to non-employees which is expected to be recognized over a weighted average period of 0.7 years.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Significant Agreements</w:t>
      </w:r>
    </w:p>
    <w:p>
      <w:pPr>
        <w:spacing w:after="0" w:line="135"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AbbVie Collaboration Agreement</w:t>
      </w:r>
    </w:p>
    <w:p>
      <w:pPr>
        <w:spacing w:after="0" w:line="117"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In July 2015, the Company entered into an Agreement and Plan of Merger (“the Agreement”) with AbbVie under which the Company granted an exclusive option to AbbVie to purchase IBDCo and agreed to collaborate in researching and developing an Investigatory New Drug (“IND”) candidate for the treatment of IBD.</w:t>
      </w:r>
    </w:p>
    <w:p>
      <w:pPr>
        <w:spacing w:after="0" w:line="73" w:lineRule="exact"/>
        <w:rPr>
          <w:sz w:val="20"/>
          <w:szCs w:val="20"/>
          <w:color w:val="auto"/>
        </w:rPr>
      </w:pPr>
    </w:p>
    <w:p>
      <w:pPr>
        <w:ind w:left="920" w:right="120"/>
        <w:spacing w:after="0" w:line="273" w:lineRule="auto"/>
        <w:rPr>
          <w:sz w:val="20"/>
          <w:szCs w:val="20"/>
          <w:color w:val="auto"/>
        </w:rPr>
      </w:pPr>
      <w:r>
        <w:rPr>
          <w:rFonts w:ascii="Arial" w:cs="Arial" w:eastAsia="Arial" w:hAnsi="Arial"/>
          <w:sz w:val="17"/>
          <w:szCs w:val="17"/>
          <w:color w:val="auto"/>
        </w:rPr>
        <w:t>In exchange for the exclusive option to acquire IBDCo, initial research and development services, ongoing patent defense, and participation on the joint steering committee (“JSC”), AbbVie agreed to pay IBDCo an upfront, nonrefundable cash payment of $2.0 million, which IBDCo received in December 2015. AbbVie also agreed to pay IBDCo up to $16.5 million in development milestone payments, all of which were considered substantive, as well as an option exercise fee upon the execution of their option to buy IBDCo. In May 2017, the Company achieved the first development milestone under the Agreement for consideration of $2.0 million. The agreement also provides for royalty payments and payments upon the achievement of certain clinical, regulatory and commercial milestones.</w:t>
      </w:r>
    </w:p>
    <w:p>
      <w:pPr>
        <w:spacing w:after="0" w:line="70"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Agreement sets forth the Company’s and AbbVie’s respective obligations for development and delivery of an IND candidate package using reasonable commercial efforts. The JSC will make a determination as to the continuation of the collaboration at the achievement of the milestones.</w:t>
      </w:r>
    </w:p>
    <w:p>
      <w:pPr>
        <w:spacing w:after="0" w:line="73" w:lineRule="exact"/>
        <w:rPr>
          <w:sz w:val="20"/>
          <w:szCs w:val="20"/>
          <w:color w:val="auto"/>
        </w:rPr>
      </w:pPr>
    </w:p>
    <w:p>
      <w:pPr>
        <w:ind w:left="920" w:right="60"/>
        <w:spacing w:after="0" w:line="257" w:lineRule="auto"/>
        <w:rPr>
          <w:sz w:val="20"/>
          <w:szCs w:val="20"/>
          <w:color w:val="auto"/>
        </w:rPr>
      </w:pPr>
      <w:r>
        <w:rPr>
          <w:rFonts w:ascii="Arial" w:cs="Arial" w:eastAsia="Arial" w:hAnsi="Arial"/>
          <w:sz w:val="18"/>
          <w:szCs w:val="18"/>
          <w:color w:val="auto"/>
        </w:rPr>
        <w:t>At the inception of the Agreement, the Company identified the following deliverables: (i) an exclusive option to purchase IBDCo, (ii) research and development services and ongoing patent defense, and (iii) participation on the JSC. The Company also identified contingent deliverables related to four research and development milestones, delivery of an IND candidate package milestone, and transfer of ownership of IBDCo upon exercise of the option to buy IBDCo. The contingent deliverables have been excluded from the initial allocation and will be treated as a separate unit of accounting when and if delivered.</w:t>
      </w:r>
    </w:p>
    <w:p>
      <w:pPr>
        <w:spacing w:after="0" w:line="80"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The Company concluded that none of the three deliverables identified at the inception of the Agreement has stand-alone value from the other undelivered elements. Accordingly, these deliverables represent a single unit of accounting.</w:t>
      </w:r>
    </w:p>
    <w:p>
      <w:pPr>
        <w:spacing w:after="0" w:line="62"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As of September 30, 2017, the only consideration that is fixed and determinable is the nonrefundable upfront payment of $2.0 million. The consideration relates to the three identified deliverables that comprise the single unit of accounting, which will be recognized over the period of performance. The period of performance will be through the option period, which is closely tied to the completion of the research and development collaboration with AbbVie, and has been estimated to be 54 months. The Company will periodically review and, if necessary, revise the estimated period of performance.</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During the three and nine months ended September 30, 2017, the Company recognized approximately $0.1 million and approximately</w:t>
      </w:r>
    </w:p>
    <w:p>
      <w:pPr>
        <w:spacing w:after="0" w:line="35"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color w:val="auto"/>
        </w:rPr>
        <w:t>$2.3 million, respectively, in revenue associated with the Agreement. During the three and nine months ended September 30, 2016, the Company recognized approximately $0.1 million and approximately $0.3 million, respectively, in revenue associated with the Agreement. As of September 30, 2017, there was approximately $1.2 million of deferred revenue related to the Agreement, which is classified as current or noncurrent in the consolidated balance sheets based on the Company’s estimate of revenue that will be recognized within the next twelve months. All costs associated with the collaboration agreement will be recorded in research and development expense in the consolidated statements of operations and comprehensive loss in the period incurred.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License Agreement with the Massachusetts Institute of Technology and Boston University</w:t>
      </w:r>
    </w:p>
    <w:p>
      <w:pPr>
        <w:spacing w:after="0" w:line="117" w:lineRule="exact"/>
        <w:rPr>
          <w:sz w:val="20"/>
          <w:szCs w:val="20"/>
          <w:color w:val="auto"/>
        </w:rPr>
      </w:pPr>
    </w:p>
    <w:p>
      <w:pPr>
        <w:ind w:left="920" w:right="100"/>
        <w:spacing w:after="0" w:line="271" w:lineRule="auto"/>
        <w:rPr>
          <w:sz w:val="20"/>
          <w:szCs w:val="20"/>
          <w:color w:val="auto"/>
        </w:rPr>
      </w:pPr>
      <w:r>
        <w:rPr>
          <w:rFonts w:ascii="Arial" w:cs="Arial" w:eastAsia="Arial" w:hAnsi="Arial"/>
          <w:sz w:val="17"/>
          <w:szCs w:val="17"/>
          <w:color w:val="auto"/>
        </w:rPr>
        <w:t xml:space="preserve">In April 2017, the Company exercised an option associated with the October 2014 agreement with Boston University and the Massachusetts Institute of Technology to acquire a license for certain intellectual property in exchange for $50,000. The execution of this option triggered an equity award for the issuance of 325,377 common units, which were converted to 325,377 common shares upon the 2017 Reorganization and converted to 179,999 common shares during the Merger. The Company recognized license fees of approximately $1.8 million upon issuance of the common units associated with the equity award. Additionally, the Company was required to pay approximately $0.3 million for prior patent costs incurred in connection with the option agreement. The Company recorded these amounts, including the fair value of the common stock issued to the licensors as research and development expense, as the licenses do not have future alternative use, in accordance with ASC Topic 730, </w:t>
      </w:r>
      <w:r>
        <w:rPr>
          <w:rFonts w:ascii="Arial" w:cs="Arial" w:eastAsia="Arial" w:hAnsi="Arial"/>
          <w:sz w:val="17"/>
          <w:szCs w:val="17"/>
          <w:i w:val="1"/>
          <w:iCs w:val="1"/>
          <w:color w:val="auto"/>
        </w:rPr>
        <w:t>Research and Development.</w:t>
      </w:r>
    </w:p>
    <w:p>
      <w:pPr>
        <w:spacing w:after="0" w:line="3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5"/>
          <w:szCs w:val="15"/>
          <w:b w:val="1"/>
          <w:bCs w:val="1"/>
          <w:i w:val="1"/>
          <w:iCs w:val="1"/>
          <w:color w:val="auto"/>
        </w:rPr>
        <w:t>Net Loss per Share/Unit</w:t>
      </w:r>
    </w:p>
    <w:p>
      <w:pPr>
        <w:spacing w:after="0" w:line="117"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Basic net loss per share/unit is computed using the weighted-average number of common shares/units outstanding during the period. Diluted net loss per share/unit is computed using the sum of the weighted-average number of common shares/units outstanding during the period and if dilutive, the weighted-average number of potential common shares/units, including unvested restricted common shares/units and outstanding stock options.</w:t>
      </w:r>
    </w:p>
    <w:p>
      <w:pPr>
        <w:spacing w:after="0" w:line="79" w:lineRule="exact"/>
        <w:rPr>
          <w:sz w:val="20"/>
          <w:szCs w:val="20"/>
          <w:color w:val="auto"/>
        </w:rPr>
      </w:pPr>
    </w:p>
    <w:p>
      <w:pPr>
        <w:ind w:left="920" w:right="80"/>
        <w:spacing w:after="0" w:line="291" w:lineRule="auto"/>
        <w:rPr>
          <w:sz w:val="20"/>
          <w:szCs w:val="20"/>
          <w:color w:val="auto"/>
        </w:rPr>
      </w:pPr>
      <w:r>
        <w:rPr>
          <w:rFonts w:ascii="Arial" w:cs="Arial" w:eastAsia="Arial" w:hAnsi="Arial"/>
          <w:sz w:val="16"/>
          <w:szCs w:val="16"/>
          <w:color w:val="auto"/>
        </w:rPr>
        <w:t>The Company computed basic and diluted net loss per share/unit using the two-class method, which gives effect to the impact of outstanding participating securities. As the three and nine months ended September 30, 2017 and 2016 resulted in net losses attributable to common shareholders/unit holders, there is no income allocation required under the two-class method or dilution attributed to weighted-average shares outstanding in the calculation of diluted net loss per share/unit because the preferred shareholders/unit holders do not participate in losses of the Company. Accordingly, for periods in which the Company reports a net loss attributable to common shareholders/unit holders, diluted net loss per share/unit attributable to common shareholders/unit holders is the same as basic net loss per share/unit attributable to common shareholders/unit holders, since dilutive common shares/units are not assumed to have been issued if their effect is anti-dilutive.</w:t>
      </w:r>
    </w:p>
    <w:p>
      <w:pPr>
        <w:spacing w:after="0" w:line="59"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As the 2017 Reorganization resulted in a one for one conversion of preferred units for preferred shares and common units for common stock, the conversion was not substantive for the purposes of this calculation and the weighted average was calculated as if outstanding equity was outstanding from the beginning of the period presented.</w:t>
      </w:r>
    </w:p>
    <w:p>
      <w:pPr>
        <w:spacing w:after="0" w:line="73"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Additionally, on the Merger Closing Date, the Company issued shares of its common stock to Private Synlogic shareholders, at the Merger Exchange Ratio of 0.5532 shares of common stock, after taking into account the Reverse Stock Split, in exchange for each share of Private Synlogic preferred and common stock outstanding immediately prior to the Merger. The Merger Exchange Ratio was calculated by a formula pursuant to the Merger Agreement. For the purposes of calculating net loss per share, the Merger Exchange Ratio was applied retroactively to all periods presented.</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920" w:right="56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shareholders/unit holders (in thousands, except for share/unit and per share/unit amounts):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(28,680)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1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7,169,241</w:t>
            </w:r>
          </w:p>
        </w:tc>
        <w:tc>
          <w:tcPr>
            <w:tcW w:w="10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3,642,125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 shareholders - basic and</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 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 - basic and diluted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1,594,265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1,538,896</w:t>
            </w:r>
          </w:p>
        </w:tc>
        <w:tc>
          <w:tcPr>
            <w:tcW w:w="0" w:type="dxa"/>
            <w:vAlign w:val="bottom"/>
          </w:tcPr>
          <w:p>
            <w:pPr>
              <w:spacing w:after="0"/>
              <w:rPr>
                <w:sz w:val="1"/>
                <w:szCs w:val="1"/>
                <w:color w:val="auto"/>
              </w:rPr>
            </w:pPr>
          </w:p>
        </w:tc>
      </w:tr>
      <w:tr>
        <w:trPr>
          <w:trHeight w:val="209"/>
        </w:trPr>
        <w:tc>
          <w:tcPr>
            <w:tcW w:w="5460" w:type="dxa"/>
            <w:vAlign w:val="bottom"/>
            <w:gridSpan w:val="2"/>
          </w:tcPr>
          <w:p>
            <w:pPr>
              <w:spacing w:after="0"/>
              <w:rPr>
                <w:sz w:val="20"/>
                <w:szCs w:val="20"/>
                <w:color w:val="auto"/>
              </w:rPr>
            </w:pPr>
            <w:r>
              <w:rPr>
                <w:rFonts w:ascii="Arial" w:cs="Arial" w:eastAsia="Arial" w:hAnsi="Arial"/>
                <w:sz w:val="18"/>
                <w:szCs w:val="18"/>
                <w:color w:val="auto"/>
              </w:rPr>
              <w:t>Net loss per unit attributable to common unit holders - basic and</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340"/>
        <w:spacing w:after="0" w:line="264" w:lineRule="auto"/>
        <w:rPr>
          <w:sz w:val="20"/>
          <w:szCs w:val="20"/>
          <w:color w:val="auto"/>
        </w:rPr>
      </w:pPr>
      <w:r>
        <w:rPr>
          <w:rFonts w:ascii="Arial" w:cs="Arial" w:eastAsia="Arial" w:hAnsi="Arial"/>
          <w:sz w:val="18"/>
          <w:szCs w:val="18"/>
          <w:color w:val="auto"/>
        </w:rPr>
        <w:t>The Company’s potentially dilutive shares/units, which include outstanding stock options and unvested restricted common stock/units, are considered to be common share/unit equivalents and are only included in the calculation of diluted net loss per share/unit when their effect is dilutive.</w:t>
      </w:r>
    </w:p>
    <w:p>
      <w:pPr>
        <w:spacing w:after="0" w:line="73"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The following potential common shares/units, presented based on amounts outstanding at each period end, were excluded from the calculation of the diluted net loss per share/unit attributable to common shareholders/unit holders for the period indicated because including them would have had an anti-dilutive effect.</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As of September 30,</w:t>
            </w:r>
          </w:p>
        </w:tc>
      </w:tr>
      <w:tr>
        <w:trPr>
          <w:trHeight w:val="171"/>
        </w:trPr>
        <w:tc>
          <w:tcPr>
            <w:tcW w:w="70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unit awards</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436,977</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Unvested restricted common stock awards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454,833</w:t>
            </w:r>
          </w:p>
        </w:tc>
        <w:tc>
          <w:tcPr>
            <w:tcW w:w="32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841,510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62" w:lineRule="exact"/>
        <w:rPr>
          <w:sz w:val="20"/>
          <w:szCs w:val="20"/>
          <w:color w:val="auto"/>
        </w:rPr>
      </w:pPr>
    </w:p>
    <w:p>
      <w:pPr>
        <w:ind w:left="920" w:right="60"/>
        <w:spacing w:after="0" w:line="257" w:lineRule="auto"/>
        <w:rPr>
          <w:sz w:val="20"/>
          <w:szCs w:val="20"/>
          <w:color w:val="auto"/>
        </w:rPr>
      </w:pPr>
      <w:r>
        <w:rPr>
          <w:rFonts w:ascii="Arial" w:cs="Arial" w:eastAsia="Arial" w:hAnsi="Arial"/>
          <w:sz w:val="18"/>
          <w:szCs w:val="18"/>
          <w:color w:val="auto"/>
        </w:rPr>
        <w:t>In July 2017, the Company entered into an agreement to lease approximately 41,346 square feet of laboratory and office space in Cambridge, Massachusetts. Annual rent is approximately $3.1 million. The ten-year lease is estimated to commence in January 2018 and contains provisions for a free-rent period, annual rent increases and an allowance for tenant improvements. Additionally, the Company has committed to a tenant improvement investment of approximately $1.6 million. In conjunction with the lease, the Company established a letter of credit of approximately $1.0 million secured by cash balances included in restricted cash.</w:t>
      </w:r>
    </w:p>
    <w:p>
      <w:pPr>
        <w:spacing w:after="0" w:line="80" w:lineRule="exact"/>
        <w:rPr>
          <w:sz w:val="20"/>
          <w:szCs w:val="20"/>
          <w:color w:val="auto"/>
        </w:rPr>
      </w:pPr>
    </w:p>
    <w:p>
      <w:pPr>
        <w:ind w:left="920" w:right="80"/>
        <w:spacing w:after="0" w:line="302" w:lineRule="auto"/>
        <w:rPr>
          <w:sz w:val="20"/>
          <w:szCs w:val="20"/>
          <w:color w:val="auto"/>
        </w:rPr>
      </w:pPr>
      <w:r>
        <w:rPr>
          <w:rFonts w:ascii="Arial" w:cs="Arial" w:eastAsia="Arial" w:hAnsi="Arial"/>
          <w:sz w:val="16"/>
          <w:szCs w:val="16"/>
          <w:color w:val="auto"/>
        </w:rPr>
        <w:t>In July 2017, the Company entered into an agreement to terminate its existing lease of laboratory and office space in Cambridge, Massachusetts at a date that is 30 days after the commencement of its new lease. No penalties are associated with the termination of the lease. As a result of the agreement to terminate its lease, the Company revised its estimate of the remaining amortization period of the deferred rent and its estimate of the remaining useful life our leasehold improvements associated with the 200 Sidney Street facility from 63 months to seven months.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121"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During the nine months ended September 30, 2017, the Company received repayment of the loan to its chief executive officer of approximately $0.2 million. The loan was repaid in June 2017, including interest which accrued at a rate of 0.6%.</w:t>
      </w:r>
    </w:p>
    <w:p>
      <w:pPr>
        <w:spacing w:after="0" w:line="62"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The Company contracted services from one of its principal investors for the Company’s former chief medical officer who was employed by the principal investor, as well as employed to support separate portfolio companies of the investor. The Company made no payments during the three and nine months ended September 30, 2017 and paid approximately $39,000 and $136,000 related to reimbursement for a portion of the salary of the former chief medical officer for the three and nine months ended September 30, 2016, respectively.</w:t>
      </w:r>
    </w:p>
    <w:p>
      <w:pPr>
        <w:spacing w:after="0" w:line="63" w:lineRule="exact"/>
        <w:rPr>
          <w:sz w:val="20"/>
          <w:szCs w:val="20"/>
          <w:color w:val="auto"/>
        </w:rPr>
      </w:pPr>
    </w:p>
    <w:p>
      <w:pPr>
        <w:ind w:left="920" w:right="20"/>
        <w:spacing w:after="0" w:line="279" w:lineRule="auto"/>
        <w:rPr>
          <w:sz w:val="20"/>
          <w:szCs w:val="20"/>
          <w:color w:val="auto"/>
        </w:rPr>
      </w:pPr>
      <w:r>
        <w:rPr>
          <w:rFonts w:ascii="Arial" w:cs="Arial" w:eastAsia="Arial" w:hAnsi="Arial"/>
          <w:sz w:val="17"/>
          <w:szCs w:val="17"/>
          <w:color w:val="auto"/>
        </w:rPr>
        <w:t>The Company contracted the services of The Orphan Group which specializes in supporting biotechnology companies in developing therapeutics toward diseases of high unmet medical needs in rare disorders. The Orphan Group is owned by the Company’s former chief operating officer. The Company made no payments to the Orphan Group during the three and nine months ended September 30, 2017 and paid $0 and approximately $13,000 for contracted services during the three and nine months ended September 30, 2016, respectively.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On October 13, 2017 the Company entered into a sales agreement with Cowen and Company, LLC (“Cowen”) with respect to an at-the-market (“ATM”) offering program under which the Company may offer and sell, from time to time at its sole discretion, shares of its common stock, par value $0.001 per share, through Cowen as its sales agent. In an ATM offering, exchange-listed companies incrementally sell newly issued shares into the secondary trading market through a designated broker-dealer at prevailing market prices.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2016 and 2015 included in Exhibit 99.3 of our Current Report on Form 8-K/A filed on September 26, 2017.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33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We are a clinical-stage biopharmaceutical company focused on advancing our drug discovery and development platform for Synthetic Biotic™ medicines, which are designed using synthetic biology to genetically reprogram beneficial microbes to treat metabolic and inflammatory diseases and cancer. Synthetic Biotic medicines are generated from our proprietary drug discovery and development platform. We apply the principles and tools of synthetic biology to engineer beneficial probiotic bacteria to perform or deliver critical therapeutic functions such as compensating for missing or damaged metabolic pathways in patients. As living medicines, Synthetic Biotic medicines can be designed to sense a local disease context within a patient’s body and to respond by metabolizing a toxic substance or delivering combinations of therapeutic factors.</w:t>
      </w:r>
    </w:p>
    <w:p>
      <w:pPr>
        <w:spacing w:after="0" w:line="178"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Our initial focus is on metabolic diseases with the potential to be corrected following oral delivery of a living medicine to the gut. This includes a group of rare genetic diseases called inborn errors of metabolism (“IEMs”), as well as acquired metabolic diseases caused by organ dysfunction. Our approach to selecting these initial programs is based on the potential of the Synthetic Biotic platform to uniquely address conditions in which there is</w:t>
      </w:r>
    </w:p>
    <w:p>
      <w:pPr>
        <w:ind w:firstLine="8"/>
        <w:spacing w:after="0" w:line="270" w:lineRule="auto"/>
        <w:tabs>
          <w:tab w:leader="none" w:pos="2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unmet medical need with (2) well understood biology that is (3) based on an imbalance of a metabolite and (4) where that metabolite is available within or originating from the gut lumen. Additional considerations include the availability of animal models, relevant biomarkers and feasible clinical development paths. Our initial clinical and preclinical programs are focused on certain IEMs that share these characteristics. When delivered orally, Synthetic Biotic medicines are designed to act from the gut to compensate for the dysfunctional metabolic pathway with the intended consequence of reducing the levels of the toxic metabolites systematically. We believe success in IEMs will enable us to demonstrate the potential of our oral Synthetic Biotic medicines to address metabolic dysfunction while bringing meaningful change to the lives of patients suffering from these debilitating conditions.</w:t>
      </w:r>
    </w:p>
    <w:p>
      <w:pPr>
        <w:spacing w:after="0" w:line="179" w:lineRule="exact"/>
        <w:rPr>
          <w:sz w:val="20"/>
          <w:szCs w:val="20"/>
          <w:color w:val="auto"/>
        </w:rPr>
      </w:pPr>
    </w:p>
    <w:p>
      <w:pPr>
        <w:ind w:right="100" w:firstLine="913"/>
        <w:spacing w:after="0" w:line="268" w:lineRule="auto"/>
        <w:rPr>
          <w:sz w:val="20"/>
          <w:szCs w:val="20"/>
          <w:color w:val="auto"/>
        </w:rPr>
      </w:pPr>
      <w:r>
        <w:rPr>
          <w:rFonts w:ascii="Arial" w:cs="Arial" w:eastAsia="Arial" w:hAnsi="Arial"/>
          <w:sz w:val="17"/>
          <w:szCs w:val="17"/>
          <w:color w:val="auto"/>
        </w:rPr>
        <w:t>Our two lead therapeutic programs are being developed for the treatment of UCD and PKU, both IEMs. There are unmet needs to improve current therapies for both indications and opportunities to reduce toxic metabolites that originate from the gut. Both also inform the potential of the Synthetic Biotic platform in unique ways. Our lead Synthetic Biotic program is SYNB1020. SYNB1020 is an oral therapy intended for the treatment of patients with hyperammonemia. In patients with these conditions ammonia accumulates in the body and becomes toxic leading to neurocognitive crisis and risk of long-term cognitive or behavioral impairment, coma or death. Hyperammonemic conditions include urea cycle disorders (“UCD”) which are IEMs and hepatic encephalopathy (“HE”) in patients with liver disease. SYNB1020 has received both Fast Track Designation and Orphan Drug Designation for UCD from the U.S. Food and Drug Administration (the “FDA”). We initiated a Phase 1 clinical trial in June 2017 to evaluate the safety and tolerability of SYNB1020 in healthy volunteers. In November 2017, we announced top-line data from this study that demonstrated that SYNB1020 was safe and well-tolerated and achieved proof of mechanism. In 2018, we intend to initiate two additional Phase 1b studies for SYNB1020 in patients with elevated blood ammonia. Our second program, SYNB1618, is an oral therapy intended for the treatment of phenylketonuria (“PKU”), an IEM in which the amino acid phenylalanine (“Phe”) accumulates in the body as a result of genetic defects. Elevated levels of Phe are toxic to the brain and can lead to neurological dysfunction. SYNB1618 is designed to have activity in the gut of patients to reduce excess circulating Phe, resulting in normalization of levels in the blood and tissues. In October 2017, the FDA granted SYNB1618 orphan drug designation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for PKU. We are planning to file an investigational new drug (“IND”) application and initiate a Phase 1 clinical trial for SYNB1618 in the first half of 2018. Our early-stage metabolic pipeline includes discovery-stage product candidates for additional IEMs, including maple syrup urine disease (“MSUD”), isovaleric acidemia (“IVA”) and organic acidemias. These are rare metabolic deficiencies in which the toxic accumulation of metabolites such as branched chain amino acids in the case of MSUD can lead to neurological decline and death. There are no currently approved pharmaceutical therapies for these disorders, ultimately resulting in patients relying on liver transplants when possible. We believe that developing therapies for this group of rare diseases will demonstrate the potential of our oral Synthetic Biotic medicines to address metabolic dysfunction, while bringing meaningful change to lives of patients suffering from these debilitating conditions. We are also leveraging our proprietary technology platform to develop Synthetic Biotic medicines to treat a broader range of human diseases, including acquired metabolic diseases, inflammation and cancer. We also have a collaboration with AbbVie S.à.r.l. (“AbbVie”) to develop Synthetic Biotic Medicines for the treatment of inflammatory bowel disease (“IBD”).</w:t>
      </w:r>
    </w:p>
    <w:p>
      <w:pPr>
        <w:spacing w:after="0" w:line="16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were incorporated in Delaware as TMC Therapeutics, Inc. on March 14, 2014. On July 15, 2014, TMC Therapeutics, Inc. changed its name to Synlogic, Inc. (“Private Synlogic” when referred to prior to the Merger (as defined below)). On July 2, 2015, the common and preferred shareholders of Private Synlogic executed the Synlogic, LLC Contribution Agreement (the “Contribution Agreement”), pursuant to which such common and preferred shareholders contributed such shareholders’ equity interests in Private Synlogic in exchange for common and preferred units in a newly formed parent company named Synlogic, LLC (the “2015 Reorganization”). In addition, IBDCo was formed as a subsidiary of Synlogic, LLC, as part of the 2015 Reorganization, and we entered into a license, option and merger agreement with AbbVie for the development of treatments for IBD. In May 2017, we completed a series of transactions pursuant to which Synlogic, LLC merged with and into Private Synlogic with Private Synlogic continuing as the surviving corporation.</w:t>
      </w:r>
    </w:p>
    <w:p>
      <w:pPr>
        <w:spacing w:after="0" w:line="192"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On August 28, 2017, Synlogic, Inc., formerly known as Mirna Therapeutics, Inc. (NASDAQ: MIRN) (“Mirna”), completed its business combination with Synlogic, Inc.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1:7 reverse stock split of its common stock (the “Reverse Stock Split”), and on August 28, 2017, immediately after completion of the Merger, Mirna changed its name to “Synlogic, Inc.” (NASDAQ: SYBX).</w:t>
      </w:r>
    </w:p>
    <w:p>
      <w:pPr>
        <w:spacing w:after="0" w:line="178"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Under the terms of the Merger Agreement, Mirna issued shares of its common stock to Private Synlogic’s stockholders, at an exchange ratio of 0.5532 shares of Mirna’s common stock, after taking into account the Reverse Stock Split, for each share of Private Synlogic common stock and preferred stock outstanding immediately prior to the Merger(“Merger Exchange Ratio”). The Merger Exchange Ratio was determined through arms’-length negotiations between Mirna and Private Synlogic. Mirna assumed all of the stock options outstanding under the Synlogic 2017 Stock Incentive Plan (“2017 Plan”), with such stock options henceforth representing the right to purchase a number of shares of Mirna’s common stock equal to 0.5532 multiplied by the number of shares of Private Synlogic common stock previously represented by such options. Mirna also assumed the 2017 Plan.</w:t>
      </w:r>
    </w:p>
    <w:p>
      <w:pPr>
        <w:spacing w:after="0" w:line="165"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Immediately after the Merger, there were 16,282,496 shares of our common stock outstanding. At this time, the former stockholders and optionholders of Private Synlogic owned, or held rights to acquire, approximately 82.4% of our fully-diluted common stock, which for these purposes is defined as our outstanding common stock , plus “in the money” options, assuming that all “in the money” options outstanding immediately prior to the Merger were exercised on a cashless basis immediately prior to the closing of the Merger (the “Fully-Diluted Common Stock”), with Mirna’s stockholders and optionholders immediately prior to the Merger owning approximately 17.6% of our Fully-Diluted Common Stock.</w:t>
      </w:r>
    </w:p>
    <w:p>
      <w:pPr>
        <w:spacing w:after="0" w:line="17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We currently operate in one reportable business segment—the discovery and development of Synthetic Biotic medicines. To date, we have dedicated substantially all of our activities to the research and development of our product candidates. We have received approximately $155.5 million in proceeds to date as we financed our operations through multiple rounds of preferred equity funding, receipts from a convertible promissory note, payments received under the AbbVie Agreement and our merger with Mirna. Funding rounds include:</w:t>
      </w:r>
    </w:p>
    <w:p>
      <w:pPr>
        <w:spacing w:after="0" w:line="92" w:lineRule="exact"/>
        <w:rPr>
          <w:sz w:val="20"/>
          <w:szCs w:val="20"/>
          <w:color w:val="auto"/>
        </w:rPr>
      </w:pPr>
    </w:p>
    <w:p>
      <w:pPr>
        <w:ind w:left="1920" w:hanging="318"/>
        <w:spacing w:after="0"/>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$3.0 million, net of expenses, from the sale of Series A-1 convertible preferred stock in July 2014;</w:t>
      </w:r>
    </w:p>
    <w:p>
      <w:pPr>
        <w:spacing w:after="0" w:line="130" w:lineRule="exact"/>
        <w:rPr>
          <w:rFonts w:ascii="Arial" w:cs="Arial" w:eastAsia="Arial" w:hAnsi="Arial"/>
          <w:sz w:val="18"/>
          <w:szCs w:val="18"/>
          <w:color w:val="auto"/>
        </w:rPr>
      </w:pPr>
    </w:p>
    <w:p>
      <w:pPr>
        <w:ind w:left="1920" w:right="220" w:hanging="318"/>
        <w:spacing w:after="0" w:line="277" w:lineRule="auto"/>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$1.0 million, net of expenses, from the sale of contingently redeemable Series A-1 preferred stock in September 2014;</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$6.9 million, net of expenses, from the sale of Series A-2 convertible preferred stock in May 2015;</w:t>
      </w:r>
    </w:p>
    <w:p>
      <w:pPr>
        <w:spacing w:after="0" w:line="130" w:lineRule="exact"/>
        <w:rPr>
          <w:rFonts w:ascii="Arial" w:cs="Arial" w:eastAsia="Arial" w:hAnsi="Arial"/>
          <w:sz w:val="18"/>
          <w:szCs w:val="18"/>
          <w:color w:val="auto"/>
        </w:rPr>
      </w:pPr>
    </w:p>
    <w:p>
      <w:pPr>
        <w:ind w:left="1920" w:right="300" w:hanging="318"/>
        <w:spacing w:after="0" w:line="277"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$1.4 million, net of expenses, from the sale of contingently redeemable Series A-2 convertible preferred stock in May 2015;</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$0.7 million, net of expenses, from the sale of Class A-2 preferred units in November 2015;</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$14.5 million, net of expenses, from the sale of Class A-3 preferred units in February 2016;</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approximately $2.6 million, net of expenses, from the sale of contingently redeemable Class A-3 preferred units in February 2016;</w:t>
      </w:r>
    </w:p>
    <w:p>
      <w:pPr>
        <w:spacing w:after="0" w:line="153" w:lineRule="exact"/>
        <w:rPr>
          <w:rFonts w:ascii="Arial" w:cs="Arial" w:eastAsia="Arial" w:hAnsi="Arial"/>
          <w:sz w:val="16"/>
          <w:szCs w:val="16"/>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$13.6 million, net of expenses, from the sale of Class B preferred units in February 2016;</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$26.6 million, net of expenses, from the sale of Class B preferred units in March 2017;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$40.4 million, net of expenses, from the sale of Series C convertible preferred stock in May 2017.</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April 2014, we entered into an agreement with one of our investors for an approximately $0.4 million convertible promissory note, which was converted into Series A-1 preferred stock in July 2014. In December 2015, we received $2.0 million from AbbVie as part of our collaboration agreement with AbbVie and another $2.0 million when we achieved a development milestone in May 2017. In August 2017, we generated approximately $40.4 million in proceeds, net of transaction costs, from our merger with Mirna.</w:t>
      </w:r>
    </w:p>
    <w:p>
      <w:pPr>
        <w:spacing w:after="0" w:line="187"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We have not generated any revenue to date from product sales and have incurred significant operating losses since our inception in 2014. We have incurred net losses of approximately $11.9 million and $28.7 million for the three and nine months ended September 30, 2017, respectively, and approximately $5.3 million and $14.1 million for the three and nine months ended September 30, 2016, respectively. As of September 30, 2017, we had an accumulated deficit of approximately $60.0 million and we expect to incur losses for the foreseeable future as we develop our product candidates. We expect our expenses and capital requirements will increase substantially in connection with our ongoing activities, as we:</w:t>
      </w:r>
    </w:p>
    <w:p>
      <w:pPr>
        <w:spacing w:after="0" w:line="78"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 to manufacture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expand our existing infrastructure and secure space in a facility to support continued growth in our research and development efforts;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capital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13, 2017 we entered into a sales agreement with Cowen and Company, LLC (“Cowen”) with respect to an at-the-market (“ATM”) offering program under which we may offer and sell, from time to time at its sole discretion, shares of our common stock, par value $0.001 per share, through Cowen as our sales agent. In an ATM offering, exchange-listed companies incrementally sell newly issued shares into the secondary trading market through a designated broker-dealer at prevailing market prices.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Revenue to date is generated from our collaboration agreement with AbbVie. The collaboration agreement contains multiple deliverables, which include an exclusive option for AbbVie to acquire IBDCo and research and development milestones. Payments include an upfront payment of $2.0 million, which we received in December 2015, and a development milestone payment of $2.0 million, which we achieved in May 2017, and may include up to $14.5 million in additional development milestone payments, as well as royalties on product sales, payments upon the achievement of certain regulatory, clinical and commercial milestones, and the execution of AbbVie’s option to acquire IBDCo. We expect our revenue to fluctuate for the foreseeable future as it is principally based on the achievement of research and development milestones under our collaboration agreement with AbbVie.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8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preclinical studies and regulatory operations.</w:t>
      </w:r>
    </w:p>
    <w:p>
      <w:pPr>
        <w:spacing w:after="0" w:line="225"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54"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Quarterly Report on Form 10-Q.</w:t>
      </w:r>
    </w:p>
    <w:p>
      <w:pPr>
        <w:spacing w:after="0" w:line="124"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SYNB1020 and SYNB1618 programs to increase as the programs progress through and into clinical trials.</w:t>
      </w:r>
    </w:p>
    <w:p>
      <w:pPr>
        <w:spacing w:after="0" w:line="158"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and development and, as such, are separately classified. The table below summarizes our research and development expenses by categories of costs for the periods presented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For the three months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For the nine months</w:t>
            </w:r>
          </w:p>
        </w:tc>
      </w:tr>
      <w:tr>
        <w:trPr>
          <w:trHeight w:val="171"/>
        </w:trPr>
        <w:tc>
          <w:tcPr>
            <w:tcW w:w="7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ended</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left="339"/>
              <w:spacing w:after="0"/>
              <w:rPr>
                <w:sz w:val="20"/>
                <w:szCs w:val="20"/>
                <w:color w:val="auto"/>
              </w:rPr>
            </w:pPr>
            <w:r>
              <w:rPr>
                <w:rFonts w:ascii="Arial" w:cs="Arial" w:eastAsia="Arial" w:hAnsi="Arial"/>
                <w:sz w:val="14"/>
                <w:szCs w:val="14"/>
                <w:b w:val="1"/>
                <w:bCs w:val="1"/>
                <w:color w:val="auto"/>
                <w:w w:val="87"/>
              </w:rPr>
              <w:t>ended</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7160" w:type="dxa"/>
            <w:vAlign w:val="bottom"/>
          </w:tcPr>
          <w:p>
            <w:pPr>
              <w:spacing w:after="0"/>
              <w:rPr>
                <w:sz w:val="10"/>
                <w:szCs w:val="10"/>
                <w:color w:val="auto"/>
              </w:rPr>
            </w:pPr>
          </w:p>
        </w:tc>
        <w:tc>
          <w:tcPr>
            <w:tcW w:w="15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4"/>
          </w:tcPr>
          <w:p>
            <w:pPr>
              <w:jc w:val="center"/>
              <w:ind w:right="1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r>
      <w:tr>
        <w:trPr>
          <w:trHeight w:val="171"/>
        </w:trPr>
        <w:tc>
          <w:tcPr>
            <w:tcW w:w="716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SYNB1020</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$ 1,958</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SYNB1618</w:t>
            </w:r>
          </w:p>
        </w:tc>
        <w:tc>
          <w:tcPr>
            <w:tcW w:w="560" w:type="dxa"/>
            <w:vAlign w:val="bottom"/>
          </w:tcPr>
          <w:p>
            <w:pPr>
              <w:jc w:val="right"/>
              <w:spacing w:after="0"/>
              <w:rPr>
                <w:sz w:val="20"/>
                <w:szCs w:val="20"/>
                <w:color w:val="auto"/>
              </w:rPr>
            </w:pPr>
            <w:r>
              <w:rPr>
                <w:rFonts w:ascii="Arial" w:cs="Arial" w:eastAsia="Arial" w:hAnsi="Arial"/>
                <w:sz w:val="18"/>
                <w:szCs w:val="18"/>
                <w:color w:val="auto"/>
              </w:rPr>
              <w:t>2,119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3,814</w:t>
            </w:r>
          </w:p>
        </w:tc>
        <w:tc>
          <w:tcPr>
            <w:tcW w:w="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External pre-development candidate expenses and unallocated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5,835</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3,882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3,396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4,794</w:t>
            </w:r>
          </w:p>
        </w:tc>
      </w:tr>
      <w:tr>
        <w:trPr>
          <w:trHeight w:val="27"/>
        </w:trPr>
        <w:tc>
          <w:tcPr>
            <w:tcW w:w="7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$ 8,955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22,605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9,883</w:t>
            </w:r>
          </w:p>
        </w:tc>
      </w:tr>
      <w:tr>
        <w:trPr>
          <w:trHeight w:val="20"/>
        </w:trPr>
        <w:tc>
          <w:tcPr>
            <w:tcW w:w="7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operating as a public company. These increases include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Interest and investment income consists primarily of interest income earned on investments. Interest expense consists of expense related to our capital leases. Other expense consists primarily of losses on foreign currency translation.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prepared in accordance with generally accepted accounting principles in the U.S.(“GAAP”). The preparation of these financial statements requires us to make certain estimates and assumptions that affect the reported amounts of assets and liabilities, the reported amounts of revenues and expenses during the reported periods and related disclosures. These estimates and assumptions, including those related to revenue recognition, research and development expenses and equity-based compensation are monitored and analyzed by us for changes in facts and circumstances, and material changes in these estimates could occur in the future. These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our estimates under different assumptions or conditions.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discussion summarizes the key factors our management believes are necessary for an understanding of its consolidated financial results.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11"/>
          </w:tcPr>
          <w:p>
            <w:pPr>
              <w:jc w:val="right"/>
              <w:ind w:right="460"/>
              <w:spacing w:after="0"/>
              <w:rPr>
                <w:sz w:val="20"/>
                <w:szCs w:val="20"/>
                <w:color w:val="auto"/>
              </w:rPr>
            </w:pPr>
            <w:r>
              <w:rPr>
                <w:rFonts w:ascii="Arial" w:cs="Arial" w:eastAsia="Arial" w:hAnsi="Arial"/>
                <w:sz w:val="14"/>
                <w:szCs w:val="14"/>
                <w:b w:val="1"/>
                <w:bCs w:val="1"/>
                <w:color w:val="auto"/>
                <w:w w:val="97"/>
              </w:rPr>
              <w:t>For the three months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11"/>
          </w:tcPr>
          <w:p>
            <w:pPr>
              <w:jc w:val="center"/>
              <w:ind w:right="280"/>
              <w:spacing w:after="0"/>
              <w:rPr>
                <w:sz w:val="20"/>
                <w:szCs w:val="20"/>
                <w:color w:val="auto"/>
              </w:rPr>
            </w:pPr>
            <w:r>
              <w:rPr>
                <w:rFonts w:ascii="Arial" w:cs="Arial" w:eastAsia="Arial" w:hAnsi="Arial"/>
                <w:sz w:val="14"/>
                <w:szCs w:val="14"/>
                <w:b w:val="1"/>
                <w:bCs w:val="1"/>
                <w:color w:val="auto"/>
                <w:w w:val="92"/>
              </w:rPr>
              <w:t>For the nine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12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5"/>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6"/>
          </w:tcPr>
          <w:p>
            <w:pPr>
              <w:ind w:lef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7"/>
          </w:tcPr>
          <w:p>
            <w:pPr>
              <w:jc w:val="center"/>
              <w:ind w:left="457"/>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4,133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9,883</w:t>
            </w: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1,286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4,555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2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5,419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14,438</w:t>
            </w: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ind w:left="46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(12,075)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(5,308)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(28,906)</w:t>
            </w:r>
          </w:p>
        </w:tc>
        <w:tc>
          <w:tcPr>
            <w:tcW w:w="1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(14,105)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Interest and investment income</w:t>
            </w:r>
          </w:p>
        </w:tc>
        <w:tc>
          <w:tcPr>
            <w:tcW w:w="200" w:type="dxa"/>
            <w:vAlign w:val="bottom"/>
          </w:tcPr>
          <w:p>
            <w:pPr>
              <w:spacing w:after="0"/>
              <w:rPr>
                <w:sz w:val="18"/>
                <w:szCs w:val="18"/>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rPr>
              <w:t>170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(11,924)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(5,306)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(28,680)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(14,106)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400" w:type="dxa"/>
            <w:vAlign w:val="bottom"/>
            <w:gridSpan w:val="19"/>
          </w:tcPr>
          <w:p>
            <w:pPr>
              <w:spacing w:after="0"/>
              <w:rPr>
                <w:sz w:val="20"/>
                <w:szCs w:val="20"/>
                <w:color w:val="auto"/>
              </w:rPr>
            </w:pPr>
            <w:r>
              <w:rPr>
                <w:rFonts w:ascii="Arial" w:cs="Arial" w:eastAsia="Arial" w:hAnsi="Arial"/>
                <w:sz w:val="18"/>
                <w:szCs w:val="18"/>
                <w:b w:val="1"/>
                <w:bCs w:val="1"/>
                <w:color w:val="auto"/>
                <w:w w:val="95"/>
              </w:rPr>
              <w:t>Three and Nine Months Ended September 30, 2017 Compared to Three and Nine Months Ended September 30, 2016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For the three</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For the nine months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months ended</w:t>
            </w:r>
          </w:p>
        </w:tc>
        <w:tc>
          <w:tcPr>
            <w:tcW w:w="160" w:type="dxa"/>
            <w:vAlign w:val="bottom"/>
          </w:tcPr>
          <w:p>
            <w:pPr>
              <w:spacing w:after="0"/>
              <w:rPr>
                <w:sz w:val="14"/>
                <w:szCs w:val="14"/>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left="277"/>
              <w:spacing w:after="0"/>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4"/>
          </w:tcPr>
          <w:p>
            <w:pPr>
              <w:jc w:val="center"/>
              <w:ind w:right="19"/>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gridSpan w:val="4"/>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2017</w:t>
            </w: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2016</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gridSpan w:val="8"/>
          </w:tcPr>
          <w:p>
            <w:pPr>
              <w:ind w:left="14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2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8"/>
          </w:tcPr>
          <w:p>
            <w:pPr>
              <w:jc w:val="right"/>
              <w:ind w:right="294"/>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7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2,333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$2,000</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601%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Revenue was $0.1 million for each of the three months ended September 30, 2017 and the three months ended September 30, 2016. The revenue recognized is associated with the upfront, nonrefundable $2.0 million payment from the AbbVie collaboration, which is being recognized over the expected term of the collaboration.</w:t>
      </w:r>
    </w:p>
    <w:p>
      <w:pPr>
        <w:spacing w:after="0" w:line="181"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Revenue was $2.3 million for the nine months ended September 30, 2017 compared to $0.3 million for the nine months ended September 30, 2016. The increase was due to the $2.0 million development milestone achieved in the AbbVie collaboration in May 2017 and paid in July 2017 and recognized in the second quarter of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w w:val="91"/>
              </w:rPr>
              <w:t>For the three months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For the nine months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130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5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ended</w:t>
            </w:r>
          </w:p>
        </w:tc>
        <w:tc>
          <w:tcPr>
            <w:tcW w:w="8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4"/>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36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ind w:left="2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7"/>
          </w:tcPr>
          <w:p>
            <w:pPr>
              <w:jc w:val="right"/>
              <w:ind w:right="317"/>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980" w:type="dxa"/>
            <w:vAlign w:val="bottom"/>
            <w:gridSpan w:val="2"/>
          </w:tcPr>
          <w:p>
            <w:pPr>
              <w:ind w:left="18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8,955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$ 4,133</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$4,822</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$22,605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9,883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$12,722</w:t>
            </w:r>
          </w:p>
        </w:tc>
        <w:tc>
          <w:tcPr>
            <w:tcW w:w="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4,079</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$ 5,419</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6,767</w:t>
            </w: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125%</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31,239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14,438</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16,801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Research and development expense was $9.0 million for the three months ended September 30, 2017 compared to $4.1 million in the corresponding period in 2016. The increase in research and development expense of $4.8 million was primarily due to an increase in external costs of $3.3 million associated with our Phase 1 clinical trial, preclinical studies, formulation development, and consulting fees. Increases of $1.0 million were associated with compensation, benefits and other employee-related expenses associated with increased headcount. An increase of $0.3 million was associated with research and development support costs, including increased rent and depreciation from our 200 Sidney Street facility, which we occupied in February 2016.</w:t>
      </w:r>
    </w:p>
    <w:p>
      <w:pPr>
        <w:spacing w:after="0" w:line="193"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Research and development expense was $22.6 million for the nine months ended September 30, 2017 compared to $9.9 million in the corresponding period in 2016. The increase in research and development expense of $12.7 million was primarily the result of an increase in external costs of approximately $6.9 million associated with our Phase 1 clinical trial, preclinical studies, formulation development and consulting fees. The non-cash expense for the issuance of shares of common stock associated with the execution of the license agreement in April 2017 with the Massachusetts Institute of Technology and Boston University resulted in $1.8 million of the increase. Other increases in research and development expense include $3.1 million associated with compensation, benefits and other employee-related expenses associated with increased headcount, $0.6 million associated with research and development support costs, including increased rent and depreciation from our 200 Sidney Street facility, which we occupied in February 2016, and approximately $0.2 million in temporary support as we supplemented our workforce.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General and administrative expense for the three months ended September 30, 2017 was $3.2 million compared to $1.3 million for the corresponding period in 2016. The increase of $1.9 million was due to an increase of $1.0 million in professional fees related to our public reporting activities, which include legal, audit, investor relations, and filing fees as well as an increase of approximately $0.7 million of compensation, benefits and other employee-related expenses associated with increased headcount and equity compensation expense.</w:t>
      </w:r>
    </w:p>
    <w:p>
      <w:pPr>
        <w:spacing w:after="0" w:line="187" w:lineRule="exact"/>
        <w:rPr>
          <w:sz w:val="20"/>
          <w:szCs w:val="20"/>
          <w:color w:val="auto"/>
        </w:rPr>
      </w:pPr>
    </w:p>
    <w:p>
      <w:pPr>
        <w:ind w:right="300" w:firstLine="913"/>
        <w:spacing w:after="0" w:line="257" w:lineRule="auto"/>
        <w:rPr>
          <w:sz w:val="20"/>
          <w:szCs w:val="20"/>
          <w:color w:val="auto"/>
        </w:rPr>
      </w:pPr>
      <w:r>
        <w:rPr>
          <w:rFonts w:ascii="Arial" w:cs="Arial" w:eastAsia="Arial" w:hAnsi="Arial"/>
          <w:sz w:val="18"/>
          <w:szCs w:val="18"/>
          <w:color w:val="auto"/>
        </w:rPr>
        <w:t>General and administrative expense for the nine months ended September 30, 2017 was $8.6 million compared to $4.6 million for the nine months ended September 30, 2016. The increase of $4.1 million was due to an increase of approximately $2.7 million in professional fees related to our public reporting activities, which include legal, audit, investor relations, and filing fees, as well as increased legal fees for patent filings and our May 2017 reorganization into a C-corp. In addition, an increase of $1.0 million was associated with compensation, benefits and other employee-related expenses associated with increased headcount and equity compensation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For the three months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For the nine months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542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345"/>
              <w:spacing w:after="0"/>
              <w:rPr>
                <w:sz w:val="20"/>
                <w:szCs w:val="20"/>
                <w:color w:val="auto"/>
              </w:rPr>
            </w:pPr>
            <w:r>
              <w:rPr>
                <w:rFonts w:ascii="Arial" w:cs="Arial" w:eastAsia="Arial" w:hAnsi="Arial"/>
                <w:sz w:val="14"/>
                <w:szCs w:val="14"/>
                <w:b w:val="1"/>
                <w:bCs w:val="1"/>
                <w:color w:val="auto"/>
                <w:w w:val="92"/>
              </w:rPr>
              <w:t>ended</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Borders>
              <w:bottom w:val="single" w:sz="8" w:color="auto"/>
            </w:tcBorders>
            <w:gridSpan w:val="3"/>
          </w:tcPr>
          <w:p>
            <w:pPr>
              <w:jc w:val="center"/>
              <w:ind w:left="325"/>
              <w:spacing w:after="0"/>
              <w:rPr>
                <w:sz w:val="20"/>
                <w:szCs w:val="20"/>
                <w:color w:val="auto"/>
              </w:rPr>
            </w:pPr>
            <w:r>
              <w:rPr>
                <w:rFonts w:ascii="Arial" w:cs="Arial" w:eastAsia="Arial" w:hAnsi="Arial"/>
                <w:sz w:val="14"/>
                <w:szCs w:val="14"/>
                <w:b w:val="1"/>
                <w:bCs w:val="1"/>
                <w:color w:val="auto"/>
                <w:w w:val="92"/>
              </w:rPr>
              <w:t>ended</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13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gridSpan w:val="3"/>
          </w:tcPr>
          <w:p>
            <w:pPr>
              <w:jc w:val="right"/>
              <w:ind w:right="199"/>
              <w:spacing w:after="0" w:line="142" w:lineRule="exact"/>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2"/>
                <w:szCs w:val="12"/>
                <w:color w:val="auto"/>
              </w:rPr>
            </w:pPr>
          </w:p>
        </w:tc>
        <w:tc>
          <w:tcPr>
            <w:tcW w:w="130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279"/>
              <w:spacing w:after="0" w:line="142"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540" w:type="dxa"/>
            <w:vAlign w:val="bottom"/>
            <w:tcBorders>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520" w:type="dxa"/>
            <w:vAlign w:val="bottom"/>
            <w:tcBorders>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1960" w:type="dxa"/>
            <w:vAlign w:val="bottom"/>
            <w:tcBorders>
              <w:bottom w:val="single" w:sz="8" w:color="auto"/>
            </w:tcBorders>
            <w:gridSpan w:val="7"/>
          </w:tcPr>
          <w:p>
            <w:pPr>
              <w:ind w:lef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960" w:type="dxa"/>
            <w:vAlign w:val="bottom"/>
            <w:tcBorders>
              <w:bottom w:val="single" w:sz="8" w:color="auto"/>
            </w:tcBorders>
            <w:gridSpan w:val="7"/>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151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7450%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  226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-22700%</w:t>
            </w: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Other income (expense) for the three months ended September 30, 2017 was $0.2 million compared to $2,000 for the corresponding period in 2016. The increase in other income (expense) of $0.1 million was related to an increase in interest and investment income resulting from an interest-bearing account set up in September 2016 and an investment account acquired during the Merger with Mirna. These increases were partially offset by an increase in interest expense associated with the new capital lease which began in August 2017.</w:t>
      </w:r>
    </w:p>
    <w:p>
      <w:pPr>
        <w:spacing w:after="0" w:line="17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Other income (expense) for the nine months ended September 30, 2017 was $0.2 million compared to ($1,000) for the corresponding period in 2016. The increase of $0.2 million was primarily related to an increase in interest and investment income resulting from an interest-bearing account set up in September 2016 and an investment account acquired during the Merger with Mirna. These increases in interest and investment income were partially offset by an increase in interest expense associated with the new capital leases which began in December 2016 and August 2017.</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We have incurred losses since our inception on March 14, 2014 and, as of September 30, 2017, we had an accumulated deficit of approximately $60.0 million. We have financed our operations to date primarily through the sale of preferred stock, common stock, preferred units, payments received under our AbbVie collaboration agreement, interest earned on investments, and the merger with Mirna. At September 30, 2017, we had approximately $96.6 million in cash, cash equivalents, and marketable securities. Our cash and cash equivalents include amounts held in money market funds, stated at cost plus accrued interest, which approximates fair market value. Our available-for-sale securities include amounts held in U.S. government-sponsored securities and U.S. Treasury securities. We invest cash in excess of immediate requirements in accordance with our investment policy which limits the amounts we may invest in any one type of investment and required all investments held by us to maintain minimum ratings from Nationally Recognized Statistical Rating Organizations so as to primarily achieve liquidity and capital preservation.</w:t>
      </w:r>
    </w:p>
    <w:p>
      <w:pPr>
        <w:spacing w:after="0" w:line="179"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During the nine months ended September 30, 2017, our cash balance increased approximately $64.6 million. The increase was primarily due to the proceeds of approximately $26.6 million from the sale of Series B preferred units, approximately $40.4 million from the sale of Series C preferred stock, and approximately $40.4 million, net of transaction costs, received in the Merger. The increase was partially offset by the cash used to operate our business, including payments related to, among other things, research and development and general and administrative expenses as we continued to invest in our primary drug candidates and support the development of our proprietary platform. We also made capital purchases and made payments on our capital leases.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major sources and uses of cash for each of the periods below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(22,034)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(13,834)</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(1,738)</w:t>
            </w:r>
          </w:p>
        </w:tc>
      </w:tr>
      <w:tr>
        <w:trPr>
          <w:trHeight w:val="223"/>
        </w:trPr>
        <w:tc>
          <w:tcPr>
            <w:tcW w:w="20" w:type="dxa"/>
            <w:vAlign w:val="bottom"/>
          </w:tcPr>
          <w:p>
            <w:pPr>
              <w:spacing w:after="0"/>
              <w:rPr>
                <w:sz w:val="19"/>
                <w:szCs w:val="19"/>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64,589</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Net cash used in operating activities was $22.0 million for the nine months ended September 30, 2017. The primary use of cash was our net loss of $28.7 million. This use of cash was partially offset by $4.6 million of non-cash items including depreciation, equity compensation and the issuance of stock for a license agreement, and an increase of $2.1 million in working capital primarily from increases in accrued expenses.</w:t>
      </w:r>
    </w:p>
    <w:p>
      <w:pPr>
        <w:spacing w:after="0" w:line="166"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Net cash used in operating activities was $13.8 million for the nine months ended September 30, 2016. The primary uses of cash were our net loss of $14.1 million and a decrease of $0.4 million in working capital primarily from increases in prepaid research and development expenses, increases in accrued expenses and decreases in deferred revenue. These uses of cash were partially offset by non-cash items of $0.7 million primarily related to equity compensation.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Cash provided by investing activities for the nine months ended September 30, 2017 was $19.7 million and resulted primarily from the</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$40.7 million in net proceeds received in the Merger, of which $0.3 million remained in accounts payable as of September 30, 2017 and the proceeds from the maturity of marketable securities of $5.5 million. These proceeds were partially offset by uses of cash including the purchases of securities of $22.9 million, purchases of property and equipment of $2.5 million, including deposits related to the construction of leasehold improvements associated with the new lease, and $1.0 million in a letter of credit also established to support the new lease.</w:t>
      </w:r>
    </w:p>
    <w:p>
      <w:pPr>
        <w:spacing w:after="0" w:line="19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2016 was $1.7 million and resulted primarily from the purchases of property and equipment.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Cash provided by financing activities for the nine months ended September 30, 2017 totaled $66.9 million and resulted from the net proceeds of the sale of Class B preferred units in March 2017 of $26.6 million and $40.4 million in net proceeds from the sale of Series C preferred stock in May 2017. These sources of cash were partially offset by payments on our capital leases.</w:t>
      </w:r>
    </w:p>
    <w:p>
      <w:pPr>
        <w:spacing w:after="0" w:line="18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Cash provided by financing activities for the nine months ended September 30, 2016 totaled $30.9 million and resulted from the net proceeds of the sale of Class A preferred units, contingently redeemable Class A preferred units and Class B preferred units in February 2016 of $14.5 million, $2.6 million and $13.7 million, respectively. These sources of cash were partially offset by payments on our capital leases.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have generated revenue from an up-front license fee, but have not generated any product revenue since our inception and do not expect to generate any product revenue unless we receive regulatory approval for our product candidates. We believe that our cash on hand as of September 30, 2017, as well as additional milestone payments from our current and future collaborators, will be sufficient to meet our anticipated cash requirements for at least the next 12 months.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78"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71"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 and</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regulatory approval process,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The disclosure of our contractual obligations and commitments as of December 31, 2016 is set forth under the heading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 – Contractual Commitments and Obligations</w:t>
      </w:r>
      <w:r>
        <w:rPr>
          <w:rFonts w:ascii="Arial" w:cs="Arial" w:eastAsia="Arial" w:hAnsi="Arial"/>
          <w:sz w:val="18"/>
          <w:szCs w:val="18"/>
          <w:color w:val="auto"/>
        </w:rPr>
        <w:t>” in 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statement/prospectus/information statement on Form S-4 filed with the SEC on June 21, 2017, and amended on July 11, 2017 and declared effective by the SEC on July 13, 2017.</w:t>
      </w:r>
    </w:p>
    <w:p>
      <w:pPr>
        <w:spacing w:after="0" w:line="187"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color w:val="auto"/>
        </w:rPr>
        <w:t>In July 2017, we entered into an agreement to lease approximately 41,346 square feet of laboratory and office space in Cambridge, Massachusetts. Annual rent is approximately $3.1 million. The ten-year lease is estimated to commence in January 2018 and contains provisions for a free-rent period, annual rent increases and an allowance for tenant improvements. Additionally, we have committed to a tenant improvement investment of approximately $1.6 million. In conjunction with the lease, we established a letter of credit of approximately $1.0 million.</w:t>
      </w:r>
    </w:p>
    <w:p>
      <w:pPr>
        <w:spacing w:after="0" w:line="171"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In July 2017, we entered into an agreement to terminate our existing lease of laboratory and office space in Cambridge, Massachusetts at a date that is 30 days after the commencement of our new lease. No penalties are associated with the termination of the lease.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contracted services from one of our principal investors for our former chief medical officer who was employed by the principal investor, as well as employed to support separate portfolio companies of the investor. We made no payments during the three and nine months ended September 30, 2017 and paid approximately $39,000 and $0.1 million related to reimbursement for a portion of the salary of the former chief medical officer for the three and nine months ended September 30, 2016, respectively.</w:t>
      </w:r>
    </w:p>
    <w:p>
      <w:pPr>
        <w:spacing w:after="0" w:line="18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We contracted the services of The Orphan Group, which specializes in supporting biotechnology companies in developing therapeutics toward diseases of high unmet medical needs in rare disorders. The Orphan Group is owned by our former chief operating officer. We made no payments to the Orphan Group during the three and nine months ended September 30, 2017 and paid $0 and approximately $13,000 for contracted services during the three and nine months ended September 30, 2016, respectively.</w:t>
      </w:r>
    </w:p>
    <w:p>
      <w:pPr>
        <w:spacing w:after="0" w:line="187"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color w:val="auto"/>
        </w:rPr>
        <w:t>During the nine months ended September 30, 2017, we received repayment of the loan to our chief executive officer of approximately $0.2 million. The loan was repaid in June 2017, including interest which accrued at a rate of 0.6%.</w:t>
      </w:r>
    </w:p>
    <w:p>
      <w:pPr>
        <w:spacing w:after="0" w:line="17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For additional transactions with related parties which may fall outside of the reporting period of this section, please see the section entitled “</w:t>
      </w:r>
      <w:r>
        <w:rPr>
          <w:rFonts w:ascii="Arial" w:cs="Arial" w:eastAsia="Arial" w:hAnsi="Arial"/>
          <w:sz w:val="18"/>
          <w:szCs w:val="18"/>
          <w:i w:val="1"/>
          <w:iCs w:val="1"/>
          <w:color w:val="auto"/>
        </w:rPr>
        <w:t>Related Party Transactions of Directors and Executive Officers of the Combined Organization – Synlogic Transactions”</w:t>
      </w:r>
      <w:r>
        <w:rPr>
          <w:rFonts w:ascii="Arial" w:cs="Arial" w:eastAsia="Arial" w:hAnsi="Arial"/>
          <w:sz w:val="18"/>
          <w:szCs w:val="18"/>
          <w:color w:val="auto"/>
        </w:rPr>
        <w:t xml:space="preserve"> in our proxy statement/prospectus/information statement on Form S-4 filed with the SEC on June 21, 2017, and amended on July 11, 2017 and declared effective by the SEC on July 13,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 (a)</w:t>
      </w:r>
    </w:p>
    <w:p>
      <w:pPr>
        <w:ind w:right="60"/>
        <w:spacing w:after="0" w:line="255" w:lineRule="auto"/>
        <w:rPr>
          <w:sz w:val="20"/>
          <w:szCs w:val="20"/>
          <w:color w:val="auto"/>
        </w:rPr>
      </w:pPr>
      <w:r>
        <w:rPr>
          <w:rFonts w:ascii="Arial" w:cs="Arial" w:eastAsia="Arial" w:hAnsi="Arial"/>
          <w:sz w:val="18"/>
          <w:szCs w:val="18"/>
          <w:color w:val="auto"/>
        </w:rPr>
        <w:t>(4)(ii)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or other standard setting bodies that we adopt by the specified effective date. Unless otherwise discussed, we believe that the impact of recently issued standards that are not yet effective will not have a material impact on our consolidated financial position or results of operations upon adoption.</w:t>
      </w:r>
    </w:p>
    <w:p>
      <w:pPr>
        <w:spacing w:after="0" w:line="181"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The recently issued accounting pronouncements described in our consolidated financial statements as of and for the year ended December 31, 2016, and the notes thereto in our Current Report on Form 8-K/A filed with the SEC on September 26, 2017 have had no material changes during the three and nine months ended September 30, 2017, except as described below.</w:t>
      </w:r>
    </w:p>
    <w:p>
      <w:pPr>
        <w:spacing w:after="0" w:line="18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May 2014, the FASB issued ASU 2014-09—Revenue from Contracts with Customers (Topic 606), which supersedes all existing revenue recognition requirements, including most industry-specific guidance. This standard is based on the principle that an entity should recognize revenue when it transfers goods or services to customers in an amount that reflects the consideration that the company expects to receive. This standard also requires additional disclosure about the nature, amount, timing and uncertainty of assets recognized from costs incurred to fulfill a contract. It will be effective for annual reporting periods beginning after December 15, 2017, including interim periods within those annual periods. Early adoption is permitted any time after the original effective date, which for us is January 1, 2017. Entities have the option of using either a full retrospective or a modified retrospective approach for the adoption of the new standard. We are continuing to assess the impact that this standard will have on our financial statements and the expected method of transition. Our revenue during the nine months ended September 30, 2017 is from our collaboration arrangement. During the fourth quarter of 2017, we plan to complete our review to determine the impact that this standard could have on our consolidated financial statements and disclosures.</w:t>
      </w:r>
    </w:p>
    <w:p>
      <w:pPr>
        <w:spacing w:after="0" w:line="16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In March 2016, the FASB issued ASU 2016-09—Compensation—Stock Compensation (Topic 718): Improvements to Employee Share-Based Payment Accounting (“ASU 2016-09”). The amendments in ASU 2016-09 are to simplify several aspects of the accounting for stock-based payment transactions including the income tax consequences, classification of awards as either equity or liabilities, and classification on the statement of cash flows. In addition, companies will now have to elect whether to account for forfeitures on share-based payments by (1) recognizing forfeitures of awards as they occur or (2) estimating the number of awards expected to be forfeited and adjusting the estimate when it is likely to change, as is currently required. We adopted ASU 2016-09 on April 1, 2017 on a modified retrospective basis, and elected to recognize forfeitures as they occur. We recorded an insignificant cumulative effect adjustment as a result of the adoption of this amendment. The adoption did not have a material impact on our condensed consolidated financial statements and related disclosures.</w:t>
      </w:r>
    </w:p>
    <w:p>
      <w:pPr>
        <w:spacing w:after="0" w:line="192"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We adopted ASU 2017-01 on April 1, 2017 and followed the guidance when determining the accounting treatment of our merger with Mirna.</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primary objective of our investment activities is to preserve capital for the purpose of funding operations, while at the same time maximizing the income we receive from investments without materially increasing risk. To achieve these objectives, our investment policy allows us to maintain a portfolio of cash, cash equivalents and short-term investments in a variety of securities, including commercial paper and money market funds. Our cash is deposited in and invested through highly rated financial institutions in North America.</w:t>
      </w:r>
    </w:p>
    <w:p>
      <w:pPr>
        <w:spacing w:after="0" w:line="18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Cash and cash equivalents at September 30, 2017 consisted of cash and money market funds. Our short-term investments consisted of U.S. government-sponsored securities and U.S. Treasury securities. Our primary exposure to market risk is interest income sensitivity, which is affected by changes in the general level of interest rates, particularly because our investments are in short-term marketable securities. Due to the short-term duration of our investment portfolio and the low risk profile of our instruments we do not believe that an increase or decrease in market rates would have a material impact on us. We do not currently hedge interest rate exposure.</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do not believe that our cash, cash equivalents, available-for-sale investments and restricted cash have significant risk of default or illiquidity at this time, as they are invested in securities issued by the U.S. government. While we believe our cash, cash equivalents, available-for-sale investments and restricted cash do not contain excessive risk, we cannot provide absolute assurance that in the future our investments will not be subject to adverse changes in market value. We maintain significant amounts of cash and restricted cash at one or more financial institutions that are in excess of federally insured limits.</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or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the Chief Executive Officer and Chief Financial Officer, as appropriate to allow timely decisions regarding required disclosure. Our management evaluates these controls and procedures on an ongoing basis.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Our Chief Executive Officer and our Chief Financial Officer, after evaluating the effectiveness of our disclosure controls and procedures, believe that as of the end of the period covered by this report, our disclosure controls and procedures were effective in providing the requisite reasonable assurance that material information required to be disclosed in the reports that we file or submit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the required disclosure.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28, 2017, we completed a reverse merger with Mirna Therapeutics, Inc. and our management is in the process of evaluating any related changes to our internal control over financial reporting as a result of this integration. Except for any changes relating to this integration,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i w:val="1"/>
          <w:iCs w:val="1"/>
          <w:color w:val="auto"/>
        </w:rPr>
        <w:t>Our future operating results could differ materially from the results described in this report due to the risks and uncertainties related to our business, including those discussed below.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w:t>
      </w:r>
    </w:p>
    <w:p>
      <w:pPr>
        <w:spacing w:after="0" w:line="15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the following discussion of risk factors, references to “Mirna” refer to the business of Mirna Therapeutics, Inc. as it existed prior to the Merger on August 28, 2017 and references to “Private Synlogic” refer to the business of Synlogic, Inc. prior to the Merger on August 28, 2017. References to “we”, “us”, “our” and similar terms refer to the combined business of Synlogic, Inc. after the Merger on August 28,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a clinical-stage biopharmaceutical company focused on the development of Synthetic Biotics and we have incurred significant operating losses since our inception in 2014. Our net loss was approximately $21.0 million and $8.5 million for the fiscal years ended December 31, 2016 and 2015, respectively, and approximately $28.7 million for the nine months ended September 30, 2017. As of September 30, 2017, we had an accumulated deficit of approximately $60.0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have initiated clinical development for only one product candidate, SYNB1020, and expect that it will be many years, if ever, before we have a product candidate ready for commercialization.</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We expect that the capital resources available to us as of September 30, 2017 will be sufficient to meet our anticipated cash requirements for at least the next 12 months.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7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our merger with Mirna.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87"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23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52" w:lineRule="exact"/>
        <w:rPr>
          <w:sz w:val="20"/>
          <w:szCs w:val="20"/>
          <w:color w:val="auto"/>
        </w:rPr>
      </w:pPr>
    </w:p>
    <w:p>
      <w:pPr>
        <w:ind w:left="1480" w:right="320" w:hanging="446"/>
        <w:spacing w:after="0" w:line="27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24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June 2017, we initiated a Phase 1 clinical trial with SYNB1020, however all of our other therapeutic programs are still in the preclinical development stage. We will need to transition from a company with a research focus to a company capable of supporting clinical development and commercial activities. In addition, we expect to complete preclinical studies and to initiate a Phase 1 clinical trial of SYNB1618 in the first half of 2018. We have not yet demonstrated our ability to successfully complete large-scale, pivotal clinical trials, obtain marketing approvals, manufacture a commercial-scale product, or arrange for a third 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52" w:lineRule="exact"/>
        <w:rPr>
          <w:sz w:val="20"/>
          <w:szCs w:val="20"/>
          <w:color w:val="auto"/>
        </w:rPr>
      </w:pPr>
    </w:p>
    <w:p>
      <w:pPr>
        <w:ind w:left="900" w:right="3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generate satisfactory preclinical or other non-clinical trials, including, toxicology, or other in vivo or in vitro data or diagnostics to support the initiation or continuation of clinical trials;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third-party manufacturers or delays or failure in manufacturing sufficient quantities of our product candidates for use in clinical trials.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therapeutics can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In addition, the FDA has advised us that the clinical development of SYNB1020 does not require submission to the National Institutes of Health’s (“NIH”) Recombinant DNA Advisory Committee (“RAC”), a committee that reviews human gene transfer protocols. Nevertheless, if RAC review is deemed necessary by one or more of our clinical trial sites that receives NIH funding, our clinical trials could be delayed. Our product candidates do not involve gene transfers to humans, and we believe that they do not meet any of the criteria for that that type of review.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225"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182"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24"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7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30" w:lineRule="exact"/>
        <w:rPr>
          <w:rFonts w:ascii="Arial" w:cs="Arial" w:eastAsia="Arial" w:hAnsi="Arial"/>
          <w:sz w:val="18"/>
          <w:szCs w:val="18"/>
          <w:color w:val="auto"/>
        </w:rPr>
      </w:pPr>
    </w:p>
    <w:p>
      <w:pPr>
        <w:ind w:left="5620" w:right="4360" w:hanging="5045"/>
        <w:spacing w:after="0" w:line="449" w:lineRule="auto"/>
        <w:tabs>
          <w:tab w:leader="none" w:pos="8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 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may be required to create a risk evaluation and mitigation strategy (“REMS”) plan, which could include a medication guide outlining the risks of such side effects for distribution to patients, a communication plan for healthcare providers, and/or other elements to assure safe use;</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Clinical trials by their nature utilize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93"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We are heavily dependent on the success of our product candidates. Some of our product candidates have produced results in preclinical settings to date, but none of our product candidates have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13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addition, only our lead product candidate has advanced into clinical trials, and none of our product candidates has advanced into any pivotal clinical trial, for our proposed indications and it may be years before any additional clinical trials, including any pivotal clinical trial,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part of our business strategy, we have developed and may in the future develop product candidates that may be eligible for FDA and European Commission orphan drug designation. In August 2016, the FDA granted orphan drug designation to SYNB1020 for the treatment of UCD and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available in the EU with a ten-year period of market exclusivity.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Because the extent and scope of patent protection for some of our product candidates is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our success may depend, in part, on our ability to identify patients who qualify for our clinical trials, or are likely to benefit from any product candidate that it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2,000 patients diagnosed with UCD in the United States, and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78"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commercialized, product recalls, withdrawals of labeling, marketing or promotional restrictions or the need for product modification;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in our product liability insurance rates or the inability to maintain insurance coverage in the future on acceptable terms, if at all;</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could also be eligible for accelerated approval.</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seek Fast Track designation for one or more of our product candidates, but we might not receive such designation, and even if we do, such designation may not actually lead to a faster development or regulatory review or approval process.</w:t>
      </w:r>
    </w:p>
    <w:p>
      <w:pPr>
        <w:spacing w:after="0" w:line="170"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the condition, a product sponsor may apply for FDA Fast Track designation. We were awarded Fast Track designation for SYNB1020 in June 2017.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Biologic License Application (“BLA”) or marketing authorization application.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92"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financial condition or results of operations.</w:t>
      </w:r>
    </w:p>
    <w:p>
      <w:pPr>
        <w:spacing w:after="0" w:line="22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(collectively,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9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January 2017, Congress voted to adopt a budget resolution for fiscal year 2017 that authorizes the implementation of legislation that would repeal portions of the ACA. Although such budget resolution is not a law, it is widely viewed as the first step toward the passage of legislation that would repeal certain aspects of the ACA. Further,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Congress also could consider subsequent legislation to replace elements of the Affordable Care Act that are repealed. With the new Presidential administration and Congress, there will likely be additional administrative or legislative changes, including modification, repeal, or replacement of all, or certain provisions of, the Affordable Care Act. However, it remains to be seen whether new legislation modifying the Affordable Care Act is enacted and, if so, precisely what the new legislation will provide, when it will be enacted and what impact it will have on the availability of healthcare and containing or lowering the cost of healthcare. The implications of a potential repeal and/or replacement of the Affordable Care Act, for our and our partners’ business and financial condition, if any, are not yet clear.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9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94" w:lineRule="exact"/>
        <w:rPr>
          <w:sz w:val="20"/>
          <w:szCs w:val="20"/>
          <w:color w:val="auto"/>
        </w:rPr>
      </w:pPr>
    </w:p>
    <w:p>
      <w:pPr>
        <w:ind w:left="900" w:right="2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86" w:lineRule="exact"/>
        <w:rPr>
          <w:rFonts w:ascii="Arial" w:cs="Arial" w:eastAsia="Arial" w:hAnsi="Arial"/>
          <w:sz w:val="18"/>
          <w:szCs w:val="18"/>
          <w:color w:val="auto"/>
        </w:rPr>
      </w:pPr>
    </w:p>
    <w:p>
      <w:pPr>
        <w:ind w:left="900" w:right="340" w:hanging="325"/>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1"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75" w:lineRule="exact"/>
        <w:rPr>
          <w:rFonts w:ascii="Arial" w:cs="Arial" w:eastAsia="Arial" w:hAnsi="Arial"/>
          <w:sz w:val="18"/>
          <w:szCs w:val="18"/>
          <w:color w:val="auto"/>
        </w:rPr>
      </w:pPr>
    </w:p>
    <w:p>
      <w:pPr>
        <w:ind w:left="900" w:right="100" w:hanging="325"/>
        <w:spacing w:after="0" w:line="279"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76" w:lineRule="exact"/>
        <w:rPr>
          <w:rFonts w:ascii="Arial" w:cs="Arial" w:eastAsia="Arial" w:hAnsi="Arial"/>
          <w:sz w:val="17"/>
          <w:szCs w:val="17"/>
          <w:color w:val="auto"/>
        </w:rPr>
      </w:pPr>
    </w:p>
    <w:p>
      <w:pPr>
        <w:ind w:left="900" w:hanging="325"/>
        <w:spacing w:after="0" w:line="272"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17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targets, product candidates and processes for our development pipeline through acquisitions and in-licenses.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also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6"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5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Synlogic expects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7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6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26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165" w:lineRule="exact"/>
        <w:rPr>
          <w:sz w:val="20"/>
          <w:szCs w:val="20"/>
          <w:color w:val="auto"/>
        </w:rPr>
      </w:pPr>
    </w:p>
    <w:p>
      <w:pPr>
        <w:ind w:right="480"/>
        <w:spacing w:after="0" w:line="381"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0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a party to certain intellectual property license agreements that are important to our business and expect to enter into additional license agreements in the future. Our existing agreements impose, and we expect that future license agreements will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17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 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we or one of our licensing partners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6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makes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10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do not independently conduct all aspects of our drug discovery activities, compound formulation research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12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research and development, preclinical activities, and clinical activities, and may do the same for any commercial supplies of our product candidates.</w:t>
      </w:r>
    </w:p>
    <w:p>
      <w:pPr>
        <w:spacing w:after="0" w:line="17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We rely on third-party supply and manufacturing partners to supply the materials and components for, and manufacture, a portion of our research and development and preclinical study drug supplies and may do the same for any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do not own manufacturing facilities or supply sources for such components and materials, but may develop these capabilities in the future.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In the event that any of our suppliers or manufacturers fails to comply with such requirements or to perform our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in a number of ways, including:</w:t>
      </w:r>
    </w:p>
    <w:p>
      <w:pPr>
        <w:spacing w:after="0" w:line="99"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0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 party. With respect to consulting agreements, we indemnify consultants from claims arising from the good faith performance of their services.</w:t>
      </w:r>
    </w:p>
    <w:p>
      <w:pPr>
        <w:spacing w:after="0" w:line="178"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currently party to an agreement with AbbVie. 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3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we commit certain material breaches under our agreement with the Gates Foundation, and fail to cure them, the Gates Foundation may exercise a right to obtain a license to certain of our intellectual property or require us to redeem shares of our Capital Stock held by the Gates Foundation and our affiliates.</w:t>
      </w:r>
    </w:p>
    <w:p>
      <w:pPr>
        <w:spacing w:after="0" w:line="18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September 2014, we entered into a letter agreement with the Bill &amp; Melinda Gates Foundation (the “Gates Foundation”). In connection with the agreement, the Gates Foundation purchased $1.0 million of Series A-1 preferred stock, $1.4 million of Series A-2 preferred stock and $2.6 million of Class A-3 preferred units, and we committed to use a portion of the investment by the Gates Foundation to generally develop our Synthetic Biotic platform for potential use in neglected diseases prioritized by the Gates Foundation. In the event the Gates Foundation terminates the agreement for certain specified uncured material breaches by us, we will be obligated, among other remedies, to redeem the securities purchased by the Gates Foundation or to facilitate the purchase of such securities by a third party (in certain circumstances, We may instead satisfy such obligation by registering the resale of the securities into the public markets or through the ability of the Gates Foundation to resell the securities without volume limitations in reliance on Rule 144 under the Securities Act), and/or the Gates Foundation may exercise its right to obtain a non-exclusive license to certain of our intellectual property for use in certain prioritized diseases in developing countries. Additionally, in the six months following such sale or redemption, if we engage in certain specified corporate transactions that would value the sold or redeemed shares at more than 200% of the valuation used for the sale or redemption, we will be required to compensate the Gates Foundation for the difference between what the Gates Foundation would have received and what it actually received under the sale or redemption. If we instead elect to register the resale of the securities into the public markets or the Gates Foundation resells the securities in reliance on Rule 144, we will be required to compensate the Gates Foundation for the difference between what the Gates Foundation initially invested and what it actually received under such resale if there is any shortfall. If we are required to redeem such shares or to compensate the Gates Foundation following a specified corporate transaction or a resale, our financial condition could be materially and adversely affected. If the Gates Foundation exercises its right to obtain a non-exclusive license and develops and commercializes product candidates and products that we are also developing and commercializing, such exercise could have an adverse impact on our market position.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substantial competition and our competitors may discover, develop or commercialize products faster or more successfully than us.</w:t>
      </w:r>
    </w:p>
    <w:p>
      <w:pPr>
        <w:spacing w:after="0" w:line="2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Horizon Pharma plc, Dimension Therapeutics, Inc. (currently in definitive agreement for acquisition by Ultragenyx Pharmaceutical Inc.), Aeglea BioTherapeutics, Inc., Arcturus Therapeutics Inc., Castle Creek Pharma LLC, PhaseRx, Inc., Translate Bio (formerly Rana Therapeutics) and Selecta Biosciences, Inc. have developed or are developing product candidates for the treatment of UCD; Valeant Pharmaceuticals International, Inc., Ocera Therapeutics, Inc., Umecrine Cognition AB, Salix Pharmaceuticals, Ltd, as well as other preclinical and discovery stage companies have developed or are each developing product candidates for the treatment of HE; and BioMarin, Inc., MipSalus ApS, Dimension Therapeutics, Inc. and Synthetic Biologics, Inc. have developed or are developing product candidates for the treatment of PKU.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w:t>
      </w:r>
    </w:p>
    <w:p>
      <w:pPr>
        <w:spacing w:after="0" w:line="16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to the competition we face from alternative therapies for the diseases we intend to target with our product candidates, we are also aware of several companies that are also working specifically to develop engineered bacteria as cellular drug therapies, such as Intrexon Corp. Further there are several companies working to develop other similar products. Many of our competitors have substantially greater financial, technical and other resources, such as larger research and development staff and experienced marketing and manufacturing organizations. Third-party payors, including governmental and private insurers, may also encourage the use of generic products.</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9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64" w:lineRule="exact"/>
        <w:rPr>
          <w:sz w:val="20"/>
          <w:szCs w:val="20"/>
          <w:color w:val="auto"/>
        </w:rPr>
      </w:pPr>
    </w:p>
    <w:p>
      <w:pPr>
        <w:ind w:left="900" w:right="84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5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chief financial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Our Common Stock</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common stock may be delisted from the NASDAQ Capital Market if we are unable to maintain compliance with NASDAQ’s continued listing standards.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NASDAQ imposes, among other requirements, continued listing standards including minimum bid and public float requirements. The price of our common stock must trade at or above $1.00 to comply with NASDAQ’s minimum bid requirement for continued listing on the NASDAQ Capital Market. If our stock trades at bid prices of less than $1.00 for a period in excess of 30 consecutive business days, NASDAQ could send a deficiency notice to the company for not remaining in compliance with the minimum bid listing standards. During the third quarter of fiscal year 2017, our common stock never traded below $1.00. However, if the closing bid price of our common stock fails to meet NASDAQ’s minimum closing bid price requirement, or if we otherwise fail to meet any other applicable requirements of NASDAQ and we are unable to regain compliance, NASDAQ may make a determination to delist our common stock.</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delisting of our common stock could adversely affect the market liquidity of our common stock and the market price of our common stock could decrease. Furthermore, if our common stock were delisted it could adversely affect our ability to obtain financing for the continuation of our operations and/or result in the loss of confidence by investors, customers, suppliers and employees.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Based on the beneficial ownership of our common stock as of September 30, 2017, our executive officers and directors, together with holders of 5% or more of our common stock outstanding and their respective affiliates, beneficially own approximately 57%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an “emerging growth company,” as defined in the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September 30, 2017, there were a total of 16,284,921 shares of our common stock outstanding.</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7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receipt, modification or termination of government contracts or grants, and the timing of payments we receive under these arrangements;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execution of any collaborative, licensing or similar arrangements, and the timing of payments we may make under these arrangements;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7"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 Furthermore, our amended and restated certificate of incorporation specifies that the Court of Chancery of the State of Delaware will be the sole and exclusive forum for most legal actions involving actions brought against us by our stockholders. We believe this provision benefits the company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170"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14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current executive officers are parties to employment agreements providing for aggregate cash payments of up to approximately $1.3 million at September 30, 2017 for severance and other benefits in the event of a termination of employment in connection with a change of control. The payment of these severance benefits could harm our business, financial condition and results of operations. In addition, these potential severance payments may discourage or prevent third parties from seeking a business combination with Synlogic.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17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September 30, 2015, the SEC declared effective Mirna’s registration statement on Form S-1 (File No. 333-206544), as amended, filed in connection with its initial public offering. Pursuant to the registration statement, Mirna registered the offer and sale of 6,250,000 shares of common stock with an aggregate offering price of approximately $43.8 million, as well as the issuance of an additional 704,962 shares of common stock pursuant to the underwriters’ partial exercise of their option to purchase additional shares, for an aggregate offering price of approximately $4.9 million. In total, Mirna issued and sold an aggregate of 6,954,962 shares of common stock at a price to the public of $7.00 per share for an aggregate offering price of approximately $48.7 million. The managing underwriters of the offering were Citigroup, Leerink Partners, Oppenheimer &amp; Co. and Cantor Fitzgerald &amp; Co. After deducting underwriting discounts and commissions and offering expenses paid or payable by Mirna of $5.0 million, the aggregate net proceeds from the offering were $43.7 million. No offering expenses were paid or are payable, directly or indirectly, to Mirna’s or the Company’s directors or officers, to persons owning 10% or more of any class of Mirna’s or the Company’s equity securities or to any of Mirna’s or the Company’s affiliates.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net proceeds from Mirna’s initial public offering had been invested in a variety of capital preservation investments, including short-term, investment-grade, interest-bearing instruments and U.S. government securities. From September 30, 2015 through the date of completion of the Merger on August 28, 2017, Mirna had used all of the net initial public offering proceeds to advance its product candidates through clinical trial programs and for working capital and general corporate purposes.</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Incorporated by</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left="128"/>
              <w:spacing w:after="0" w:line="158" w:lineRule="exact"/>
              <w:rPr>
                <w:sz w:val="20"/>
                <w:szCs w:val="20"/>
                <w:color w:val="auto"/>
              </w:rPr>
            </w:pPr>
            <w:r>
              <w:rPr>
                <w:rFonts w:ascii="Arial" w:cs="Arial" w:eastAsia="Arial" w:hAnsi="Arial"/>
                <w:sz w:val="14"/>
                <w:szCs w:val="14"/>
                <w:b w:val="1"/>
                <w:bCs w:val="1"/>
                <w:color w:val="auto"/>
                <w:w w:val="97"/>
              </w:rPr>
              <w:t>Filed</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Reference herein</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Filing</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1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80" w:type="dxa"/>
            <w:vAlign w:val="bottom"/>
            <w:gridSpan w:val="37"/>
            <w:vMerge w:val="restart"/>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with this</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1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6"/>
        </w:trPr>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80" w:type="dxa"/>
            <w:vAlign w:val="bottom"/>
            <w:gridSpan w:val="37"/>
            <w:vMerge w:val="continue"/>
          </w:tcPr>
          <w:p>
            <w:pPr>
              <w:spacing w:after="0"/>
              <w:rPr>
                <w:sz w:val="15"/>
                <w:szCs w:val="15"/>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7"/>
              </w:rPr>
              <w:t>Report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Schedule</w:t>
            </w: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Date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88"/>
        </w:trPr>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8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4560" w:type="dxa"/>
            <w:vAlign w:val="bottom"/>
            <w:tcBorders>
              <w:bottom w:val="single" w:sz="8" w:color="0000EE"/>
            </w:tcBorders>
            <w:gridSpan w:val="40"/>
            <w:shd w:val="clear" w:color="auto" w:fill="CCEEFF"/>
          </w:tcPr>
          <w:p>
            <w:pPr>
              <w:spacing w:after="0" w:line="17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Agreement and Plan of Merger and Reorganization, dated as of</w:t>
              </w:r>
            </w:hyperlink>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780" w:type="dxa"/>
            <w:vAlign w:val="bottom"/>
            <w:gridSpan w:val="42"/>
            <w:shd w:val="clear" w:color="auto" w:fill="CCEEFF"/>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May 15, 2017, by and among Mirna Therapeutics, Inc.,</w:t>
              </w:r>
            </w:hyperlink>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20" w:type="dxa"/>
            <w:vAlign w:val="bottom"/>
            <w:tcBorders>
              <w:top w:val="single" w:sz="8" w:color="0000EE"/>
              <w:bottom w:val="single" w:sz="8" w:color="0000EE"/>
            </w:tcBorders>
            <w:gridSpan w:val="13"/>
            <w:shd w:val="clear" w:color="auto" w:fill="CCEEFF"/>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Meerkat Merger Sub, Inc. and Synlogic, Inc.</w:t>
              </w:r>
            </w:hyperlink>
          </w:p>
        </w:tc>
        <w:tc>
          <w:tcPr>
            <w:tcW w:w="76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18"/>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8-K (Exhibit 2.1)</w:t>
            </w:r>
          </w:p>
        </w:tc>
        <w:tc>
          <w:tcPr>
            <w:tcW w:w="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5/16/2017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84"/>
        </w:trPr>
        <w:tc>
          <w:tcPr>
            <w:tcW w:w="920" w:type="dxa"/>
            <w:vAlign w:val="bottom"/>
          </w:tcPr>
          <w:p>
            <w:pPr>
              <w:ind w:left="1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780" w:type="dxa"/>
            <w:vAlign w:val="bottom"/>
            <w:gridSpan w:val="42"/>
          </w:tcPr>
          <w:p>
            <w:pPr>
              <w:spacing w:after="0"/>
              <w:rPr>
                <w:rFonts w:ascii="Arial" w:cs="Arial" w:eastAsia="Arial" w:hAnsi="Arial"/>
                <w:sz w:val="18"/>
                <w:szCs w:val="18"/>
                <w:color w:val="0000EE"/>
              </w:rPr>
            </w:pPr>
            <w:hyperlink r:id="rId83">
              <w:r>
                <w:rPr>
                  <w:rFonts w:ascii="Arial" w:cs="Arial" w:eastAsia="Arial" w:hAnsi="Arial"/>
                  <w:sz w:val="18"/>
                  <w:szCs w:val="18"/>
                  <w:color w:val="0000EE"/>
                </w:rPr>
                <w:t>Certificate of Amendment (Reverse Stock Split) to the</w:t>
              </w:r>
            </w:hyperlink>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Amended and Restated Certificate of Incorporation, dated</w:t>
              </w:r>
            </w:hyperlink>
          </w:p>
        </w:tc>
        <w:tc>
          <w:tcPr>
            <w:tcW w:w="60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42"/>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August 25, 2017</w:t>
              </w:r>
            </w:hyperlink>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8-K (Exhibit 3.1)</w:t>
            </w:r>
          </w:p>
        </w:tc>
        <w:tc>
          <w:tcPr>
            <w:tcW w:w="900" w:type="dxa"/>
            <w:vAlign w:val="bottom"/>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428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Certificate of Amendment (Name Change) to the Amended</w:t>
              </w:r>
            </w:hyperlink>
          </w:p>
        </w:tc>
        <w:tc>
          <w:tcPr>
            <w:tcW w:w="500" w:type="dxa"/>
            <w:vAlign w:val="bottom"/>
            <w:tcBorders>
              <w:bottom w:val="single" w:sz="8" w:color="CCEEFF"/>
            </w:tcBorders>
            <w:gridSpan w:val="12"/>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780" w:type="dxa"/>
            <w:vAlign w:val="bottom"/>
            <w:gridSpan w:val="42"/>
            <w:shd w:val="clear" w:color="auto" w:fill="CCEEFF"/>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and Restated Certificate of Incorporation, dated August 28,</w:t>
              </w:r>
            </w:hyperlink>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2017</w:t>
              </w:r>
            </w:hyperlink>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8-K (Exhibit 3.2)</w:t>
            </w:r>
          </w:p>
        </w:tc>
        <w:tc>
          <w:tcPr>
            <w:tcW w:w="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20" w:type="dxa"/>
            <w:vAlign w:val="bottom"/>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280" w:type="dxa"/>
            <w:vAlign w:val="bottom"/>
            <w:tcBorders>
              <w:bottom w:val="single" w:sz="8" w:color="0000EE"/>
            </w:tcBorders>
            <w:gridSpan w:val="30"/>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Form of Indemnification Agreement between the Company</w:t>
              </w:r>
            </w:hyperlink>
          </w:p>
        </w:tc>
        <w:tc>
          <w:tcPr>
            <w:tcW w:w="50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42"/>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and each of its directors and officers</w:t>
              </w:r>
            </w:hyperlink>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S-1/A (Exhibit 10.13)</w:t>
            </w:r>
          </w:p>
        </w:tc>
        <w:tc>
          <w:tcPr>
            <w:tcW w:w="900" w:type="dxa"/>
            <w:vAlign w:val="bottom"/>
          </w:tcPr>
          <w:p>
            <w:pPr>
              <w:spacing w:after="0" w:line="196" w:lineRule="exact"/>
              <w:rPr>
                <w:sz w:val="20"/>
                <w:szCs w:val="20"/>
                <w:color w:val="auto"/>
              </w:rPr>
            </w:pPr>
            <w:r>
              <w:rPr>
                <w:rFonts w:ascii="Arial" w:cs="Arial" w:eastAsia="Arial" w:hAnsi="Arial"/>
                <w:sz w:val="18"/>
                <w:szCs w:val="18"/>
                <w:color w:val="auto"/>
              </w:rPr>
              <w:t>9/11/2015</w:t>
            </w: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w w:val="91"/>
              </w:rPr>
              <w:t>333-206544</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3920" w:type="dxa"/>
            <w:vAlign w:val="bottom"/>
            <w:tcBorders>
              <w:bottom w:val="single" w:sz="8" w:color="0000EE"/>
              <w:right w:val="single" w:sz="8" w:color="CCEEFF"/>
            </w:tcBorders>
            <w:gridSpan w:val="21"/>
            <w:shd w:val="clear" w:color="auto" w:fill="CCEEFF"/>
          </w:tcPr>
          <w:p>
            <w:pPr>
              <w:spacing w:after="0" w:line="17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Offer Letter by and between Synlogic and Jose Carlos</w:t>
              </w:r>
            </w:hyperlink>
          </w:p>
        </w:tc>
        <w:tc>
          <w:tcPr>
            <w:tcW w:w="860" w:type="dxa"/>
            <w:vAlign w:val="bottom"/>
            <w:tcBorders>
              <w:bottom w:val="single" w:sz="8" w:color="CCEEFF"/>
            </w:tcBorders>
            <w:gridSpan w:val="21"/>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0000EE"/>
            </w:tcBorders>
            <w:gridSpan w:val="19"/>
            <w:shd w:val="clear" w:color="auto" w:fill="CCEEFF"/>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Gutierrez-Ramos, Ph.D., dated as of March 20, 2015</w:t>
              </w:r>
            </w:hyperlink>
          </w:p>
        </w:tc>
        <w:tc>
          <w:tcPr>
            <w:tcW w:w="980" w:type="dxa"/>
            <w:vAlign w:val="bottom"/>
            <w:tcBorders>
              <w:bottom w:val="single" w:sz="8" w:color="CCEEFF"/>
            </w:tcBorders>
            <w:gridSpan w:val="23"/>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8-K (Exhibit 10.2)</w:t>
            </w:r>
          </w:p>
        </w:tc>
        <w:tc>
          <w:tcPr>
            <w:tcW w:w="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84"/>
        </w:trPr>
        <w:tc>
          <w:tcPr>
            <w:tcW w:w="920" w:type="dxa"/>
            <w:vAlign w:val="bottom"/>
          </w:tcPr>
          <w:p>
            <w:pPr>
              <w:ind w:left="1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4780" w:type="dxa"/>
            <w:vAlign w:val="bottom"/>
            <w:gridSpan w:val="42"/>
          </w:tcPr>
          <w:p>
            <w:pPr>
              <w:spacing w:after="0"/>
              <w:rPr>
                <w:rFonts w:ascii="Arial" w:cs="Arial" w:eastAsia="Arial" w:hAnsi="Arial"/>
                <w:sz w:val="18"/>
                <w:szCs w:val="18"/>
                <w:color w:val="0000EE"/>
                <w:w w:val="96"/>
              </w:rPr>
            </w:pPr>
            <w:hyperlink r:id="rId87">
              <w:r>
                <w:rPr>
                  <w:rFonts w:ascii="Arial" w:cs="Arial" w:eastAsia="Arial" w:hAnsi="Arial"/>
                  <w:sz w:val="18"/>
                  <w:szCs w:val="18"/>
                  <w:color w:val="0000EE"/>
                  <w:w w:val="96"/>
                </w:rPr>
                <w:t>First Amendment to Offer Letter by and between Synlogic and</w:t>
              </w:r>
            </w:hyperlink>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Borders>
              <w:top w:val="single" w:sz="8" w:color="0000EE"/>
            </w:tcBorders>
            <w:gridSpan w:val="39"/>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Jose Carlos Gutierrez-Ramos, Ph.D., dated as of May 8, 2017</w:t>
              </w:r>
            </w:hyperlink>
          </w:p>
        </w:tc>
        <w:tc>
          <w:tcPr>
            <w:tcW w:w="2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8-K (Exhibit 10.3)</w:t>
            </w:r>
          </w:p>
        </w:tc>
        <w:tc>
          <w:tcPr>
            <w:tcW w:w="900" w:type="dxa"/>
            <w:vAlign w:val="bottom"/>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4520" w:type="dxa"/>
            <w:vAlign w:val="bottom"/>
            <w:tcBorders>
              <w:bottom w:val="single" w:sz="8" w:color="0000EE"/>
            </w:tcBorders>
            <w:gridSpan w:val="39"/>
            <w:shd w:val="clear" w:color="auto" w:fill="CCEEFF"/>
          </w:tcPr>
          <w:p>
            <w:pPr>
              <w:spacing w:after="0" w:line="17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Offer Letter by and between Synlogic and Todd Shegog, dated</w:t>
              </w:r>
            </w:hyperlink>
          </w:p>
        </w:tc>
        <w:tc>
          <w:tcPr>
            <w:tcW w:w="260" w:type="dxa"/>
            <w:vAlign w:val="bottom"/>
            <w:tcBorders>
              <w:bottom w:val="single" w:sz="8" w:color="CCEEFF"/>
            </w:tcBorders>
            <w:gridSpan w:val="3"/>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87"/>
              </w:rPr>
            </w:pPr>
            <w:hyperlink r:id="rId88">
              <w:r>
                <w:rPr>
                  <w:rFonts w:ascii="Arial" w:cs="Arial" w:eastAsia="Arial" w:hAnsi="Arial"/>
                  <w:sz w:val="18"/>
                  <w:szCs w:val="18"/>
                  <w:color w:val="0000EE"/>
                  <w:w w:val="87"/>
                </w:rPr>
                <w:t>as of June 17, 2016</w:t>
              </w:r>
            </w:hyperlink>
          </w:p>
        </w:tc>
        <w:tc>
          <w:tcPr>
            <w:tcW w:w="3380" w:type="dxa"/>
            <w:vAlign w:val="bottom"/>
            <w:tcBorders>
              <w:bottom w:val="single" w:sz="8" w:color="CCEEFF"/>
            </w:tcBorders>
            <w:gridSpan w:val="37"/>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8-K (Exhibit 10.4)</w:t>
            </w:r>
          </w:p>
        </w:tc>
        <w:tc>
          <w:tcPr>
            <w:tcW w:w="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84"/>
        </w:trPr>
        <w:tc>
          <w:tcPr>
            <w:tcW w:w="920" w:type="dxa"/>
            <w:vAlign w:val="bottom"/>
          </w:tcPr>
          <w:p>
            <w:pPr>
              <w:ind w:left="1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4780" w:type="dxa"/>
            <w:vAlign w:val="bottom"/>
            <w:gridSpan w:val="42"/>
          </w:tcPr>
          <w:p>
            <w:pPr>
              <w:spacing w:after="0"/>
              <w:rPr>
                <w:rFonts w:ascii="Arial" w:cs="Arial" w:eastAsia="Arial" w:hAnsi="Arial"/>
                <w:sz w:val="18"/>
                <w:szCs w:val="18"/>
                <w:color w:val="0000EE"/>
                <w:w w:val="96"/>
              </w:rPr>
            </w:pPr>
            <w:hyperlink r:id="rId89">
              <w:r>
                <w:rPr>
                  <w:rFonts w:ascii="Arial" w:cs="Arial" w:eastAsia="Arial" w:hAnsi="Arial"/>
                  <w:sz w:val="18"/>
                  <w:szCs w:val="18"/>
                  <w:color w:val="0000EE"/>
                  <w:w w:val="96"/>
                </w:rPr>
                <w:t>First Amendment to Offer Letter by and between Synlogic and</w:t>
              </w:r>
            </w:hyperlink>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Todd Shegog, dated as of May 8, 2017</w:t>
              </w:r>
            </w:hyperlink>
          </w:p>
        </w:tc>
        <w:tc>
          <w:tcPr>
            <w:tcW w:w="2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8-K (Exhibit 10.5)</w:t>
            </w:r>
          </w:p>
        </w:tc>
        <w:tc>
          <w:tcPr>
            <w:tcW w:w="900" w:type="dxa"/>
            <w:vAlign w:val="bottom"/>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5"/>
                <w:szCs w:val="15"/>
                <w:color w:val="auto"/>
              </w:rPr>
            </w:pPr>
          </w:p>
        </w:tc>
        <w:tc>
          <w:tcPr>
            <w:tcW w:w="4440" w:type="dxa"/>
            <w:vAlign w:val="bottom"/>
            <w:tcBorders>
              <w:bottom w:val="single" w:sz="8" w:color="0000EE"/>
            </w:tcBorders>
            <w:gridSpan w:val="35"/>
            <w:shd w:val="clear" w:color="auto" w:fill="CCEEFF"/>
          </w:tcPr>
          <w:p>
            <w:pPr>
              <w:spacing w:after="0" w:line="17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Offer Letter by and between Synlogic and Aoife M. Brennan,</w:t>
              </w:r>
            </w:hyperlink>
          </w:p>
        </w:tc>
        <w:tc>
          <w:tcPr>
            <w:tcW w:w="340" w:type="dxa"/>
            <w:vAlign w:val="bottom"/>
            <w:tcBorders>
              <w:bottom w:val="single" w:sz="8" w:color="CCEEFF"/>
            </w:tcBorders>
            <w:gridSpan w:val="7"/>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780" w:type="dxa"/>
            <w:vAlign w:val="bottom"/>
            <w:gridSpan w:val="42"/>
            <w:shd w:val="clear" w:color="auto" w:fill="CCEEFF"/>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MB, BCh, BAO, MMSc, dated as of June 22, 2016</w:t>
              </w:r>
            </w:hyperlink>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8-K (Exhibit 10.6)</w:t>
            </w:r>
          </w:p>
        </w:tc>
        <w:tc>
          <w:tcPr>
            <w:tcW w:w="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20" w:type="dxa"/>
            <w:vAlign w:val="bottom"/>
          </w:tcPr>
          <w:p>
            <w:pPr>
              <w:ind w:left="1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4780" w:type="dxa"/>
            <w:vAlign w:val="bottom"/>
            <w:gridSpan w:val="42"/>
          </w:tcPr>
          <w:p>
            <w:pPr>
              <w:spacing w:after="0"/>
              <w:rPr>
                <w:rFonts w:ascii="Arial" w:cs="Arial" w:eastAsia="Arial" w:hAnsi="Arial"/>
                <w:sz w:val="18"/>
                <w:szCs w:val="18"/>
                <w:color w:val="0000EE"/>
                <w:w w:val="96"/>
              </w:rPr>
            </w:pPr>
            <w:hyperlink r:id="rId91">
              <w:r>
                <w:rPr>
                  <w:rFonts w:ascii="Arial" w:cs="Arial" w:eastAsia="Arial" w:hAnsi="Arial"/>
                  <w:sz w:val="18"/>
                  <w:szCs w:val="18"/>
                  <w:color w:val="0000EE"/>
                  <w:w w:val="96"/>
                </w:rPr>
                <w:t>First Amendment to Offer Letter by and between Synlogic and</w:t>
              </w:r>
            </w:hyperlink>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Aoife M. Brennan, MB, BCh, BAO, MMSc, dated as of</w:t>
              </w:r>
            </w:hyperlink>
          </w:p>
        </w:tc>
        <w:tc>
          <w:tcPr>
            <w:tcW w:w="480" w:type="dxa"/>
            <w:vAlign w:val="bottom"/>
            <w:tcBorders>
              <w:top w:val="single" w:sz="8" w:color="0000EE"/>
            </w:tcBorders>
            <w:gridSpan w:val="14"/>
          </w:tcPr>
          <w:p>
            <w:pPr>
              <w:spacing w:after="0"/>
              <w:rPr>
                <w:sz w:val="17"/>
                <w:szCs w:val="17"/>
                <w:color w:val="auto"/>
              </w:rPr>
            </w:pPr>
          </w:p>
        </w:tc>
        <w:tc>
          <w:tcPr>
            <w:tcW w:w="2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4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November 7, 2016</w:t>
              </w:r>
            </w:hyperlink>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8-K (Exhibit 10.7)</w:t>
            </w:r>
          </w:p>
        </w:tc>
        <w:tc>
          <w:tcPr>
            <w:tcW w:w="900" w:type="dxa"/>
            <w:vAlign w:val="bottom"/>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4420" w:type="dxa"/>
            <w:vAlign w:val="bottom"/>
            <w:tcBorders>
              <w:bottom w:val="single" w:sz="8" w:color="0000EE"/>
            </w:tcBorders>
            <w:gridSpan w:val="34"/>
            <w:shd w:val="clear" w:color="auto" w:fill="CCEEFF"/>
          </w:tcPr>
          <w:p>
            <w:pPr>
              <w:spacing w:after="0" w:line="17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Second Amendment to Offer Letter by and between Synlogic</w:t>
              </w:r>
            </w:hyperlink>
          </w:p>
        </w:tc>
        <w:tc>
          <w:tcPr>
            <w:tcW w:w="360" w:type="dxa"/>
            <w:vAlign w:val="bottom"/>
            <w:tcBorders>
              <w:bottom w:val="single" w:sz="8" w:color="CCEEFF"/>
            </w:tcBorders>
            <w:gridSpan w:val="8"/>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780" w:type="dxa"/>
            <w:vAlign w:val="bottom"/>
            <w:gridSpan w:val="42"/>
            <w:shd w:val="clear" w:color="auto" w:fill="CCEEFF"/>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and Aoife M. Brennan, MB, BCh, BAO, MMSc, dated as of</w:t>
              </w:r>
            </w:hyperlink>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May 8, 2017</w:t>
              </w:r>
            </w:hyperlink>
          </w:p>
        </w:tc>
        <w:tc>
          <w:tcPr>
            <w:tcW w:w="3420" w:type="dxa"/>
            <w:vAlign w:val="bottom"/>
            <w:tcBorders>
              <w:top w:val="single" w:sz="8" w:color="0000EE"/>
              <w:bottom w:val="single" w:sz="8" w:color="CCEEFF"/>
            </w:tcBorders>
            <w:gridSpan w:val="30"/>
            <w:shd w:val="clear" w:color="auto" w:fill="CCEEFF"/>
          </w:tcPr>
          <w:p>
            <w:pPr>
              <w:spacing w:after="0"/>
              <w:rPr>
                <w:sz w:val="18"/>
                <w:szCs w:val="18"/>
                <w:color w:val="auto"/>
              </w:rPr>
            </w:pPr>
          </w:p>
        </w:tc>
        <w:tc>
          <w:tcPr>
            <w:tcW w:w="440" w:type="dxa"/>
            <w:vAlign w:val="bottom"/>
            <w:tcBorders>
              <w:top w:val="single" w:sz="8" w:color="CCEEFF"/>
              <w:bottom w:val="single" w:sz="8" w:color="CCEEFF"/>
            </w:tcBorders>
            <w:gridSpan w:val="10"/>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8-K (Exhibit 10.8)</w:t>
            </w:r>
          </w:p>
        </w:tc>
        <w:tc>
          <w:tcPr>
            <w:tcW w:w="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84"/>
        </w:trPr>
        <w:tc>
          <w:tcPr>
            <w:tcW w:w="920" w:type="dxa"/>
            <w:vAlign w:val="bottom"/>
          </w:tcPr>
          <w:p>
            <w:pPr>
              <w:ind w:lef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4780" w:type="dxa"/>
            <w:vAlign w:val="bottom"/>
            <w:gridSpan w:val="42"/>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Amended and Restated Letter Agreement by and between Paul</w:t>
              </w:r>
            </w:hyperlink>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Miller, Ph.D., dated as of May 16, 2017</w:t>
              </w:r>
            </w:hyperlink>
          </w:p>
        </w:tc>
        <w:tc>
          <w:tcPr>
            <w:tcW w:w="2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8-K (Exhibit 10.9)</w:t>
            </w:r>
          </w:p>
        </w:tc>
        <w:tc>
          <w:tcPr>
            <w:tcW w:w="900" w:type="dxa"/>
            <w:vAlign w:val="bottom"/>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0000EE"/>
            </w:tcBorders>
            <w:gridSpan w:val="37"/>
            <w:shd w:val="clear" w:color="auto" w:fill="CCEEFF"/>
          </w:tcPr>
          <w:p>
            <w:pPr>
              <w:spacing w:after="0" w:line="176"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Separation Agreement by and between the Company and Paul</w:t>
              </w:r>
            </w:hyperlink>
          </w:p>
        </w:tc>
        <w:tc>
          <w:tcPr>
            <w:tcW w:w="300" w:type="dxa"/>
            <w:vAlign w:val="bottom"/>
            <w:tcBorders>
              <w:bottom w:val="single" w:sz="8" w:color="CCEEFF"/>
            </w:tcBorders>
            <w:gridSpan w:val="5"/>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4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Lammers, dated as of August 20, 2017.</w:t>
              </w:r>
            </w:hyperlink>
          </w:p>
        </w:tc>
        <w:tc>
          <w:tcPr>
            <w:tcW w:w="1940" w:type="dxa"/>
            <w:vAlign w:val="bottom"/>
            <w:tcBorders>
              <w:bottom w:val="single" w:sz="8" w:color="CCEEFF"/>
            </w:tcBorders>
            <w:gridSpan w:val="32"/>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8-K (Exhibit 10.10)</w:t>
            </w:r>
          </w:p>
        </w:tc>
        <w:tc>
          <w:tcPr>
            <w:tcW w:w="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84"/>
        </w:trPr>
        <w:tc>
          <w:tcPr>
            <w:tcW w:w="920" w:type="dxa"/>
            <w:vAlign w:val="bottom"/>
          </w:tcPr>
          <w:p>
            <w:pPr>
              <w:ind w:left="10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4500" w:type="dxa"/>
            <w:vAlign w:val="bottom"/>
            <w:tcBorders>
              <w:bottom w:val="single" w:sz="8" w:color="0000EE"/>
            </w:tcBorders>
            <w:gridSpan w:val="38"/>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Separation Agreement by and between the Company and Alan</w:t>
              </w:r>
            </w:hyperlink>
          </w:p>
        </w:tc>
        <w:tc>
          <w:tcPr>
            <w:tcW w:w="28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4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Fuhrman, dated as of August 20, 2017.</w:t>
              </w:r>
            </w:hyperlink>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8-K (Exhibit 10.11)</w:t>
            </w:r>
          </w:p>
        </w:tc>
        <w:tc>
          <w:tcPr>
            <w:tcW w:w="900" w:type="dxa"/>
            <w:vAlign w:val="bottom"/>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10.12†^</w:t>
            </w:r>
          </w:p>
        </w:tc>
        <w:tc>
          <w:tcPr>
            <w:tcW w:w="4460" w:type="dxa"/>
            <w:vAlign w:val="bottom"/>
            <w:tcBorders>
              <w:bottom w:val="single" w:sz="8" w:color="0000EE"/>
            </w:tcBorders>
            <w:gridSpan w:val="36"/>
            <w:shd w:val="clear" w:color="auto" w:fill="CCEEFF"/>
          </w:tcPr>
          <w:p>
            <w:pPr>
              <w:spacing w:after="0" w:line="17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Agreement and Plan of Merger by and among AbbVie S.à.r.l.,</w:t>
              </w:r>
            </w:hyperlink>
          </w:p>
        </w:tc>
        <w:tc>
          <w:tcPr>
            <w:tcW w:w="320" w:type="dxa"/>
            <w:vAlign w:val="bottom"/>
            <w:tcBorders>
              <w:bottom w:val="single" w:sz="8" w:color="CCEEFF"/>
            </w:tcBorders>
            <w:gridSpan w:val="6"/>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40" w:type="dxa"/>
            <w:vAlign w:val="bottom"/>
            <w:tcBorders>
              <w:bottom w:val="single" w:sz="8" w:color="0000EE"/>
            </w:tcBorders>
            <w:gridSpan w:val="28"/>
            <w:shd w:val="clear" w:color="auto" w:fill="CCEEFF"/>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Suffolk Merger Sub, Inc., Synlogic IBDCo, Inc., Synlogic,</w:t>
              </w:r>
            </w:hyperlink>
          </w:p>
        </w:tc>
        <w:tc>
          <w:tcPr>
            <w:tcW w:w="540" w:type="dxa"/>
            <w:vAlign w:val="bottom"/>
            <w:tcBorders>
              <w:bottom w:val="single" w:sz="8" w:color="CCEEFF"/>
            </w:tcBorders>
            <w:gridSpan w:val="14"/>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780" w:type="dxa"/>
            <w:vAlign w:val="bottom"/>
            <w:gridSpan w:val="42"/>
            <w:shd w:val="clear" w:color="auto" w:fill="CCEEFF"/>
          </w:tcPr>
          <w:p>
            <w:pPr>
              <w:spacing w:after="0" w:line="196" w:lineRule="exact"/>
              <w:rPr>
                <w:rFonts w:ascii="Arial" w:cs="Arial" w:eastAsia="Arial" w:hAnsi="Arial"/>
                <w:sz w:val="18"/>
                <w:szCs w:val="18"/>
                <w:color w:val="0000EE"/>
                <w:w w:val="97"/>
              </w:rPr>
            </w:pPr>
            <w:hyperlink r:id="rId96">
              <w:r>
                <w:rPr>
                  <w:rFonts w:ascii="Arial" w:cs="Arial" w:eastAsia="Arial" w:hAnsi="Arial"/>
                  <w:sz w:val="18"/>
                  <w:szCs w:val="18"/>
                  <w:color w:val="0000EE"/>
                  <w:w w:val="97"/>
                </w:rPr>
                <w:t>LLC, Synlogic, Inc. and the founders named therein, dated as</w:t>
              </w:r>
            </w:hyperlink>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960" w:type="dxa"/>
            <w:vAlign w:val="bottom"/>
            <w:tcBorders>
              <w:top w:val="single" w:sz="8" w:color="0000EE"/>
              <w:bottom w:val="single" w:sz="8" w:color="0000EE"/>
            </w:tcBorders>
            <w:gridSpan w:val="23"/>
            <w:shd w:val="clear" w:color="auto" w:fill="CCEEFF"/>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of July 16, 2015; as amended by a First Amendment to</w:t>
              </w:r>
            </w:hyperlink>
          </w:p>
        </w:tc>
        <w:tc>
          <w:tcPr>
            <w:tcW w:w="460" w:type="dxa"/>
            <w:vAlign w:val="bottom"/>
            <w:tcBorders>
              <w:top w:val="single" w:sz="8" w:color="0000EE"/>
              <w:bottom w:val="single" w:sz="8" w:color="CCEEFF"/>
            </w:tcBorders>
            <w:gridSpan w:val="11"/>
            <w:shd w:val="clear" w:color="auto" w:fill="CCEEFF"/>
          </w:tcPr>
          <w:p>
            <w:pPr>
              <w:spacing w:after="0"/>
              <w:rPr>
                <w:sz w:val="17"/>
                <w:szCs w:val="17"/>
                <w:color w:val="auto"/>
              </w:rPr>
            </w:pPr>
          </w:p>
        </w:tc>
        <w:tc>
          <w:tcPr>
            <w:tcW w:w="360" w:type="dxa"/>
            <w:vAlign w:val="bottom"/>
            <w:tcBorders>
              <w:top w:val="single" w:sz="8" w:color="CCEEFF"/>
              <w:bottom w:val="single" w:sz="8" w:color="CCEEFF"/>
            </w:tcBorders>
            <w:gridSpan w:val="8"/>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8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0000EE"/>
            </w:tcBorders>
            <w:gridSpan w:val="41"/>
            <w:shd w:val="clear" w:color="auto" w:fill="CCEEFF"/>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Agreement and Plan of Merger, dated as of December 14, 2015</w:t>
              </w:r>
            </w:hyperlink>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8-K (Exhibit 10.12)</w:t>
            </w:r>
          </w:p>
        </w:tc>
        <w:tc>
          <w:tcPr>
            <w:tcW w:w="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84"/>
        </w:trPr>
        <w:tc>
          <w:tcPr>
            <w:tcW w:w="1020" w:type="dxa"/>
            <w:vAlign w:val="bottom"/>
            <w:gridSpan w:val="2"/>
          </w:tcPr>
          <w:p>
            <w:pPr>
              <w:ind w:left="100"/>
              <w:spacing w:after="0"/>
              <w:rPr>
                <w:sz w:val="20"/>
                <w:szCs w:val="20"/>
                <w:color w:val="auto"/>
              </w:rPr>
            </w:pPr>
            <w:r>
              <w:rPr>
                <w:rFonts w:ascii="Arial" w:cs="Arial" w:eastAsia="Arial" w:hAnsi="Arial"/>
                <w:sz w:val="18"/>
                <w:szCs w:val="18"/>
                <w:color w:val="auto"/>
              </w:rPr>
              <w:t>10.13†</w:t>
            </w:r>
          </w:p>
        </w:tc>
        <w:tc>
          <w:tcPr>
            <w:tcW w:w="3940" w:type="dxa"/>
            <w:vAlign w:val="bottom"/>
            <w:tcBorders>
              <w:bottom w:val="single" w:sz="8" w:color="0000EE"/>
            </w:tcBorders>
            <w:gridSpan w:val="22"/>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License Agreement by and between Synlogic, Inc. and</w:t>
              </w:r>
            </w:hyperlink>
          </w:p>
        </w:tc>
        <w:tc>
          <w:tcPr>
            <w:tcW w:w="840" w:type="dxa"/>
            <w:vAlign w:val="bottom"/>
            <w:gridSpan w:val="20"/>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42"/>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Synlogic IBDCo, Inc., dated as of July 16, 2015</w:t>
              </w:r>
            </w:hyperlink>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8-K (Exhibit 10.13)</w:t>
            </w:r>
          </w:p>
        </w:tc>
        <w:tc>
          <w:tcPr>
            <w:tcW w:w="900" w:type="dxa"/>
            <w:vAlign w:val="bottom"/>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10.14†</w:t>
            </w:r>
          </w:p>
        </w:tc>
        <w:tc>
          <w:tcPr>
            <w:tcW w:w="4780" w:type="dxa"/>
            <w:vAlign w:val="bottom"/>
            <w:gridSpan w:val="42"/>
            <w:shd w:val="clear" w:color="auto" w:fill="CCEEFF"/>
          </w:tcPr>
          <w:p>
            <w:pPr>
              <w:spacing w:after="0" w:line="176" w:lineRule="exact"/>
              <w:rPr>
                <w:rFonts w:ascii="Arial" w:cs="Arial" w:eastAsia="Arial" w:hAnsi="Arial"/>
                <w:sz w:val="18"/>
                <w:szCs w:val="18"/>
                <w:color w:val="0000EE"/>
              </w:rPr>
            </w:pPr>
            <w:hyperlink r:id="rId98">
              <w:r>
                <w:rPr>
                  <w:rFonts w:ascii="Arial" w:cs="Arial" w:eastAsia="Arial" w:hAnsi="Arial"/>
                  <w:sz w:val="18"/>
                  <w:szCs w:val="18"/>
                  <w:color w:val="0000EE"/>
                </w:rPr>
                <w:t>License Agreement by and among Trustees of Boston</w:t>
              </w:r>
            </w:hyperlink>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gridSpan w:val="5"/>
            <w:shd w:val="clear" w:color="auto" w:fill="CCEEFF"/>
          </w:tcPr>
          <w:p>
            <w:pPr>
              <w:spacing w:after="0" w:line="20" w:lineRule="exact"/>
              <w:rPr>
                <w:sz w:val="1"/>
                <w:szCs w:val="1"/>
                <w:color w:val="auto"/>
              </w:rPr>
            </w:pPr>
          </w:p>
        </w:tc>
        <w:tc>
          <w:tcPr>
            <w:tcW w:w="120" w:type="dxa"/>
            <w:vAlign w:val="bottom"/>
            <w:gridSpan w:val="4"/>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20" w:type="dxa"/>
            <w:vAlign w:val="bottom"/>
            <w:gridSpan w:val="9"/>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780" w:type="dxa"/>
            <w:vAlign w:val="bottom"/>
            <w:gridSpan w:val="42"/>
            <w:shd w:val="clear" w:color="auto" w:fill="CCEEFF"/>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University, Massachusetts Institute of Technology and</w:t>
              </w:r>
            </w:hyperlink>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180" w:type="dxa"/>
            <w:vAlign w:val="bottom"/>
            <w:tcBorders>
              <w:top w:val="single" w:sz="8" w:color="0000EE"/>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Synlogic, Inc., dated as of October 18, 2015</w:t>
              </w:r>
            </w:hyperlink>
          </w:p>
        </w:tc>
        <w:tc>
          <w:tcPr>
            <w:tcW w:w="740" w:type="dxa"/>
            <w:vAlign w:val="bottom"/>
            <w:tcBorders>
              <w:top w:val="single" w:sz="8" w:color="0000EE"/>
              <w:bottom w:val="single" w:sz="8" w:color="CCEEFF"/>
              <w:right w:val="single" w:sz="8" w:color="CCEEFF"/>
            </w:tcBorders>
            <w:gridSpan w:val="9"/>
            <w:shd w:val="clear" w:color="auto" w:fill="CCEEFF"/>
          </w:tcPr>
          <w:p>
            <w:pPr>
              <w:spacing w:after="0"/>
              <w:rPr>
                <w:sz w:val="18"/>
                <w:szCs w:val="18"/>
                <w:color w:val="auto"/>
              </w:rPr>
            </w:pPr>
          </w:p>
        </w:tc>
        <w:tc>
          <w:tcPr>
            <w:tcW w:w="860" w:type="dxa"/>
            <w:vAlign w:val="bottom"/>
            <w:tcBorders>
              <w:top w:val="single" w:sz="8" w:color="CCEEFF"/>
              <w:bottom w:val="single" w:sz="8" w:color="CCEEFF"/>
            </w:tcBorders>
            <w:gridSpan w:val="21"/>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8-K (Exhibit 10.14)</w:t>
            </w:r>
          </w:p>
        </w:tc>
        <w:tc>
          <w:tcPr>
            <w:tcW w:w="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84"/>
        </w:trPr>
        <w:tc>
          <w:tcPr>
            <w:tcW w:w="1020" w:type="dxa"/>
            <w:vAlign w:val="bottom"/>
            <w:gridSpan w:val="2"/>
          </w:tcPr>
          <w:p>
            <w:pPr>
              <w:ind w:left="100"/>
              <w:spacing w:after="0"/>
              <w:rPr>
                <w:sz w:val="20"/>
                <w:szCs w:val="20"/>
                <w:color w:val="auto"/>
              </w:rPr>
            </w:pPr>
            <w:r>
              <w:rPr>
                <w:rFonts w:ascii="Arial" w:cs="Arial" w:eastAsia="Arial" w:hAnsi="Arial"/>
                <w:sz w:val="18"/>
                <w:szCs w:val="18"/>
                <w:color w:val="auto"/>
              </w:rPr>
              <w:t>10.15†</w:t>
            </w:r>
          </w:p>
        </w:tc>
        <w:tc>
          <w:tcPr>
            <w:tcW w:w="4780" w:type="dxa"/>
            <w:vAlign w:val="bottom"/>
            <w:gridSpan w:val="42"/>
          </w:tcPr>
          <w:p>
            <w:pPr>
              <w:spacing w:after="0"/>
              <w:rPr>
                <w:rFonts w:ascii="Arial" w:cs="Arial" w:eastAsia="Arial" w:hAnsi="Arial"/>
                <w:sz w:val="18"/>
                <w:szCs w:val="18"/>
                <w:color w:val="0000EE"/>
              </w:rPr>
            </w:pPr>
            <w:hyperlink r:id="rId99">
              <w:r>
                <w:rPr>
                  <w:rFonts w:ascii="Arial" w:cs="Arial" w:eastAsia="Arial" w:hAnsi="Arial"/>
                  <w:sz w:val="18"/>
                  <w:szCs w:val="18"/>
                  <w:color w:val="0000EE"/>
                </w:rPr>
                <w:t>Exclusive Patent License Agreement by and between</w:t>
              </w:r>
            </w:hyperlink>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1340" w:type="dxa"/>
            <w:vAlign w:val="bottom"/>
            <w:gridSpan w:val="8"/>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42"/>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Massachusetts Institute of Technology and Synlogic, Inc.,</w:t>
              </w:r>
            </w:hyperlink>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dated as of November 9, 2015; as amended by a Letter</w:t>
              </w:r>
            </w:hyperlink>
          </w:p>
        </w:tc>
        <w:tc>
          <w:tcPr>
            <w:tcW w:w="220" w:type="dxa"/>
            <w:vAlign w:val="bottom"/>
            <w:tcBorders>
              <w:top w:val="single" w:sz="8" w:color="0000EE"/>
            </w:tcBorders>
            <w:gridSpan w:val="4"/>
          </w:tcPr>
          <w:p>
            <w:pPr>
              <w:spacing w:after="0"/>
              <w:rPr>
                <w:sz w:val="17"/>
                <w:szCs w:val="17"/>
                <w:color w:val="auto"/>
              </w:rPr>
            </w:pPr>
          </w:p>
        </w:tc>
        <w:tc>
          <w:tcPr>
            <w:tcW w:w="62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Agreement by and among Massachusetts Institute of</w:t>
              </w:r>
            </w:hyperlink>
          </w:p>
        </w:tc>
        <w:tc>
          <w:tcPr>
            <w:tcW w:w="1000" w:type="dxa"/>
            <w:vAlign w:val="bottom"/>
            <w:gridSpan w:val="24"/>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Technology, Synlogic, Inc. and Synlogic IBDCo, dated as of</w:t>
              </w:r>
            </w:hyperlink>
          </w:p>
        </w:tc>
        <w:tc>
          <w:tcPr>
            <w:tcW w:w="42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42"/>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November 9, 2015 and a First Amendment to the Exclusive</w:t>
              </w:r>
            </w:hyperlink>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Patent License Agreement, dated as of July 20, 2016</w:t>
              </w:r>
            </w:hyperlink>
          </w:p>
        </w:tc>
        <w:tc>
          <w:tcPr>
            <w:tcW w:w="50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8-K (Exhibit 10.15)</w:t>
            </w:r>
          </w:p>
        </w:tc>
        <w:tc>
          <w:tcPr>
            <w:tcW w:w="900" w:type="dxa"/>
            <w:vAlign w:val="bottom"/>
          </w:tcPr>
          <w:p>
            <w:pPr>
              <w:spacing w:after="0" w:line="196" w:lineRule="exact"/>
              <w:rPr>
                <w:sz w:val="20"/>
                <w:szCs w:val="20"/>
                <w:color w:val="auto"/>
              </w:rPr>
            </w:pPr>
            <w:r>
              <w:rPr>
                <w:rFonts w:ascii="Arial" w:cs="Arial" w:eastAsia="Arial" w:hAnsi="Arial"/>
                <w:sz w:val="18"/>
                <w:szCs w:val="18"/>
                <w:color w:val="auto"/>
              </w:rPr>
              <w:t>8/28/2017</w:t>
            </w:r>
          </w:p>
        </w:tc>
        <w:tc>
          <w:tcPr>
            <w:tcW w:w="2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2017 Stock Incentive Plan</w:t>
              </w:r>
            </w:hyperlink>
          </w:p>
        </w:tc>
        <w:tc>
          <w:tcPr>
            <w:tcW w:w="2880" w:type="dxa"/>
            <w:vAlign w:val="bottom"/>
            <w:tcBorders>
              <w:bottom w:val="single" w:sz="8" w:color="CCEEFF"/>
            </w:tcBorders>
            <w:gridSpan w:val="36"/>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gridSpan w:val="4"/>
            <w:shd w:val="clear" w:color="auto" w:fill="CCEEFF"/>
          </w:tcPr>
          <w:p>
            <w:pPr>
              <w:ind w:left="80"/>
              <w:spacing w:after="0" w:line="176" w:lineRule="exact"/>
              <w:rPr>
                <w:sz w:val="20"/>
                <w:szCs w:val="20"/>
                <w:color w:val="auto"/>
              </w:rPr>
            </w:pPr>
            <w:r>
              <w:rPr>
                <w:rFonts w:ascii="Arial" w:cs="Arial" w:eastAsia="Arial" w:hAnsi="Arial"/>
                <w:sz w:val="18"/>
                <w:szCs w:val="18"/>
                <w:color w:val="auto"/>
              </w:rPr>
              <w:t>X</w:t>
            </w: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920" w:type="dxa"/>
            <w:vAlign w:val="bottom"/>
          </w:tcPr>
          <w:p>
            <w:pPr>
              <w:ind w:left="10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38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Form of Stock Option Grant Notice and Stock Option</w:t>
              </w:r>
            </w:hyperlink>
          </w:p>
        </w:tc>
        <w:tc>
          <w:tcPr>
            <w:tcW w:w="960" w:type="dxa"/>
            <w:vAlign w:val="bottom"/>
            <w:gridSpan w:val="22"/>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4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Agreement under 2017 Stock Incentive Plan.</w:t>
              </w:r>
            </w:hyperlink>
          </w:p>
        </w:tc>
        <w:tc>
          <w:tcPr>
            <w:tcW w:w="920" w:type="dxa"/>
            <w:vAlign w:val="bottom"/>
          </w:tcPr>
          <w:p>
            <w:pPr>
              <w:spacing w:after="0"/>
              <w:rPr>
                <w:sz w:val="17"/>
                <w:szCs w:val="17"/>
                <w:color w:val="auto"/>
              </w:rPr>
            </w:pPr>
          </w:p>
        </w:tc>
        <w:tc>
          <w:tcPr>
            <w:tcW w:w="268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X</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15"/>
                <w:szCs w:val="15"/>
                <w:color w:val="auto"/>
              </w:rPr>
            </w:pPr>
          </w:p>
        </w:tc>
        <w:tc>
          <w:tcPr>
            <w:tcW w:w="432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Employment Agreement, dated as of September 4, 2017, by</w:t>
              </w:r>
            </w:hyperlink>
          </w:p>
        </w:tc>
        <w:tc>
          <w:tcPr>
            <w:tcW w:w="460" w:type="dxa"/>
            <w:vAlign w:val="bottom"/>
            <w:tcBorders>
              <w:bottom w:val="single" w:sz="8" w:color="CCEEFF"/>
            </w:tcBorders>
            <w:gridSpan w:val="11"/>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780" w:type="dxa"/>
            <w:vAlign w:val="bottom"/>
            <w:gridSpan w:val="42"/>
            <w:shd w:val="clear" w:color="auto" w:fill="CCEEFF"/>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and between the Company and Andrew W. Gengos.</w:t>
              </w:r>
            </w:hyperlink>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8-K (Exhibit 10.1)</w:t>
            </w:r>
          </w:p>
        </w:tc>
        <w:tc>
          <w:tcPr>
            <w:tcW w:w="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7"/>
              </w:rPr>
              <w:t>10/10/2017</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63"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ind w:left="100"/>
              <w:spacing w:after="0"/>
              <w:rPr>
                <w:sz w:val="20"/>
                <w:szCs w:val="20"/>
                <w:color w:val="auto"/>
              </w:rPr>
            </w:pPr>
            <w:r>
              <w:rPr>
                <w:rFonts w:ascii="Arial" w:cs="Arial" w:eastAsia="Arial" w:hAnsi="Arial"/>
                <w:sz w:val="18"/>
                <w:szCs w:val="18"/>
                <w:color w:val="auto"/>
              </w:rPr>
              <w:t>10.19</w:t>
            </w:r>
          </w:p>
        </w:tc>
        <w:tc>
          <w:tcPr>
            <w:tcW w:w="5140" w:type="dxa"/>
            <w:vAlign w:val="bottom"/>
            <w:gridSpan w:val="10"/>
          </w:tcPr>
          <w:p>
            <w:pPr>
              <w:spacing w:after="0"/>
              <w:rPr>
                <w:rFonts w:ascii="Arial" w:cs="Arial" w:eastAsia="Arial" w:hAnsi="Arial"/>
                <w:sz w:val="18"/>
                <w:szCs w:val="18"/>
                <w:color w:val="0000EE"/>
              </w:rPr>
            </w:pPr>
            <w:hyperlink r:id="rId101">
              <w:r>
                <w:rPr>
                  <w:rFonts w:ascii="Arial" w:cs="Arial" w:eastAsia="Arial" w:hAnsi="Arial"/>
                  <w:sz w:val="18"/>
                  <w:szCs w:val="18"/>
                  <w:color w:val="0000EE"/>
                </w:rPr>
                <w:t>Sales Agreement, dated as of October 13, 2017, between the</w:t>
              </w:r>
            </w:hyperlink>
          </w:p>
        </w:tc>
        <w:tc>
          <w:tcPr>
            <w:tcW w:w="2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Company and Cowen and Company, LLC</w:t>
              </w:r>
            </w:hyperlink>
          </w:p>
        </w:tc>
        <w:tc>
          <w:tcPr>
            <w:tcW w:w="800" w:type="dxa"/>
            <w:vAlign w:val="bottom"/>
          </w:tcPr>
          <w:p>
            <w:pPr>
              <w:spacing w:after="0"/>
              <w:rPr>
                <w:sz w:val="17"/>
                <w:szCs w:val="17"/>
                <w:color w:val="auto"/>
              </w:rPr>
            </w:pPr>
          </w:p>
        </w:tc>
        <w:tc>
          <w:tcPr>
            <w:tcW w:w="2880" w:type="dxa"/>
            <w:vAlign w:val="bottom"/>
          </w:tcPr>
          <w:p>
            <w:pPr>
              <w:ind w:left="1200"/>
              <w:spacing w:after="0" w:line="196" w:lineRule="exact"/>
              <w:rPr>
                <w:sz w:val="20"/>
                <w:szCs w:val="20"/>
                <w:color w:val="auto"/>
              </w:rPr>
            </w:pPr>
            <w:r>
              <w:rPr>
                <w:rFonts w:ascii="Arial" w:cs="Arial" w:eastAsia="Arial" w:hAnsi="Arial"/>
                <w:sz w:val="18"/>
                <w:szCs w:val="18"/>
                <w:color w:val="auto"/>
              </w:rPr>
              <w:t>8-K (Exhibit 1.1)</w:t>
            </w:r>
          </w:p>
        </w:tc>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10/16/2017</w:t>
            </w:r>
          </w:p>
        </w:tc>
        <w:tc>
          <w:tcPr>
            <w:tcW w:w="10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14.1</w:t>
            </w:r>
          </w:p>
        </w:tc>
        <w:tc>
          <w:tcPr>
            <w:tcW w:w="27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Code of Business Conduct and Ethics</w:t>
              </w:r>
            </w:hyperlink>
          </w:p>
        </w:tc>
        <w:tc>
          <w:tcPr>
            <w:tcW w:w="2420" w:type="dxa"/>
            <w:vAlign w:val="bottom"/>
            <w:tcBorders>
              <w:bottom w:val="single" w:sz="8" w:color="CCEEFF"/>
            </w:tcBorders>
            <w:gridSpan w:val="7"/>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ind w:left="1200"/>
              <w:spacing w:after="0" w:line="176" w:lineRule="exact"/>
              <w:rPr>
                <w:sz w:val="20"/>
                <w:szCs w:val="20"/>
                <w:color w:val="auto"/>
              </w:rPr>
            </w:pPr>
            <w:r>
              <w:rPr>
                <w:rFonts w:ascii="Arial" w:cs="Arial" w:eastAsia="Arial" w:hAnsi="Arial"/>
                <w:sz w:val="18"/>
                <w:szCs w:val="18"/>
                <w:color w:val="auto"/>
              </w:rPr>
              <w:t>8-K (Exhibit 14.1)</w:t>
            </w:r>
          </w:p>
        </w:tc>
        <w:tc>
          <w:tcPr>
            <w:tcW w:w="1320" w:type="dxa"/>
            <w:vAlign w:val="bottom"/>
            <w:tcBorders>
              <w:bottom w:val="single" w:sz="8" w:color="CCEEFF"/>
            </w:tcBorders>
            <w:shd w:val="clear" w:color="auto" w:fill="CCEEFF"/>
          </w:tcPr>
          <w:p>
            <w:pPr>
              <w:ind w:left="360"/>
              <w:spacing w:after="0" w:line="176" w:lineRule="exact"/>
              <w:rPr>
                <w:sz w:val="20"/>
                <w:szCs w:val="20"/>
                <w:color w:val="auto"/>
              </w:rPr>
            </w:pPr>
            <w:r>
              <w:rPr>
                <w:rFonts w:ascii="Arial" w:cs="Arial" w:eastAsia="Arial" w:hAnsi="Arial"/>
                <w:sz w:val="18"/>
                <w:szCs w:val="18"/>
                <w:color w:val="auto"/>
              </w:rPr>
              <w:t>8/28/2017</w:t>
            </w:r>
          </w:p>
        </w:tc>
        <w:tc>
          <w:tcPr>
            <w:tcW w:w="106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001-37566</w:t>
            </w:r>
          </w:p>
        </w:tc>
        <w:tc>
          <w:tcPr>
            <w:tcW w:w="0" w:type="dxa"/>
            <w:vAlign w:val="bottom"/>
          </w:tcPr>
          <w:p>
            <w:pPr>
              <w:spacing w:after="0"/>
              <w:rPr>
                <w:sz w:val="1"/>
                <w:szCs w:val="1"/>
                <w:color w:val="auto"/>
              </w:rPr>
            </w:pPr>
          </w:p>
        </w:tc>
      </w:tr>
      <w:tr>
        <w:trPr>
          <w:trHeight w:val="284"/>
        </w:trPr>
        <w:tc>
          <w:tcPr>
            <w:tcW w:w="10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5140" w:type="dxa"/>
            <w:vAlign w:val="bottom"/>
            <w:gridSpan w:val="1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Certification of Chief Executive Officer required by</w:t>
              </w:r>
            </w:hyperlink>
          </w:p>
        </w:tc>
        <w:tc>
          <w:tcPr>
            <w:tcW w:w="2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Rule 13a-14(a) or Rule 15d-14(a).</w:t>
              </w:r>
            </w:hyperlink>
          </w:p>
        </w:tc>
        <w:tc>
          <w:tcPr>
            <w:tcW w:w="1400" w:type="dxa"/>
            <w:vAlign w:val="bottom"/>
            <w:gridSpan w:val="4"/>
          </w:tcPr>
          <w:p>
            <w:pPr>
              <w:spacing w:after="0"/>
              <w:rPr>
                <w:sz w:val="17"/>
                <w:szCs w:val="17"/>
                <w:color w:val="auto"/>
              </w:rPr>
            </w:pPr>
          </w:p>
        </w:tc>
        <w:tc>
          <w:tcPr>
            <w:tcW w:w="2880" w:type="dxa"/>
            <w:vAlign w:val="bottom"/>
          </w:tcPr>
          <w:p>
            <w:pPr>
              <w:ind w:left="640"/>
              <w:spacing w:after="0" w:line="196" w:lineRule="exact"/>
              <w:rPr>
                <w:sz w:val="20"/>
                <w:szCs w:val="20"/>
                <w:color w:val="auto"/>
              </w:rPr>
            </w:pPr>
            <w:r>
              <w:rPr>
                <w:rFonts w:ascii="Arial" w:cs="Arial" w:eastAsia="Arial" w:hAnsi="Arial"/>
                <w:sz w:val="18"/>
                <w:szCs w:val="18"/>
                <w:color w:val="auto"/>
              </w:rPr>
              <w:t>X</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31.2</w:t>
            </w:r>
          </w:p>
        </w:tc>
        <w:tc>
          <w:tcPr>
            <w:tcW w:w="37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Certification of Chief Financial Officer required by</w:t>
              </w:r>
            </w:hyperlink>
          </w:p>
        </w:tc>
        <w:tc>
          <w:tcPr>
            <w:tcW w:w="1440" w:type="dxa"/>
            <w:vAlign w:val="bottom"/>
            <w:tcBorders>
              <w:bottom w:val="single" w:sz="8" w:color="CCEEFF"/>
            </w:tcBorders>
            <w:gridSpan w:val="5"/>
            <w:shd w:val="clear" w:color="auto" w:fill="CCEEFF"/>
          </w:tcPr>
          <w:p>
            <w:pPr>
              <w:spacing w:after="0"/>
              <w:rPr>
                <w:sz w:val="15"/>
                <w:szCs w:val="15"/>
                <w:color w:val="auto"/>
              </w:rPr>
            </w:pPr>
          </w:p>
        </w:tc>
        <w:tc>
          <w:tcPr>
            <w:tcW w:w="28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140" w:type="dxa"/>
            <w:vAlign w:val="bottom"/>
            <w:gridSpan w:val="10"/>
            <w:shd w:val="clear" w:color="auto" w:fill="CCEEFF"/>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Rule 13a-14(a) or Rule 15d-14(a).</w:t>
              </w:r>
            </w:hyperlink>
          </w:p>
        </w:tc>
        <w:tc>
          <w:tcPr>
            <w:tcW w:w="288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X</w:t>
            </w: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32.1*</w:t>
            </w:r>
          </w:p>
        </w:tc>
        <w:tc>
          <w:tcPr>
            <w:tcW w:w="5140" w:type="dxa"/>
            <w:vAlign w:val="bottom"/>
            <w:gridSpan w:val="10"/>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Certification required by Rule 13a-14(b) or Rule 15d-14(b)</w:t>
              </w:r>
            </w:hyperlink>
          </w:p>
        </w:tc>
        <w:tc>
          <w:tcPr>
            <w:tcW w:w="2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60" w:type="dxa"/>
            <w:vAlign w:val="bottom"/>
            <w:tcBorders>
              <w:top w:val="single" w:sz="8" w:color="0000EE"/>
            </w:tcBorders>
            <w:gridSpan w:val="8"/>
          </w:tcPr>
          <w:p>
            <w:pPr>
              <w:spacing w:after="0" w:line="196" w:lineRule="exact"/>
              <w:rPr>
                <w:rFonts w:ascii="Arial" w:cs="Arial" w:eastAsia="Arial" w:hAnsi="Arial"/>
                <w:sz w:val="18"/>
                <w:szCs w:val="18"/>
                <w:color w:val="0000EE"/>
                <w:w w:val="95"/>
              </w:rPr>
            </w:pPr>
            <w:hyperlink w:anchor="page110">
              <w:r>
                <w:rPr>
                  <w:rFonts w:ascii="Arial" w:cs="Arial" w:eastAsia="Arial" w:hAnsi="Arial"/>
                  <w:sz w:val="18"/>
                  <w:szCs w:val="18"/>
                  <w:color w:val="0000EE"/>
                  <w:w w:val="95"/>
                </w:rPr>
                <w:t>and Section 1350 of Chapter 63 of Title 18 of the United</w:t>
              </w:r>
            </w:hyperlink>
          </w:p>
        </w:tc>
        <w:tc>
          <w:tcPr>
            <w:tcW w:w="880" w:type="dxa"/>
            <w:vAlign w:val="bottom"/>
            <w:gridSpan w:val="2"/>
          </w:tcPr>
          <w:p>
            <w:pPr>
              <w:spacing w:after="0"/>
              <w:rPr>
                <w:sz w:val="17"/>
                <w:szCs w:val="17"/>
                <w:color w:val="auto"/>
              </w:rPr>
            </w:pPr>
          </w:p>
        </w:tc>
        <w:tc>
          <w:tcPr>
            <w:tcW w:w="2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States Code (18 U.S.C. §1350).</w:t>
              </w:r>
            </w:hyperlink>
          </w:p>
        </w:tc>
        <w:tc>
          <w:tcPr>
            <w:tcW w:w="1020" w:type="dxa"/>
            <w:vAlign w:val="bottom"/>
            <w:gridSpan w:val="3"/>
          </w:tcPr>
          <w:p>
            <w:pPr>
              <w:spacing w:after="0"/>
              <w:rPr>
                <w:sz w:val="17"/>
                <w:szCs w:val="17"/>
                <w:color w:val="auto"/>
              </w:rPr>
            </w:pPr>
          </w:p>
        </w:tc>
        <w:tc>
          <w:tcPr>
            <w:tcW w:w="2880" w:type="dxa"/>
            <w:vAlign w:val="bottom"/>
          </w:tcPr>
          <w:p>
            <w:pPr>
              <w:ind w:left="640"/>
              <w:spacing w:after="0" w:line="196" w:lineRule="exact"/>
              <w:rPr>
                <w:sz w:val="20"/>
                <w:szCs w:val="20"/>
                <w:color w:val="auto"/>
              </w:rPr>
            </w:pPr>
            <w:r>
              <w:rPr>
                <w:rFonts w:ascii="Arial" w:cs="Arial" w:eastAsia="Arial" w:hAnsi="Arial"/>
                <w:sz w:val="18"/>
                <w:szCs w:val="18"/>
                <w:color w:val="auto"/>
              </w:rPr>
              <w:t>X</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32.2*</w:t>
            </w:r>
          </w:p>
        </w:tc>
        <w:tc>
          <w:tcPr>
            <w:tcW w:w="5140" w:type="dxa"/>
            <w:vAlign w:val="bottom"/>
            <w:gridSpan w:val="10"/>
            <w:shd w:val="clear" w:color="auto" w:fill="CCEEFF"/>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Certification required by Rule 13a-14(b) or Rule 15d-14(b)</w:t>
              </w:r>
            </w:hyperlink>
          </w:p>
        </w:tc>
        <w:tc>
          <w:tcPr>
            <w:tcW w:w="28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w w:val="95"/>
              </w:rPr>
            </w:pPr>
            <w:hyperlink w:anchor="page111">
              <w:r>
                <w:rPr>
                  <w:rFonts w:ascii="Arial" w:cs="Arial" w:eastAsia="Arial" w:hAnsi="Arial"/>
                  <w:sz w:val="18"/>
                  <w:szCs w:val="18"/>
                  <w:color w:val="0000EE"/>
                  <w:w w:val="95"/>
                </w:rPr>
                <w:t>and Section 1350 of Chapter 63 of Title 18 of the United</w:t>
              </w:r>
            </w:hyperlink>
          </w:p>
        </w:tc>
        <w:tc>
          <w:tcPr>
            <w:tcW w:w="880" w:type="dxa"/>
            <w:vAlign w:val="bottom"/>
            <w:tcBorders>
              <w:top w:val="single" w:sz="8" w:color="CCEEFF"/>
            </w:tcBorders>
            <w:gridSpan w:val="2"/>
            <w:shd w:val="clear" w:color="auto" w:fill="CCEEFF"/>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States Code (18 U.S.C. §1350).</w:t>
              </w:r>
            </w:hyperlink>
          </w:p>
        </w:tc>
        <w:tc>
          <w:tcPr>
            <w:tcW w:w="184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10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ind w:left="640"/>
              <w:spacing w:after="0" w:line="196" w:lineRule="exact"/>
              <w:rPr>
                <w:sz w:val="20"/>
                <w:szCs w:val="20"/>
                <w:color w:val="auto"/>
              </w:rPr>
            </w:pPr>
            <w:r>
              <w:rPr>
                <w:rFonts w:ascii="Arial" w:cs="Arial" w:eastAsia="Arial" w:hAnsi="Arial"/>
                <w:sz w:val="18"/>
                <w:szCs w:val="18"/>
                <w:color w:val="auto"/>
              </w:rPr>
              <w:t>X</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4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2880" w:type="dxa"/>
            <w:vAlign w:val="bottom"/>
          </w:tcPr>
          <w:p>
            <w:pPr>
              <w:ind w:left="640"/>
              <w:spacing w:after="0"/>
              <w:rPr>
                <w:sz w:val="20"/>
                <w:szCs w:val="20"/>
                <w:color w:val="auto"/>
              </w:rPr>
            </w:pPr>
            <w:r>
              <w:rPr>
                <w:rFonts w:ascii="Arial" w:cs="Arial" w:eastAsia="Arial" w:hAnsi="Arial"/>
                <w:sz w:val="18"/>
                <w:szCs w:val="18"/>
                <w:color w:val="auto"/>
              </w:rPr>
              <w:t>X</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2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X</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880" w:type="dxa"/>
            <w:vAlign w:val="bottom"/>
          </w:tcPr>
          <w:p>
            <w:pPr>
              <w:ind w:left="640"/>
              <w:spacing w:after="0"/>
              <w:rPr>
                <w:sz w:val="20"/>
                <w:szCs w:val="20"/>
                <w:color w:val="auto"/>
              </w:rPr>
            </w:pPr>
            <w:r>
              <w:rPr>
                <w:rFonts w:ascii="Arial" w:cs="Arial" w:eastAsia="Arial" w:hAnsi="Arial"/>
                <w:sz w:val="18"/>
                <w:szCs w:val="18"/>
                <w:color w:val="auto"/>
              </w:rPr>
              <w:t>X</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X</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2880" w:type="dxa"/>
            <w:vAlign w:val="bottom"/>
          </w:tcPr>
          <w:p>
            <w:pPr>
              <w:ind w:left="640"/>
              <w:spacing w:after="0"/>
              <w:rPr>
                <w:sz w:val="20"/>
                <w:szCs w:val="20"/>
                <w:color w:val="auto"/>
              </w:rPr>
            </w:pPr>
            <w:r>
              <w:rPr>
                <w:rFonts w:ascii="Arial" w:cs="Arial" w:eastAsia="Arial" w:hAnsi="Arial"/>
                <w:sz w:val="18"/>
                <w:szCs w:val="18"/>
                <w:color w:val="auto"/>
              </w:rPr>
              <w:t>X</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X</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certifications attached as Exhibit 32.1 and Exhibit 32.2 that accompany this Quarterly Report on Form 10-Q are not deemed filed with the</w:t>
      </w:r>
    </w:p>
    <w:p>
      <w:pPr>
        <w:spacing w:after="0" w:line="35" w:lineRule="exact"/>
        <w:rPr>
          <w:sz w:val="20"/>
          <w:szCs w:val="20"/>
          <w:color w:val="auto"/>
        </w:rPr>
      </w:pPr>
    </w:p>
    <w:p>
      <w:pPr>
        <w:jc w:val="both"/>
        <w:ind w:left="460" w:right="180"/>
        <w:spacing w:after="0" w:line="250" w:lineRule="auto"/>
        <w:rPr>
          <w:sz w:val="20"/>
          <w:szCs w:val="20"/>
          <w:color w:val="auto"/>
        </w:rPr>
      </w:pPr>
      <w:r>
        <w:rPr>
          <w:rFonts w:ascii="Arial" w:cs="Arial" w:eastAsia="Arial" w:hAnsi="Arial"/>
          <w:sz w:val="18"/>
          <w:szCs w:val="18"/>
          <w:color w:val="auto"/>
        </w:rPr>
        <w:t>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1" w:lineRule="exact"/>
        <w:rPr>
          <w:sz w:val="20"/>
          <w:szCs w:val="20"/>
          <w:color w:val="auto"/>
        </w:rPr>
      </w:pPr>
    </w:p>
    <w:p>
      <w:pPr>
        <w:ind w:left="460" w:right="40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schedules and exhibits to this exhibit have been omitted pursuant to Item 601(b)(2) of Regulation S-K. A copy of any omitted schedule and/or exhibit will be furnished to the SEC upon request.</w:t>
      </w:r>
    </w:p>
    <w:p>
      <w:pPr>
        <w:spacing w:after="0" w:line="1"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contract or compensatory plans or arrangements.</w:t>
      </w:r>
    </w:p>
    <w:p>
      <w:pPr>
        <w:spacing w:after="0" w:line="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Confidential treatment has been requested or granted as to certain portions, which portions have been omitted and filed separately with the SEC.</w:t>
      </w:r>
    </w:p>
    <w:p>
      <w:pPr>
        <w:spacing w:after="0" w:line="154"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63</w:t>
      </w:r>
    </w:p>
    <w:p>
      <w:pPr>
        <w:sectPr>
          <w:pgSz w:w="11900" w:h="16838" w:orient="portrait"/>
          <w:cols w:equalWidth="0" w:num="1">
            <w:col w:w="11420"/>
          </w:cols>
          <w:pgMar w:left="240" w:top="108"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SYNLOGIC,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J</w:t>
      </w:r>
      <w:r>
        <w:rPr>
          <w:rFonts w:ascii="Arial" w:cs="Arial" w:eastAsia="Arial" w:hAnsi="Arial"/>
          <w:sz w:val="15"/>
          <w:szCs w:val="15"/>
          <w:color w:val="auto"/>
        </w:rPr>
        <w:t>OSE</w:t>
      </w:r>
      <w:r>
        <w:rPr>
          <w:rFonts w:ascii="Arial" w:cs="Arial" w:eastAsia="Arial" w:hAnsi="Arial"/>
          <w:sz w:val="18"/>
          <w:szCs w:val="18"/>
          <w:color w:val="auto"/>
        </w:rPr>
        <w:t xml:space="preserve"> C</w:t>
      </w:r>
      <w:r>
        <w:rPr>
          <w:rFonts w:ascii="Arial" w:cs="Arial" w:eastAsia="Arial" w:hAnsi="Arial"/>
          <w:sz w:val="15"/>
          <w:szCs w:val="15"/>
          <w:color w:val="auto"/>
        </w:rPr>
        <w:t>ARLOS</w:t>
      </w:r>
      <w:r>
        <w:rPr>
          <w:rFonts w:ascii="Arial" w:cs="Arial" w:eastAsia="Arial" w:hAnsi="Arial"/>
          <w:sz w:val="18"/>
          <w:szCs w:val="18"/>
          <w:color w:val="auto"/>
        </w:rPr>
        <w:t xml:space="preserve"> G</w:t>
      </w:r>
      <w:r>
        <w:rPr>
          <w:rFonts w:ascii="Arial" w:cs="Arial" w:eastAsia="Arial" w:hAnsi="Arial"/>
          <w:sz w:val="15"/>
          <w:szCs w:val="15"/>
          <w:color w:val="auto"/>
        </w:rPr>
        <w:t>UTIÉRREZ</w:t>
      </w:r>
      <w:r>
        <w:rPr>
          <w:rFonts w:ascii="Arial" w:cs="Arial" w:eastAsia="Arial" w:hAnsi="Arial"/>
          <w:sz w:val="18"/>
          <w:szCs w:val="18"/>
          <w:color w:val="auto"/>
        </w:rPr>
        <w:t>-R</w:t>
      </w:r>
      <w:r>
        <w:rPr>
          <w:rFonts w:ascii="Arial" w:cs="Arial" w:eastAsia="Arial" w:hAnsi="Arial"/>
          <w:sz w:val="15"/>
          <w:szCs w:val="15"/>
          <w:color w:val="auto"/>
        </w:rPr>
        <w:t>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Jose Carlos Gutiérrez-Ramos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w:t>
      </w:r>
      <w:r>
        <w:rPr>
          <w:rFonts w:ascii="Arial" w:cs="Arial" w:eastAsia="Arial" w:hAnsi="Arial"/>
          <w:sz w:val="15"/>
          <w:szCs w:val="15"/>
          <w:color w:val="auto"/>
        </w:rPr>
        <w:t>ODD</w:t>
      </w:r>
      <w:r>
        <w:rPr>
          <w:rFonts w:ascii="Arial" w:cs="Arial" w:eastAsia="Arial" w:hAnsi="Arial"/>
          <w:sz w:val="18"/>
          <w:szCs w:val="18"/>
          <w:color w:val="auto"/>
        </w:rPr>
        <w:t xml:space="preserve"> S</w:t>
      </w:r>
      <w:r>
        <w:rPr>
          <w:rFonts w:ascii="Arial" w:cs="Arial" w:eastAsia="Arial" w:hAnsi="Arial"/>
          <w:sz w:val="15"/>
          <w:szCs w:val="15"/>
          <w:color w:val="auto"/>
        </w:rPr>
        <w:t>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Todd Shegog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(Principal Financial Officer and Principal Accounting</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80"/>
          </w:cols>
          <w:pgMar w:left="240" w:top="459" w:right="37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SYNLOGIC,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STOCK INCENTIVE PLAN</w:t>
      </w:r>
    </w:p>
    <w:p>
      <w:pPr>
        <w:spacing w:after="0" w:line="256"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Unless otherwise specified or unless the context otherwise requires, the following terms, as used in this Synlogic, Inc. 2017 Stock Incentive Plan, have the following meanings:</w:t>
      </w:r>
    </w:p>
    <w:p>
      <w:pPr>
        <w:spacing w:after="0" w:line="62"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62"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or other entity which, for purposes of Section 424 of the Code, is a parent or subsidiary of the Company, direct or indirect.</w:t>
      </w:r>
    </w:p>
    <w:p>
      <w:pPr>
        <w:spacing w:after="0" w:line="62"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117"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with respect to a Participant (a) dishonesty with respect to the Company or any Affiliate, (b) insubordination, substantial malfeasance or non-feasance of duty, (c) unauthorized disclosure of confidential information, (d) breach by the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the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xml:space="preserve"> means the United States Internal Revenue Code of 1986, as amended including any successor statute, regulation and guidance thereto.</w:t>
      </w:r>
    </w:p>
    <w:p>
      <w:pPr>
        <w:spacing w:after="0" w:line="14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$0.0001 par value per share.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Synlogic, Inc., a Delaware corporation.</w:t>
      </w:r>
    </w:p>
    <w:p>
      <w:pPr>
        <w:sectPr>
          <w:pgSz w:w="11900" w:h="16838" w:orient="portrait"/>
          <w:cols w:equalWidth="0" w:num="1">
            <w:col w:w="11420"/>
          </w:cols>
          <w:pgMar w:left="240" w:top="121" w:right="239" w:bottom="1440" w:gutter="0" w:footer="0" w:header="0"/>
        </w:sectPr>
      </w:pPr>
    </w:p>
    <w:bookmarkStart w:id="68" w:name="page69"/>
    <w:bookmarkEnd w:id="68"/>
    <w:p>
      <w:pPr>
        <w:ind w:right="140"/>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Consultant</w:t>
      </w:r>
      <w:r>
        <w:rPr>
          <w:rFonts w:ascii="Arial" w:cs="Arial" w:eastAsia="Arial" w:hAnsi="Arial"/>
          <w:sz w:val="18"/>
          <w:szCs w:val="18"/>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Employee</w:t>
      </w:r>
      <w:r>
        <w:rPr>
          <w:rFonts w:ascii="Arial" w:cs="Arial" w:eastAsia="Arial" w:hAnsi="Arial"/>
          <w:sz w:val="16"/>
          <w:szCs w:val="16"/>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117" w:lineRule="exact"/>
        <w:rPr>
          <w:sz w:val="20"/>
          <w:szCs w:val="20"/>
          <w:color w:val="auto"/>
        </w:rPr>
      </w:pPr>
    </w:p>
    <w:p>
      <w:pPr>
        <w:jc w:val="both"/>
        <w:ind w:right="120" w:firstLine="421"/>
        <w:spacing w:after="0" w:line="259"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78" w:lineRule="exact"/>
        <w:rPr>
          <w:rFonts w:ascii="Arial" w:cs="Arial" w:eastAsia="Arial" w:hAnsi="Arial"/>
          <w:sz w:val="18"/>
          <w:szCs w:val="18"/>
          <w:color w:val="auto"/>
        </w:rPr>
      </w:pPr>
    </w:p>
    <w:p>
      <w:pPr>
        <w:ind w:right="40" w:firstLine="421"/>
        <w:spacing w:after="0" w:line="257"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most recent trading day on which Common Stock was traded on the applicable date and if such applicable date is not a trading day, the last market trading day prior to such date; and</w:t>
      </w:r>
    </w:p>
    <w:p>
      <w:pPr>
        <w:spacing w:after="0" w:line="80" w:lineRule="exact"/>
        <w:rPr>
          <w:rFonts w:ascii="Arial" w:cs="Arial" w:eastAsia="Arial" w:hAnsi="Arial"/>
          <w:sz w:val="18"/>
          <w:szCs w:val="18"/>
          <w:color w:val="auto"/>
        </w:rPr>
      </w:pPr>
    </w:p>
    <w:p>
      <w:pPr>
        <w:ind w:right="360" w:firstLine="421"/>
        <w:spacing w:after="0" w:line="277"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Common Stock is neither listed on a national securities exchange nor traded in the over-the-counter market, such value as the Administrator, in good faith, shall determine.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1160" w:top="274" w:right="259" w:bottom="1440" w:gutter="0" w:footer="0" w:header="0"/>
        </w:sectPr>
      </w:pPr>
    </w:p>
    <w:bookmarkStart w:id="69" w:name="page70"/>
    <w:bookmarkEnd w:id="69"/>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w:t>
      </w:r>
      <w:r>
        <w:rPr>
          <w:rFonts w:ascii="Arial" w:cs="Arial" w:eastAsia="Arial" w:hAnsi="Arial"/>
          <w:sz w:val="18"/>
          <w:szCs w:val="18"/>
          <w:color w:val="auto"/>
        </w:rPr>
        <w:t xml:space="preserve"> means this Synlogic, Inc. 201</w:t>
      </w:r>
      <w:r>
        <w:rPr>
          <w:rFonts w:ascii="Arial" w:cs="Arial" w:eastAsia="Arial" w:hAnsi="Arial"/>
          <w:sz w:val="18"/>
          <w:szCs w:val="18"/>
          <w:b w:val="1"/>
          <w:bCs w:val="1"/>
          <w:color w:val="auto"/>
        </w:rPr>
        <w:t>7</w:t>
      </w:r>
      <w:r>
        <w:rPr>
          <w:rFonts w:ascii="Arial" w:cs="Arial" w:eastAsia="Arial" w:hAnsi="Arial"/>
          <w:sz w:val="18"/>
          <w:szCs w:val="18"/>
          <w:color w:val="auto"/>
        </w:rPr>
        <w:t xml:space="preserve"> Stock Incentive Plan.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117" w:lineRule="exact"/>
        <w:rPr>
          <w:sz w:val="20"/>
          <w:szCs w:val="20"/>
          <w:color w:val="auto"/>
        </w:rPr>
      </w:pPr>
    </w:p>
    <w:p>
      <w:pPr>
        <w:ind w:left="920" w:right="60"/>
        <w:spacing w:after="0" w:line="286" w:lineRule="auto"/>
        <w:rPr>
          <w:sz w:val="20"/>
          <w:szCs w:val="20"/>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57"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117"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62"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319"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335"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17" w:lineRule="exact"/>
        <w:rPr>
          <w:rFonts w:ascii="Arial" w:cs="Arial" w:eastAsia="Arial" w:hAnsi="Arial"/>
          <w:sz w:val="18"/>
          <w:szCs w:val="18"/>
          <w:color w:val="auto"/>
        </w:rPr>
      </w:pPr>
    </w:p>
    <w:p>
      <w:pPr>
        <w:ind w:right="20" w:firstLine="464"/>
        <w:spacing w:after="0" w:line="264" w:lineRule="auto"/>
        <w:tabs>
          <w:tab w:leader="none" w:pos="7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number of Shares which may be issued from time to time pursuant to this Plan shall be 3,214,926 of shares of Common Stock, or the equivalent of such number of Shares after the Administrator, in its sole discretion, has interpreted the effect of any stock split, stock dividend, combination, recapitalization or similar transaction in accordance with Paragraph 24 of the Plan.</w:t>
      </w:r>
    </w:p>
    <w:p>
      <w:pPr>
        <w:spacing w:after="0" w:line="181" w:lineRule="exact"/>
        <w:rPr>
          <w:rFonts w:ascii="Arial" w:cs="Arial" w:eastAsia="Arial" w:hAnsi="Arial"/>
          <w:sz w:val="18"/>
          <w:szCs w:val="18"/>
          <w:color w:val="auto"/>
        </w:rPr>
      </w:pPr>
    </w:p>
    <w:p>
      <w:pPr>
        <w:ind w:right="40" w:firstLine="464"/>
        <w:spacing w:after="0" w:line="257" w:lineRule="auto"/>
        <w:tabs>
          <w:tab w:leader="none" w:pos="7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 or an Affiliate’s tax</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70" w:name="page71"/>
    <w:bookmarkEnd w:id="70"/>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314"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62" w:lineRule="exact"/>
        <w:rPr>
          <w:sz w:val="20"/>
          <w:szCs w:val="20"/>
          <w:color w:val="auto"/>
        </w:rPr>
      </w:pPr>
    </w:p>
    <w:p>
      <w:pPr>
        <w:ind w:right="360" w:firstLine="464"/>
        <w:spacing w:after="0" w:line="277" w:lineRule="auto"/>
        <w:tabs>
          <w:tab w:leader="none" w:pos="7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117" w:lineRule="exact"/>
        <w:rPr>
          <w:rFonts w:ascii="Arial" w:cs="Arial" w:eastAsia="Arial" w:hAnsi="Arial"/>
          <w:sz w:val="18"/>
          <w:szCs w:val="18"/>
          <w:color w:val="auto"/>
        </w:rPr>
      </w:pPr>
    </w:p>
    <w:p>
      <w:pPr>
        <w:ind w:firstLine="464"/>
        <w:spacing w:after="0" w:line="273" w:lineRule="auto"/>
        <w:tabs>
          <w:tab w:leader="none" w:pos="701" w:val="left"/>
        </w:tabs>
        <w:numPr>
          <w:ilvl w:val="0"/>
          <w:numId w:val="62"/>
        </w:numPr>
        <w:rPr>
          <w:rFonts w:ascii="Arial" w:cs="Arial" w:eastAsia="Arial" w:hAnsi="Arial"/>
          <w:sz w:val="17"/>
          <w:szCs w:val="17"/>
          <w:color w:val="auto"/>
        </w:rPr>
      </w:pPr>
      <w:r>
        <w:rPr>
          <w:rFonts w:ascii="Arial" w:cs="Arial" w:eastAsia="Arial" w:hAnsi="Arial"/>
          <w:sz w:val="17"/>
          <w:szCs w:val="17"/>
          <w:color w:val="auto"/>
        </w:rPr>
        <w:t>Amend any term or condition of any outstanding Stock Right, including, without limitation, to reduce or increase the exercise price or purchase price, accelerate the vesting schedule or extend the expiration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w:t>
      </w:r>
    </w:p>
    <w:p>
      <w:pPr>
        <w:spacing w:after="0" w:line="70" w:lineRule="exact"/>
        <w:rPr>
          <w:rFonts w:ascii="Arial" w:cs="Arial" w:eastAsia="Arial" w:hAnsi="Arial"/>
          <w:sz w:val="17"/>
          <w:szCs w:val="17"/>
          <w:color w:val="auto"/>
        </w:rPr>
      </w:pPr>
    </w:p>
    <w:p>
      <w:pPr>
        <w:ind w:right="20" w:firstLine="464"/>
        <w:spacing w:after="0" w:line="259" w:lineRule="auto"/>
        <w:tabs>
          <w:tab w:leader="none" w:pos="6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Buy out for a payment in cash or Shares, a Stock Right previously granted and/or cancel any such Stock Right and grant in substitution therefor other Stock Rights, covering the same or a different number of Shares and having an exercise price or purchase price per share which may be lower or higher than the exercise price or purchase price of the cancelled Stock Right, based on such terms and conditions as the Administrator shall establish and the Participant shall accept; and</w:t>
      </w:r>
    </w:p>
    <w:p>
      <w:pPr>
        <w:spacing w:after="0" w:line="78" w:lineRule="exact"/>
        <w:rPr>
          <w:rFonts w:ascii="Arial" w:cs="Arial" w:eastAsia="Arial" w:hAnsi="Arial"/>
          <w:sz w:val="18"/>
          <w:szCs w:val="18"/>
          <w:color w:val="auto"/>
        </w:rPr>
      </w:pPr>
    </w:p>
    <w:p>
      <w:pPr>
        <w:ind w:right="120" w:firstLine="464"/>
        <w:spacing w:after="0" w:line="286" w:lineRule="auto"/>
        <w:tabs>
          <w:tab w:leader="none" w:pos="711" w:val="left"/>
        </w:tabs>
        <w:numPr>
          <w:ilvl w:val="0"/>
          <w:numId w:val="62"/>
        </w:numPr>
        <w:rPr>
          <w:rFonts w:ascii="Arial" w:cs="Arial" w:eastAsia="Arial" w:hAnsi="Arial"/>
          <w:sz w:val="17"/>
          <w:szCs w:val="17"/>
          <w:color w:val="auto"/>
        </w:rPr>
      </w:pPr>
      <w:r>
        <w:rPr>
          <w:rFonts w:ascii="Arial" w:cs="Arial" w:eastAsia="Arial" w:hAnsi="Arial"/>
          <w:sz w:val="17"/>
          <w:szCs w:val="17"/>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71" w:name="page72"/>
    <w:bookmarkEnd w:id="71"/>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w:t>
      </w:r>
    </w:p>
    <w:p>
      <w:pPr>
        <w:spacing w:after="0" w:line="33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Administrator will, in its sole discretion, name the Participants in the Plan; provided, however, that each Participant must be an Employee, director or Consultant of the Company or of an Affiliate at the time a Stock Right is granted, or have received a grant of a profits interest from Synlogic, LLC as an employee of or consultant to Synlogic, LLC and be granted a Stock Right as a former employee of or consultant to Synlogic, LLC pursuant to the terms of the merger of Synlogic, LLC into the Company.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32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46" w:lineRule="exact"/>
        <w:rPr>
          <w:sz w:val="20"/>
          <w:szCs w:val="20"/>
          <w:color w:val="auto"/>
        </w:rPr>
      </w:pPr>
    </w:p>
    <w:p>
      <w:pPr>
        <w:ind w:right="240" w:firstLine="464"/>
        <w:spacing w:after="0" w:line="277" w:lineRule="auto"/>
        <w:tabs>
          <w:tab w:leader="none" w:pos="70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Non-Qualified Options</w:t>
      </w:r>
      <w:r>
        <w:rPr>
          <w:rFonts w:ascii="Arial" w:cs="Arial" w:eastAsia="Arial" w:hAnsi="Arial"/>
          <w:sz w:val="18"/>
          <w:szCs w:val="18"/>
          <w:color w:val="auto"/>
        </w:rPr>
        <w:t>: Each Option intended to be a Non-Qualified Option shall be subject to the terms and conditions which the Administrator determines to be appropriate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best interest of the Company, subject to the following minimum standards for any such Non-Qualified Option:</w:t>
      </w:r>
    </w:p>
    <w:p>
      <w:pPr>
        <w:spacing w:after="0" w:line="131" w:lineRule="exact"/>
        <w:rPr>
          <w:sz w:val="20"/>
          <w:szCs w:val="20"/>
          <w:color w:val="auto"/>
        </w:rPr>
      </w:pPr>
    </w:p>
    <w:p>
      <w:pPr>
        <w:ind w:left="1480" w:right="40" w:hanging="567"/>
        <w:spacing w:after="0" w:line="264"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Agreement shall state the exercise price (per share) of the Shares covered by each Option, which exercise price shall be determined by the Administrator and shall be at least equal to the Fair Market Value per share of the Common Stock on the date of grant of the Option.</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130" w:lineRule="exact"/>
        <w:rPr>
          <w:rFonts w:ascii="Arial" w:cs="Arial" w:eastAsia="Arial" w:hAnsi="Arial"/>
          <w:sz w:val="18"/>
          <w:szCs w:val="18"/>
          <w:color w:val="auto"/>
        </w:rPr>
      </w:pPr>
    </w:p>
    <w:p>
      <w:pPr>
        <w:ind w:left="1480" w:right="300" w:hanging="567"/>
        <w:spacing w:after="0" w:line="286" w:lineRule="auto"/>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Option Periods</w:t>
      </w:r>
      <w:r>
        <w:rPr>
          <w:rFonts w:ascii="Arial" w:cs="Arial" w:eastAsia="Arial" w:hAnsi="Arial"/>
          <w:sz w:val="17"/>
          <w:szCs w:val="17"/>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70" w:lineRule="exact"/>
        <w:rPr>
          <w:rFonts w:ascii="Arial" w:cs="Arial" w:eastAsia="Arial" w:hAnsi="Arial"/>
          <w:sz w:val="17"/>
          <w:szCs w:val="17"/>
          <w:color w:val="auto"/>
        </w:rPr>
      </w:pPr>
    </w:p>
    <w:p>
      <w:pPr>
        <w:ind w:left="1480" w:right="160" w:hanging="567"/>
        <w:spacing w:after="0" w:line="264"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Option Conditions</w:t>
      </w:r>
      <w:r>
        <w:rPr>
          <w:rFonts w:ascii="Arial" w:cs="Arial" w:eastAsia="Arial" w:hAnsi="Arial"/>
          <w:sz w:val="18"/>
          <w:szCs w:val="18"/>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Participant’s or the Participant’s Survivors’ right to sell or transfer the Shares may be restricted; and</w:t>
      </w:r>
    </w:p>
    <w:p>
      <w:pPr>
        <w:spacing w:after="0" w:line="130" w:lineRule="exact"/>
        <w:rPr>
          <w:rFonts w:ascii="Arial" w:cs="Arial" w:eastAsia="Arial" w:hAnsi="Arial"/>
          <w:sz w:val="18"/>
          <w:szCs w:val="18"/>
          <w:color w:val="auto"/>
        </w:rPr>
      </w:pPr>
    </w:p>
    <w:p>
      <w:pPr>
        <w:ind w:left="1920" w:right="220" w:hanging="440"/>
        <w:spacing w:after="0" w:line="277" w:lineRule="auto"/>
        <w:tabs>
          <w:tab w:leader="none" w:pos="19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75"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62" w:lineRule="exact"/>
        <w:rPr>
          <w:rFonts w:ascii="Arial" w:cs="Arial" w:eastAsia="Arial" w:hAnsi="Arial"/>
          <w:sz w:val="18"/>
          <w:szCs w:val="18"/>
          <w:color w:val="auto"/>
        </w:rPr>
      </w:pPr>
    </w:p>
    <w:p>
      <w:pPr>
        <w:ind w:firstLine="464"/>
        <w:spacing w:after="0" w:line="286" w:lineRule="auto"/>
        <w:tabs>
          <w:tab w:leader="none" w:pos="71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ISOs</w:t>
      </w:r>
      <w:r>
        <w:rPr>
          <w:rFonts w:ascii="Arial" w:cs="Arial" w:eastAsia="Arial" w:hAnsi="Arial"/>
          <w:sz w:val="17"/>
          <w:szCs w:val="17"/>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70" w:lineRule="exact"/>
        <w:rPr>
          <w:rFonts w:ascii="Arial" w:cs="Arial" w:eastAsia="Arial" w:hAnsi="Arial"/>
          <w:sz w:val="17"/>
          <w:szCs w:val="17"/>
          <w:color w:val="auto"/>
        </w:rPr>
      </w:pPr>
    </w:p>
    <w:p>
      <w:pPr>
        <w:ind w:left="1480" w:right="440" w:hanging="567"/>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Non-Qualified Options, as described in Paragraph 6(a) above, except clause (i) thereunder.</w:t>
      </w:r>
    </w:p>
    <w:p>
      <w:pPr>
        <w:spacing w:after="0" w:line="75" w:lineRule="exact"/>
        <w:rPr>
          <w:rFonts w:ascii="Arial" w:cs="Arial" w:eastAsia="Arial" w:hAnsi="Arial"/>
          <w:sz w:val="18"/>
          <w:szCs w:val="18"/>
          <w:color w:val="auto"/>
        </w:rPr>
      </w:pPr>
    </w:p>
    <w:p>
      <w:pPr>
        <w:ind w:left="1480" w:right="120" w:hanging="567"/>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73" w:name="page74"/>
    <w:bookmarkEnd w:id="73"/>
    <w:p>
      <w:pPr>
        <w:ind w:left="1920" w:right="120" w:hanging="440"/>
        <w:spacing w:after="0" w:line="264" w:lineRule="auto"/>
        <w:tabs>
          <w:tab w:leader="none" w:pos="1920" w:val="left"/>
        </w:tabs>
        <w:numPr>
          <w:ilvl w:val="2"/>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 percent (10%)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one hundred percent (100%) of the Fair Market Value per share of the Common Stock on the date of grant of the Option; or</w:t>
      </w:r>
    </w:p>
    <w:p>
      <w:pPr>
        <w:spacing w:after="0" w:line="86" w:lineRule="exact"/>
        <w:rPr>
          <w:rFonts w:ascii="Arial" w:cs="Arial" w:eastAsia="Arial" w:hAnsi="Arial"/>
          <w:sz w:val="18"/>
          <w:szCs w:val="18"/>
          <w:color w:val="auto"/>
        </w:rPr>
      </w:pPr>
    </w:p>
    <w:p>
      <w:pPr>
        <w:ind w:left="1920" w:hanging="440"/>
        <w:spacing w:after="0" w:line="264" w:lineRule="auto"/>
        <w:tabs>
          <w:tab w:leader="none" w:pos="19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More than ten percent (10%) of the total combined voting power of all classes of stock of the Company or an Affiliate, the exercise price per share of the Shares covered by each ISO shall not be less than one hundred ten percent (110%) of the Fair Market Value per share of the Common Stock on the date of grant of the Option.</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130" w:lineRule="exact"/>
        <w:rPr>
          <w:rFonts w:ascii="Arial" w:cs="Arial" w:eastAsia="Arial" w:hAnsi="Arial"/>
          <w:sz w:val="18"/>
          <w:szCs w:val="18"/>
          <w:color w:val="auto"/>
        </w:rPr>
      </w:pPr>
    </w:p>
    <w:p>
      <w:pPr>
        <w:ind w:left="1920" w:right="40" w:hanging="440"/>
        <w:spacing w:after="0" w:line="342" w:lineRule="auto"/>
        <w:tabs>
          <w:tab w:leader="none" w:pos="1920" w:val="left"/>
        </w:tabs>
        <w:numPr>
          <w:ilvl w:val="2"/>
          <w:numId w:val="69"/>
        </w:numPr>
        <w:rPr>
          <w:rFonts w:ascii="Arial" w:cs="Arial" w:eastAsia="Arial" w:hAnsi="Arial"/>
          <w:sz w:val="16"/>
          <w:szCs w:val="16"/>
          <w:color w:val="auto"/>
        </w:rPr>
      </w:pPr>
      <w:r>
        <w:rPr>
          <w:rFonts w:ascii="Arial" w:cs="Arial" w:eastAsia="Arial" w:hAnsi="Arial"/>
          <w:sz w:val="16"/>
          <w:szCs w:val="16"/>
          <w:color w:val="auto"/>
        </w:rPr>
        <w:t xml:space="preserve">Ten percent (10%) </w:t>
      </w:r>
      <w:r>
        <w:rPr>
          <w:rFonts w:ascii="Arial" w:cs="Arial" w:eastAsia="Arial" w:hAnsi="Arial"/>
          <w:sz w:val="16"/>
          <w:szCs w:val="16"/>
          <w:u w:val="single" w:color="auto"/>
          <w:color w:val="auto"/>
        </w:rPr>
        <w:t>or less</w:t>
      </w:r>
      <w:r>
        <w:rPr>
          <w:rFonts w:ascii="Arial" w:cs="Arial" w:eastAsia="Arial" w:hAnsi="Arial"/>
          <w:sz w:val="16"/>
          <w:szCs w:val="16"/>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2"/>
          <w:numId w:val="69"/>
        </w:numPr>
        <w:rPr>
          <w:rFonts w:ascii="Arial" w:cs="Arial" w:eastAsia="Arial" w:hAnsi="Arial"/>
          <w:sz w:val="16"/>
          <w:szCs w:val="16"/>
          <w:color w:val="auto"/>
        </w:rPr>
      </w:pPr>
      <w:r>
        <w:rPr>
          <w:rFonts w:ascii="Arial" w:cs="Arial" w:eastAsia="Arial" w:hAnsi="Arial"/>
          <w:sz w:val="16"/>
          <w:szCs w:val="16"/>
          <w:color w:val="auto"/>
        </w:rPr>
        <w:t>More than ten percent (10%) of the total combined voting power of all classes of stock of the Company or an Affiliate, each ISO shall terminate not more than five (5) years from the date of the grant or at such earlier time as the Option Agreement may provide.</w:t>
      </w:r>
    </w:p>
    <w:p>
      <w:pPr>
        <w:spacing w:after="0" w:line="29" w:lineRule="exact"/>
        <w:rPr>
          <w:rFonts w:ascii="Arial" w:cs="Arial" w:eastAsia="Arial" w:hAnsi="Arial"/>
          <w:sz w:val="16"/>
          <w:szCs w:val="16"/>
          <w:color w:val="auto"/>
        </w:rPr>
      </w:pPr>
    </w:p>
    <w:p>
      <w:pPr>
        <w:ind w:left="1480" w:right="20" w:hanging="567"/>
        <w:spacing w:after="0" w:line="259"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one hundred thousand dollars ($100,000).</w:t>
      </w: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57" w:lineRule="exact"/>
        <w:rPr>
          <w:sz w:val="20"/>
          <w:szCs w:val="20"/>
          <w:color w:val="auto"/>
        </w:rPr>
      </w:pPr>
    </w:p>
    <w:p>
      <w:pPr>
        <w:ind w:left="700" w:hanging="236"/>
        <w:spacing w:after="0"/>
        <w:tabs>
          <w:tab w:leader="none" w:pos="7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Agreement shall state the purchase price per share, if any, of the Shares covered by each Stock Grant, which purchase price shall be</w:t>
      </w:r>
    </w:p>
    <w:p>
      <w:pPr>
        <w:spacing w:after="0" w:line="34"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determined by the Administrator but shall not be less than the minimum consideration required by the Delaware General Corporation Law, if any, on the date of the grant of the Stock Grant;</w:t>
      </w:r>
    </w:p>
    <w:p>
      <w:pPr>
        <w:spacing w:after="0" w:line="75" w:lineRule="exact"/>
        <w:rPr>
          <w:rFonts w:ascii="Arial" w:cs="Arial" w:eastAsia="Arial" w:hAnsi="Arial"/>
          <w:sz w:val="17"/>
          <w:szCs w:val="17"/>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74" w:name="page75"/>
    <w:bookmarkEnd w:id="74"/>
    <w:p>
      <w:pPr>
        <w:ind w:firstLine="464"/>
        <w:spacing w:after="0" w:line="277" w:lineRule="auto"/>
        <w:tabs>
          <w:tab w:leader="none" w:pos="701"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Agreement shall include the terms of any right of the Company to restrict or reacquire the Shares subject to the Stock Grant, including the time and events upon which such rights shall accrue and the purchase price therefor, if any.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373"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(after consideration of applicable securities, tax and accounting implications), by delivery of the grantee’s personal recourse note bearing interest payable not less than annually at no less than one hundred percent (100%) of the applicable Federal rate, as defined in Section 1274(d) of the Code, or (e) at the discretion of the Administrator, in accordance with a cashless exercise program established with a securities brokerage firm, and approved by the Administrator, or (f) at the discretion of the Administrator, by any combination of (a), (b), (c), (d) and (e) above or (g)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75" w:name="page76"/>
    <w:bookmarkEnd w:id="75"/>
    <w:p>
      <w:pPr>
        <w:ind w:left="900" w:hanging="446"/>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IN CONNECTION WITH THE ISSUANCE OF STOCK GRANTS AND STOCK-BASED AWARD AND ISSUE OF SHARES.</w:t>
      </w:r>
    </w:p>
    <w:p>
      <w:pPr>
        <w:spacing w:after="0" w:line="12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purchase price of the Stock Grant or Stock-Based Award, or (c) at the discretion of the Administrator (after consideration of applicable securities, tax and accounting implications), by delivery of the grantee’s personal recourse note bearing interest payable not less than annually at no less than one hundred percent (100%) of the applicable Federal rate, as defined in Section 1274(d) of the Code, or (d) at the discretion of the Administrator, by any combination of (a), (b) and (c) above; or (e) at the discretion of the Administrator, by payment of such other lawful consideration as the Administrator may determine.</w:t>
      </w:r>
    </w:p>
    <w:p>
      <w:pPr>
        <w:spacing w:after="0" w:line="19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337"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314"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76" w:name="page77"/>
    <w:bookmarkEnd w:id="76"/>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ON OPTIONS OF TERMINATION OF SERVICE OTHER THAN FOR CAUSE OR DEATH OR DISABILITY.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otherwise provided in a Participant’s Option Agreement, in the event of a termination of service (whether as an Employee, director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before the Participant has exercised an Option, the following rules apply:</w:t>
      </w:r>
    </w:p>
    <w:p>
      <w:pPr>
        <w:spacing w:after="0" w:line="103" w:lineRule="exact"/>
        <w:rPr>
          <w:sz w:val="20"/>
          <w:szCs w:val="20"/>
          <w:color w:val="auto"/>
        </w:rPr>
      </w:pPr>
    </w:p>
    <w:p>
      <w:pPr>
        <w:ind w:right="80" w:firstLine="464"/>
        <w:spacing w:after="0" w:line="259" w:lineRule="auto"/>
        <w:tabs>
          <w:tab w:leader="none" w:pos="70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w:t>
      </w:r>
    </w:p>
    <w:p>
      <w:pPr>
        <w:spacing w:after="0" w:line="78"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62" w:lineRule="exact"/>
        <w:rPr>
          <w:rFonts w:ascii="Arial" w:cs="Arial" w:eastAsia="Arial" w:hAnsi="Arial"/>
          <w:sz w:val="18"/>
          <w:szCs w:val="18"/>
          <w:color w:val="auto"/>
        </w:rPr>
      </w:pPr>
    </w:p>
    <w:p>
      <w:pPr>
        <w:ind w:right="140" w:firstLine="464"/>
        <w:spacing w:after="0" w:line="302" w:lineRule="auto"/>
        <w:tabs>
          <w:tab w:leader="none" w:pos="701"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spacing w:after="0" w:line="46" w:lineRule="exact"/>
        <w:rPr>
          <w:rFonts w:ascii="Arial" w:cs="Arial" w:eastAsia="Arial" w:hAnsi="Arial"/>
          <w:sz w:val="16"/>
          <w:szCs w:val="16"/>
          <w:color w:val="auto"/>
        </w:rPr>
      </w:pPr>
    </w:p>
    <w:p>
      <w:pPr>
        <w:ind w:firstLine="464"/>
        <w:spacing w:after="0" w:line="259"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of employment, termination of director status or termination of consultancy, but prior to the exercise of an Option, the Administrator or the Board of Directors determines that, either prior or subsequent to the Participant’s termination, the Participant engaged in conduct which would constitute Cause, then such Participant shall forthwith cease to have any right to exercise any Option.</w:t>
      </w:r>
    </w:p>
    <w:p>
      <w:pPr>
        <w:spacing w:after="0" w:line="78" w:lineRule="exact"/>
        <w:rPr>
          <w:rFonts w:ascii="Arial" w:cs="Arial" w:eastAsia="Arial" w:hAnsi="Arial"/>
          <w:sz w:val="18"/>
          <w:szCs w:val="18"/>
          <w:color w:val="auto"/>
        </w:rPr>
      </w:pPr>
    </w:p>
    <w:p>
      <w:pPr>
        <w:ind w:right="120" w:firstLine="464"/>
        <w:spacing w:after="0" w:line="273" w:lineRule="auto"/>
        <w:tabs>
          <w:tab w:leader="none" w:pos="7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Arial" w:cs="Arial" w:eastAsia="Arial" w:hAnsi="Arial"/>
          <w:sz w:val="14"/>
          <w:szCs w:val="14"/>
          <w:color w:val="auto"/>
        </w:rPr>
        <w:t>st</w:t>
      </w:r>
      <w:r>
        <w:rPr>
          <w:rFonts w:ascii="Arial" w:cs="Arial" w:eastAsia="Arial" w:hAnsi="Arial"/>
          <w:sz w:val="17"/>
          <w:szCs w:val="17"/>
          <w:color w:val="auto"/>
        </w:rPr>
        <w:t xml:space="preserve"> day following such leave of absence.</w:t>
      </w:r>
    </w:p>
    <w:p>
      <w:pPr>
        <w:spacing w:after="0" w:line="70" w:lineRule="exact"/>
        <w:rPr>
          <w:rFonts w:ascii="Arial" w:cs="Arial" w:eastAsia="Arial" w:hAnsi="Arial"/>
          <w:sz w:val="17"/>
          <w:szCs w:val="17"/>
          <w:color w:val="auto"/>
        </w:rPr>
      </w:pPr>
    </w:p>
    <w:p>
      <w:pPr>
        <w:ind w:right="80" w:firstLine="464"/>
        <w:spacing w:after="0" w:line="264" w:lineRule="auto"/>
        <w:tabs>
          <w:tab w:leader="none" w:pos="6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77" w:name="page78"/>
    <w:bookmarkEnd w:id="77"/>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ON OPTIONS OF TERMINATION OF SERVICE FOR CAUSE.</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Except as otherwise provided in a Participant’s Option Agreement, the following rules apply if the Participant’s service (whether as an Employee, director or Consultant) with the Company or an Affiliate is terminated for Cause prior to the time that all of his or her outstanding Options have been exercised:</w:t>
      </w:r>
    </w:p>
    <w:p>
      <w:pPr>
        <w:spacing w:after="0" w:line="73" w:lineRule="exact"/>
        <w:rPr>
          <w:sz w:val="20"/>
          <w:szCs w:val="20"/>
          <w:color w:val="auto"/>
        </w:rPr>
      </w:pPr>
    </w:p>
    <w:p>
      <w:pPr>
        <w:ind w:right="380" w:firstLine="464"/>
        <w:spacing w:after="0" w:line="277" w:lineRule="auto"/>
        <w:tabs>
          <w:tab w:leader="none" w:pos="7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terminated.</w:t>
      </w:r>
    </w:p>
    <w:p>
      <w:pPr>
        <w:spacing w:after="0" w:line="62" w:lineRule="exact"/>
        <w:rPr>
          <w:rFonts w:ascii="Arial" w:cs="Arial" w:eastAsia="Arial" w:hAnsi="Arial"/>
          <w:sz w:val="18"/>
          <w:szCs w:val="18"/>
          <w:color w:val="auto"/>
        </w:rPr>
      </w:pPr>
    </w:p>
    <w:p>
      <w:pPr>
        <w:ind w:right="20" w:firstLine="464"/>
        <w:spacing w:after="0" w:line="259"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terminated.</w:t>
      </w:r>
    </w:p>
    <w:p>
      <w:pPr>
        <w:spacing w:after="0" w:line="335" w:lineRule="exact"/>
        <w:rPr>
          <w:sz w:val="20"/>
          <w:szCs w:val="20"/>
          <w:color w:val="auto"/>
        </w:rPr>
      </w:pPr>
    </w:p>
    <w:p>
      <w:pPr>
        <w:ind w:left="460" w:right="4660" w:hanging="6"/>
        <w:spacing w:after="0" w:line="397" w:lineRule="auto"/>
        <w:tabs>
          <w:tab w:leader="none" w:pos="895"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 xml:space="preserve">EFFECT ON OPTIONS OF TERMINATION OF SERVICE FOR DISABILITY. </w:t>
      </w:r>
      <w:r>
        <w:rPr>
          <w:rFonts w:ascii="Arial" w:cs="Arial" w:eastAsia="Arial" w:hAnsi="Arial"/>
          <w:sz w:val="17"/>
          <w:szCs w:val="17"/>
          <w:color w:val="auto"/>
        </w:rPr>
        <w:t>Except as otherwise provided in a Participant’s Option Agreement,</w:t>
      </w:r>
    </w:p>
    <w:p>
      <w:pPr>
        <w:spacing w:after="0" w:line="2" w:lineRule="exact"/>
        <w:rPr>
          <w:sz w:val="20"/>
          <w:szCs w:val="20"/>
          <w:color w:val="auto"/>
        </w:rPr>
      </w:pPr>
    </w:p>
    <w:p>
      <w:pPr>
        <w:ind w:right="380" w:firstLine="464"/>
        <w:spacing w:after="0" w:line="277" w:lineRule="auto"/>
        <w:tabs>
          <w:tab w:leader="none" w:pos="7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75" w:lineRule="exact"/>
        <w:rPr>
          <w:rFonts w:ascii="Arial" w:cs="Arial" w:eastAsia="Arial" w:hAnsi="Arial"/>
          <w:sz w:val="18"/>
          <w:szCs w:val="18"/>
          <w:color w:val="auto"/>
        </w:rPr>
      </w:pPr>
    </w:p>
    <w:p>
      <w:pPr>
        <w:ind w:left="1480" w:right="80" w:hanging="567"/>
        <w:spacing w:after="0" w:line="259"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78" w:lineRule="exact"/>
        <w:rPr>
          <w:rFonts w:ascii="Arial" w:cs="Arial" w:eastAsia="Arial" w:hAnsi="Arial"/>
          <w:sz w:val="18"/>
          <w:szCs w:val="18"/>
          <w:color w:val="auto"/>
        </w:rPr>
      </w:pPr>
    </w:p>
    <w:p>
      <w:pPr>
        <w:jc w:val="both"/>
        <w:ind w:right="80" w:firstLine="464"/>
        <w:spacing w:after="0" w:line="259" w:lineRule="auto"/>
        <w:tabs>
          <w:tab w:leader="none" w:pos="7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78" w:name="page79"/>
    <w:bookmarkEnd w:id="78"/>
    <w:p>
      <w:pPr>
        <w:ind w:right="100" w:firstLine="464"/>
        <w:spacing w:after="0" w:line="259" w:lineRule="auto"/>
        <w:tabs>
          <w:tab w:leader="none" w:pos="701"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335" w:lineRule="exact"/>
        <w:rPr>
          <w:sz w:val="20"/>
          <w:szCs w:val="20"/>
          <w:color w:val="auto"/>
        </w:rPr>
      </w:pPr>
    </w:p>
    <w:p>
      <w:pPr>
        <w:ind w:left="460" w:right="3360" w:hanging="6"/>
        <w:spacing w:after="0" w:line="375" w:lineRule="auto"/>
        <w:tabs>
          <w:tab w:leader="none" w:pos="89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DEATH WHILE AN EMPLOYEE, DIRECTOR OR CONSULTANT. </w:t>
      </w:r>
      <w:r>
        <w:rPr>
          <w:rFonts w:ascii="Arial" w:cs="Arial" w:eastAsia="Arial" w:hAnsi="Arial"/>
          <w:sz w:val="18"/>
          <w:szCs w:val="18"/>
          <w:color w:val="auto"/>
        </w:rPr>
        <w:t>Except as otherwise provided in a Participant’s Option Agreement,</w:t>
      </w:r>
    </w:p>
    <w:p>
      <w:pPr>
        <w:spacing w:after="0" w:line="1" w:lineRule="exact"/>
        <w:rPr>
          <w:sz w:val="20"/>
          <w:szCs w:val="20"/>
          <w:color w:val="auto"/>
        </w:rPr>
      </w:pPr>
    </w:p>
    <w:p>
      <w:pPr>
        <w:ind w:right="20" w:firstLine="464"/>
        <w:spacing w:after="0" w:line="277" w:lineRule="auto"/>
        <w:tabs>
          <w:tab w:leader="none" w:pos="701"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death; and</w:t>
      </w:r>
    </w:p>
    <w:p>
      <w:pPr>
        <w:spacing w:after="0" w:line="130"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73" w:lineRule="exact"/>
        <w:rPr>
          <w:rFonts w:ascii="Arial" w:cs="Arial" w:eastAsia="Arial" w:hAnsi="Arial"/>
          <w:sz w:val="18"/>
          <w:szCs w:val="18"/>
          <w:color w:val="auto"/>
        </w:rPr>
      </w:pPr>
    </w:p>
    <w:p>
      <w:pPr>
        <w:jc w:val="both"/>
        <w:ind w:right="60" w:firstLine="464"/>
        <w:spacing w:after="0" w:line="312" w:lineRule="auto"/>
        <w:tabs>
          <w:tab w:leader="none" w:pos="711"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295"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UNACCEPTED STOCK GRANTS AND STOCK-BASED AWARDS.</w:t>
      </w:r>
    </w:p>
    <w:p>
      <w:pPr>
        <w:spacing w:after="0" w:line="11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the event of a termination of service (whether as an Employee, director or Consultant) with the Company or an Affiliate for any reason before the Participant has accepted a Stock Grant or a Stock-Based Award and paid the purchase price, if required at the time, such grant shall terminate.</w:t>
      </w:r>
    </w:p>
    <w:p>
      <w:pPr>
        <w:spacing w:after="0" w:line="124"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For purposes of this Paragraph 17 and Paragraph 18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79" w:name="page80"/>
    <w:bookmarkEnd w:id="79"/>
    <w:p>
      <w:pPr>
        <w:ind w:right="1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330" w:lineRule="exact"/>
        <w:rPr>
          <w:sz w:val="20"/>
          <w:szCs w:val="20"/>
          <w:color w:val="auto"/>
        </w:rPr>
      </w:pPr>
    </w:p>
    <w:p>
      <w:pPr>
        <w:ind w:left="900" w:right="54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TERMINATION OF SERVICE OTHER THAN FOR CAUSE OR DEATH OR DISABILITY.</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(other than rights to repurchase at then fair market value following termination of service as an Employee, director or Consultant) shall have lapsed, then the Company shall have the right to cancel or repurchase that number of Shares subject to a Stock Grant as to which the Company’s forfeiture or repurchase rights have not lapsed.</w:t>
      </w:r>
    </w:p>
    <w:p>
      <w:pPr>
        <w:spacing w:after="0" w:line="337"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TERMINATION OF SERVICE FOR CAUSE.</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62" w:lineRule="exact"/>
        <w:rPr>
          <w:sz w:val="20"/>
          <w:szCs w:val="20"/>
          <w:color w:val="auto"/>
        </w:rPr>
      </w:pPr>
    </w:p>
    <w:p>
      <w:pPr>
        <w:ind w:right="100" w:firstLine="464"/>
        <w:spacing w:after="0" w:line="277" w:lineRule="auto"/>
        <w:tabs>
          <w:tab w:leader="none" w:pos="7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Shares subject to any Stock Grant that remain subject to forfeiture provisions or as to which the Company shall have a repurchase right shall be immediately forfeited to the Company as of the time the Participant is notified his or her service is terminated for Cause.</w:t>
      </w:r>
    </w:p>
    <w:p>
      <w:pPr>
        <w:spacing w:after="0" w:line="62" w:lineRule="exact"/>
        <w:rPr>
          <w:rFonts w:ascii="Arial" w:cs="Arial" w:eastAsia="Arial" w:hAnsi="Arial"/>
          <w:sz w:val="18"/>
          <w:szCs w:val="18"/>
          <w:color w:val="auto"/>
        </w:rPr>
      </w:pPr>
    </w:p>
    <w:p>
      <w:pPr>
        <w:jc w:val="both"/>
        <w:ind w:right="20" w:firstLine="464"/>
        <w:spacing w:after="0" w:line="302" w:lineRule="auto"/>
        <w:tabs>
          <w:tab w:leader="none" w:pos="711" w:val="left"/>
        </w:tabs>
        <w:numPr>
          <w:ilvl w:val="0"/>
          <w:numId w:val="89"/>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303"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TERMINATION OF SERVICE FOR DISABILITY.</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80" w:name="page81"/>
    <w:bookmarkEnd w:id="80"/>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335"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342"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62" w:lineRule="exact"/>
        <w:rPr>
          <w:sz w:val="20"/>
          <w:szCs w:val="20"/>
          <w:color w:val="auto"/>
        </w:rPr>
      </w:pPr>
    </w:p>
    <w:p>
      <w:pPr>
        <w:ind w:firstLine="464"/>
        <w:spacing w:after="0" w:line="259" w:lineRule="auto"/>
        <w:tabs>
          <w:tab w:leader="none" w:pos="70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79"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63" w:lineRule="exact"/>
        <w:rPr>
          <w:sz w:val="20"/>
          <w:szCs w:val="20"/>
          <w:color w:val="auto"/>
        </w:rPr>
      </w:pPr>
    </w:p>
    <w:p>
      <w:pPr>
        <w:ind w:right="80" w:firstLine="464"/>
        <w:spacing w:after="0" w:line="277" w:lineRule="auto"/>
        <w:tabs>
          <w:tab w:leader="none" w:pos="7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81" w:name="page82"/>
    <w:bookmarkEnd w:id="81"/>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DISSOLUTION OR LIQUIDATION OF THE COMPANY.</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338"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62" w:lineRule="exact"/>
        <w:rPr>
          <w:sz w:val="20"/>
          <w:szCs w:val="20"/>
          <w:color w:val="auto"/>
        </w:rPr>
      </w:pPr>
    </w:p>
    <w:p>
      <w:pPr>
        <w:ind w:firstLine="464"/>
        <w:spacing w:after="0" w:line="273" w:lineRule="auto"/>
        <w:tabs>
          <w:tab w:leader="none" w:pos="701"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Stock Dividends and Stock Splits</w:t>
      </w:r>
      <w:r>
        <w:rPr>
          <w:rFonts w:ascii="Arial" w:cs="Arial" w:eastAsia="Arial" w:hAnsi="Arial"/>
          <w:sz w:val="17"/>
          <w:szCs w:val="17"/>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Paragraphs 3(a) and 4(c) shall also be proportionately adjusted upon the occurrence of such events.</w:t>
      </w:r>
    </w:p>
    <w:p>
      <w:pPr>
        <w:spacing w:after="0" w:line="70" w:lineRule="exact"/>
        <w:rPr>
          <w:rFonts w:ascii="Arial" w:cs="Arial" w:eastAsia="Arial" w:hAnsi="Arial"/>
          <w:sz w:val="17"/>
          <w:szCs w:val="17"/>
          <w:color w:val="auto"/>
        </w:rPr>
      </w:pPr>
    </w:p>
    <w:p>
      <w:pPr>
        <w:ind w:left="720" w:hanging="256"/>
        <w:spacing w:after="0"/>
        <w:tabs>
          <w:tab w:leader="none" w:pos="720"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If the Company is to be consolidated with or acquired by another entity in a merger, consolidation, sale of all or</w:t>
      </w:r>
    </w:p>
    <w:p>
      <w:pPr>
        <w:spacing w:after="0" w:line="34" w:lineRule="exact"/>
        <w:rPr>
          <w:rFonts w:ascii="Arial" w:cs="Arial" w:eastAsia="Arial" w:hAnsi="Arial"/>
          <w:sz w:val="17"/>
          <w:szCs w:val="17"/>
          <w:color w:val="auto"/>
        </w:rPr>
      </w:pPr>
    </w:p>
    <w:p>
      <w:pPr>
        <w:spacing w:after="0" w:line="281" w:lineRule="auto"/>
        <w:rPr>
          <w:rFonts w:ascii="Arial" w:cs="Arial" w:eastAsia="Arial" w:hAnsi="Arial"/>
          <w:sz w:val="17"/>
          <w:szCs w:val="17"/>
          <w:color w:val="auto"/>
        </w:rPr>
      </w:pPr>
      <w:r>
        <w:rPr>
          <w:rFonts w:ascii="Arial" w:cs="Arial" w:eastAsia="Arial" w:hAnsi="Arial"/>
          <w:sz w:val="16"/>
          <w:szCs w:val="16"/>
          <w:color w:val="auto"/>
        </w:rPr>
        <w:t>substantially all of the Company’s assets or the acquisition of all of the outstanding voting stock of the Company in a single transaction or a series of related transactions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w:t>
      </w:r>
    </w:p>
    <w:p>
      <w:pPr>
        <w:spacing w:after="0" w:line="3" w:lineRule="exact"/>
        <w:rPr>
          <w:rFonts w:ascii="Arial" w:cs="Arial" w:eastAsia="Arial" w:hAnsi="Arial"/>
          <w:sz w:val="17"/>
          <w:szCs w:val="17"/>
          <w:color w:val="auto"/>
        </w:rPr>
      </w:pPr>
    </w:p>
    <w:p>
      <w:pPr>
        <w:jc w:val="both"/>
        <w:ind w:right="260" w:firstLine="8"/>
        <w:spacing w:after="0" w:line="295" w:lineRule="auto"/>
        <w:tabs>
          <w:tab w:leader="none" w:pos="265" w:val="left"/>
        </w:tabs>
        <w:numPr>
          <w:ilvl w:val="0"/>
          <w:numId w:val="98"/>
        </w:numPr>
        <w:rPr>
          <w:rFonts w:ascii="Arial" w:cs="Arial" w:eastAsia="Arial" w:hAnsi="Arial"/>
          <w:sz w:val="16"/>
          <w:szCs w:val="16"/>
          <w:color w:val="auto"/>
        </w:rPr>
      </w:pPr>
      <w:r>
        <w:rPr>
          <w:rFonts w:ascii="Arial" w:cs="Arial" w:eastAsia="Arial" w:hAnsi="Arial"/>
          <w:sz w:val="16"/>
          <w:szCs w:val="16"/>
          <w:color w:val="auto"/>
        </w:rPr>
        <w:t>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82" w:name="page83"/>
    <w:bookmarkEnd w:id="8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aggregate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8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 For purposes of determining such payments, in the case of a Corporate Transaction the consideration for which, in whole or in part, is other than cash, the consideration other than cash shall be valued at the fair value thereof as determined in good faith by the Board of Directors.</w:t>
      </w:r>
    </w:p>
    <w:p>
      <w:pPr>
        <w:spacing w:after="0" w:line="5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62" w:lineRule="exact"/>
        <w:rPr>
          <w:sz w:val="20"/>
          <w:szCs w:val="20"/>
          <w:color w:val="auto"/>
        </w:rPr>
      </w:pPr>
    </w:p>
    <w:p>
      <w:pPr>
        <w:ind w:right="100" w:firstLine="464"/>
        <w:spacing w:after="0" w:line="276" w:lineRule="auto"/>
        <w:tabs>
          <w:tab w:leader="none" w:pos="70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Recapitalization or Reorganization</w:t>
      </w:r>
      <w:r>
        <w:rPr>
          <w:rFonts w:ascii="Arial" w:cs="Arial" w:eastAsia="Arial" w:hAnsi="Arial"/>
          <w:sz w:val="17"/>
          <w:szCs w:val="17"/>
          <w:color w:val="auto"/>
        </w:rPr>
        <w:t>. In the event of a recapitalization or reorganization of the Company other than a Corporate Transaction pursuant to which securities of the Company or of another corporation, limited liability company or other entity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64" w:lineRule="exact"/>
        <w:rPr>
          <w:rFonts w:ascii="Arial" w:cs="Arial" w:eastAsia="Arial" w:hAnsi="Arial"/>
          <w:sz w:val="17"/>
          <w:szCs w:val="17"/>
          <w:color w:val="auto"/>
        </w:rPr>
      </w:pPr>
    </w:p>
    <w:p>
      <w:pPr>
        <w:jc w:val="both"/>
        <w:ind w:right="320" w:firstLine="464"/>
        <w:spacing w:after="0" w:line="259" w:lineRule="auto"/>
        <w:tabs>
          <w:tab w:leader="none" w:pos="71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Paragraph 24, including, but not limited to, the effect of any Corporate Transaction and, subject to Paragraph 4, its determination shall be conclusive.</w:t>
      </w:r>
    </w:p>
    <w:p>
      <w:pPr>
        <w:spacing w:after="0" w:line="78" w:lineRule="exact"/>
        <w:rPr>
          <w:rFonts w:ascii="Arial" w:cs="Arial" w:eastAsia="Arial" w:hAnsi="Arial"/>
          <w:sz w:val="18"/>
          <w:szCs w:val="18"/>
          <w:color w:val="auto"/>
        </w:rPr>
      </w:pPr>
    </w:p>
    <w:p>
      <w:pPr>
        <w:ind w:right="520" w:firstLine="464"/>
        <w:spacing w:after="0" w:line="308" w:lineRule="auto"/>
        <w:tabs>
          <w:tab w:leader="none" w:pos="70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83" w:name="page84"/>
    <w:bookmarkEnd w:id="83"/>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in its discretion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313"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335"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319"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341"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84" w:name="page85"/>
    <w:bookmarkEnd w:id="8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lapsing of any forfeiture provision or right of repurchase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315"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Each Employee who receives an ISO shall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321"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Plan will terminate on May 15, 2027,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335"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85" w:name="page86"/>
    <w:bookmarkEnd w:id="85"/>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295"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314"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240" w:top="274" w:right="739" w:bottom="1440" w:gutter="0" w:footer="0" w:header="0"/>
        </w:sectPr>
      </w:pPr>
    </w:p>
    <w:bookmarkStart w:id="86" w:name="page87"/>
    <w:bookmarkEnd w:id="86"/>
    <w:p>
      <w:pPr>
        <w:ind w:left="10400"/>
        <w:spacing w:after="0"/>
        <w:rPr>
          <w:sz w:val="20"/>
          <w:szCs w:val="20"/>
          <w:color w:val="auto"/>
        </w:rPr>
      </w:pPr>
      <w:r>
        <w:rPr>
          <w:rFonts w:ascii="Arial" w:cs="Arial" w:eastAsia="Arial" w:hAnsi="Arial"/>
          <w:sz w:val="16"/>
          <w:szCs w:val="16"/>
          <w:b w:val="1"/>
          <w:bCs w:val="1"/>
          <w:color w:val="auto"/>
        </w:rPr>
        <w:t>Exhibit 10.17</w:t>
      </w:r>
    </w:p>
    <w:p>
      <w:pPr>
        <w:spacing w:after="0" w:line="252"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Option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-10160</wp:posOffset>
            </wp:positionV>
            <wp:extent cx="4572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SYNLOGIC,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Notice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 Grant under the Company’s 2017 Stock Incentive Plan</w:t>
      </w:r>
    </w:p>
    <w:p>
      <w:pPr>
        <w:spacing w:after="0" w:line="252" w:lineRule="exact"/>
        <w:rPr>
          <w:sz w:val="20"/>
          <w:szCs w:val="20"/>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Name and Address of Participant: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Date of Option Grant:</w:t>
      </w:r>
    </w:p>
    <w:p>
      <w:pPr>
        <w:spacing w:after="0" w:line="144"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Type of Grant:</w:t>
      </w:r>
    </w:p>
    <w:p>
      <w:pPr>
        <w:spacing w:after="0" w:line="144" w:lineRule="exact"/>
        <w:rPr>
          <w:rFonts w:ascii="Arial" w:cs="Arial" w:eastAsia="Arial" w:hAnsi="Arial"/>
          <w:sz w:val="18"/>
          <w:szCs w:val="18"/>
          <w:color w:val="auto"/>
        </w:rPr>
      </w:pPr>
    </w:p>
    <w:p>
      <w:pPr>
        <w:jc w:val="both"/>
        <w:ind w:left="500" w:right="8560" w:hanging="492"/>
        <w:spacing w:after="0" w:line="342" w:lineRule="auto"/>
        <w:tabs>
          <w:tab w:leader="none" w:pos="5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Maximum Number of Shares for which this Option is exercisable:</w:t>
      </w:r>
    </w:p>
    <w:p>
      <w:pPr>
        <w:spacing w:after="0" w:line="29" w:lineRule="exact"/>
        <w:rPr>
          <w:rFonts w:ascii="Arial" w:cs="Arial" w:eastAsia="Arial" w:hAnsi="Arial"/>
          <w:sz w:val="16"/>
          <w:szCs w:val="16"/>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Exercise (purchase) price per share:</w:t>
      </w:r>
    </w:p>
    <w:p>
      <w:pPr>
        <w:spacing w:after="0" w:line="144"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Option Expiration Date:</w:t>
      </w:r>
    </w:p>
    <w:p>
      <w:pPr>
        <w:spacing w:after="0" w:line="144"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Vesting Start Date:</w:t>
      </w:r>
    </w:p>
    <w:p>
      <w:pPr>
        <w:spacing w:after="0" w:line="144" w:lineRule="exact"/>
        <w:rPr>
          <w:rFonts w:ascii="Arial" w:cs="Arial" w:eastAsia="Arial" w:hAnsi="Arial"/>
          <w:sz w:val="18"/>
          <w:szCs w:val="18"/>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-1982470</wp:posOffset>
            </wp:positionV>
            <wp:extent cx="34734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-1828165</wp:posOffset>
            </wp:positionV>
            <wp:extent cx="34734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-1673860</wp:posOffset>
            </wp:positionV>
            <wp:extent cx="3473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-1450975</wp:posOffset>
            </wp:positionV>
            <wp:extent cx="3473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-1228090</wp:posOffset>
            </wp:positionV>
            <wp:extent cx="34734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-1005205</wp:posOffset>
            </wp:positionV>
            <wp:extent cx="34734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-653415</wp:posOffset>
            </wp:positionV>
            <wp:extent cx="34734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-430530</wp:posOffset>
            </wp:positionV>
            <wp:extent cx="3473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-207645</wp:posOffset>
            </wp:positionV>
            <wp:extent cx="34734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[Notwithstanding the foregoing, in the event of a Change of Control (as defined below), while the Participant is an Employee, director or Consultant of the Company or an Affiliate, [ ]% of the Shares which would have vested in each vesting installment remaining under this Option will be vested and exercisable for purposes of Paragraph 24(b) of the Plan unless this Option has otherwise expired or been terminated pursuant to its terms or the terms of the Plan.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the occurrence of any of the following events:</w:t>
      </w:r>
    </w:p>
    <w:p>
      <w:pPr>
        <w:spacing w:after="0" w:line="131" w:lineRule="exact"/>
        <w:rPr>
          <w:sz w:val="20"/>
          <w:szCs w:val="20"/>
          <w:color w:val="auto"/>
        </w:rPr>
      </w:pPr>
    </w:p>
    <w:p>
      <w:pPr>
        <w:ind w:left="1480" w:right="160" w:hanging="567"/>
        <w:spacing w:after="0" w:line="276" w:lineRule="auto"/>
        <w:tabs>
          <w:tab w:leader="none" w:pos="14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Ownership. Any “Person” (as such term is used in Sections 13(d) and 14(d) of the Securities Exchange Act of 1934, as amended) becomes the “Beneficial Owner” (as defined in Rule 13d-3 under said Act), directly or indirectly, of securities of the Company representing 50% or more of the total voting power represented by the Company’s then outstanding voting securities (excluding for this purpose any such voting securities held by the Company or its Affiliates or any employee benefit plan of the Company) pursuant to a transaction or a series of related transactions which the Board of Directors does not approve; or</w:t>
      </w:r>
    </w:p>
    <w:p>
      <w:pPr>
        <w:sectPr>
          <w:pgSz w:w="11900" w:h="16838" w:orient="portrait"/>
          <w:cols w:equalWidth="0" w:num="1">
            <w:col w:w="11420"/>
          </w:cols>
          <w:pgMar w:left="240" w:top="121" w:right="239" w:bottom="1440" w:gutter="0" w:footer="0" w:header="0"/>
        </w:sectPr>
      </w:pPr>
    </w:p>
    <w:bookmarkStart w:id="87" w:name="page88"/>
    <w:bookmarkEnd w:id="87"/>
    <w:p>
      <w:pPr>
        <w:ind w:left="1020" w:hanging="567"/>
        <w:spacing w:after="0" w:line="293" w:lineRule="auto"/>
        <w:tabs>
          <w:tab w:leader="none" w:pos="10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Merger/Sale of Assets. (A) A merger or consolidation of the Company whether or not approved by the Board of 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entity, as the case may be, outstanding immediately after such merger or consolidation; or (B) the sale or disposition by the Company of all or substantially all of the Company’s assets in a transaction requiring stockholder approval; or</w:t>
      </w:r>
    </w:p>
    <w:p>
      <w:pPr>
        <w:spacing w:after="0" w:line="70" w:lineRule="exact"/>
        <w:rPr>
          <w:rFonts w:ascii="Arial" w:cs="Arial" w:eastAsia="Arial" w:hAnsi="Arial"/>
          <w:sz w:val="16"/>
          <w:szCs w:val="16"/>
          <w:color w:val="auto"/>
        </w:rPr>
      </w:pPr>
    </w:p>
    <w:p>
      <w:pPr>
        <w:ind w:left="1020" w:right="180" w:hanging="567"/>
        <w:spacing w:after="0" w:line="291" w:lineRule="auto"/>
        <w:tabs>
          <w:tab w:leader="none" w:pos="10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Change in Board Composition. A change in the composition of the Board of Directors, as a result of which fewer than a majority of the directors are Incumbent Directors. “Incumbent Directors” shall mean directors who either (A) are directors of the Company as</w:t>
      </w:r>
    </w:p>
    <w:p>
      <w:pPr>
        <w:ind w:left="1020" w:right="400"/>
        <w:spacing w:after="0" w:line="302" w:lineRule="auto"/>
        <w:rPr>
          <w:sz w:val="20"/>
          <w:szCs w:val="20"/>
          <w:color w:val="auto"/>
        </w:rPr>
      </w:pPr>
      <w:r>
        <w:rPr>
          <w:rFonts w:ascii="Arial" w:cs="Arial" w:eastAsia="Arial" w:hAnsi="Arial"/>
          <w:sz w:val="16"/>
          <w:szCs w:val="16"/>
          <w:color w:val="auto"/>
        </w:rPr>
        <w:t>of [ ], 20[ ],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61" w:lineRule="exact"/>
        <w:rPr>
          <w:sz w:val="20"/>
          <w:szCs w:val="20"/>
          <w:color w:val="auto"/>
        </w:rPr>
      </w:pPr>
    </w:p>
    <w:p>
      <w:pPr>
        <w:ind w:left="1020" w:right="160" w:hanging="567"/>
        <w:spacing w:after="0" w:line="277" w:lineRule="auto"/>
        <w:tabs>
          <w:tab w:leader="none" w:pos="10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“Change of Control” shall be interpreted, if applicable, in a manner, and limited to the extent necessary, so that it will not cause adverse tax consequences under Section 409A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vesting is further subject to the other terms and conditions of this Agreement and the Company’s 2017 Stock Incentive Plan.</w:t>
      </w:r>
    </w:p>
    <w:p>
      <w:pPr>
        <w:spacing w:after="0" w:line="33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88" w:name="page89"/>
    <w:bookmarkEnd w:id="88"/>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the Participant acknowledge receipt of this Stock Option Grant Notice and agree to the terms of the Stock Option Agreement attached hereto and incorporated by reference herein, the Company’s 2017 Stock Incentive Plan and the terms of this Option Grant as set forth above.</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SYNLOGIC,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5715</wp:posOffset>
            </wp:positionV>
            <wp:extent cx="23412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-130810</wp:posOffset>
            </wp:positionV>
            <wp:extent cx="23412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020"/>
          </w:cols>
          <w:pgMar w:left="240" w:top="274" w:right="6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SYNLOGIC,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STOCK OPTION AGREEMENT- INCORPORATED TERMS AND CONDITIONS</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AGREEMENT made as of the date of grant set forth in the Stock Option Grant Notice by and between Synlogic, Inc. (the “Company”), a Delaware corporation, and the individual whose name appears on the Stock Option Grant Notice (the “Participant”).</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WHEREAS, the Company desires to grant to the Participant an Option to purchase shares of its common stock, $0.0001 par value per share (the “Shares”), under and for the purposes set forth in the Company’s 2017 Stock Incentive Plan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and the Participant understand and agree that any terms used and not defined herein have the same meanings as in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and the Participant each intend that the Option granted herein shall be of the type set forth in the Stock Option Grant Notice.</w:t>
      </w:r>
    </w:p>
    <w:p>
      <w:pPr>
        <w:spacing w:after="0" w:line="24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parties hereto agree as follows:</w:t>
      </w:r>
    </w:p>
    <w:p>
      <w:pPr>
        <w:spacing w:after="0" w:line="319"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The Company hereby grants to the Participant the right and option to purchase all or any part of an aggregate of the number of Shares set forth in the Stock Option Grant Notice, on the terms and conditions and subject to all the limitations set forth herein, under United States securities and tax laws, and in the Plan, which is incorporated herein by reference. The Participant acknowledges receipt of a copy of the Plan.</w:t>
      </w:r>
    </w:p>
    <w:p>
      <w:pPr>
        <w:spacing w:after="0" w:line="314"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The exercise price of the Shares covered by the Option shall be the amount per Share set forth in the Stock Option Grant Notice, subject to adjustment, as provided in the Plan, in the event of a stock split, reverse stock split or other events affecting the holders of Shares after the date hereof (the “Exercise Price”). Payment shall be made in accordance with Paragraph 9 of the Plan.</w:t>
      </w:r>
    </w:p>
    <w:p>
      <w:pPr>
        <w:spacing w:after="0" w:line="330"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EXERCISABILITY OF OPTION</w:t>
      </w:r>
      <w:r>
        <w:rPr>
          <w:rFonts w:ascii="Arial" w:cs="Arial" w:eastAsia="Arial" w:hAnsi="Arial"/>
          <w:sz w:val="18"/>
          <w:szCs w:val="18"/>
          <w:color w:val="auto"/>
        </w:rPr>
        <w:t>.</w:t>
      </w:r>
    </w:p>
    <w:p>
      <w:pPr>
        <w:spacing w:after="0" w:line="11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Subject to the terms and conditions set forth in this Agreement and the Plan, the Option granted hereby shall become vested and exercisable as set forth in the Stock Option Grant Notice and is subject to the other terms and conditions of this Agreement and the Plan.</w:t>
      </w:r>
    </w:p>
    <w:p>
      <w:pPr>
        <w:sectPr>
          <w:pgSz w:w="11900" w:h="16838" w:orient="portrait"/>
          <w:cols w:equalWidth="0" w:num="1">
            <w:col w:w="11380"/>
          </w:cols>
          <w:pgMar w:left="240" w:top="270" w:right="279" w:bottom="1440" w:gutter="0" w:footer="0" w:header="0"/>
        </w:sectPr>
      </w:pPr>
    </w:p>
    <w:bookmarkStart w:id="90" w:name="page91"/>
    <w:bookmarkEnd w:id="90"/>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OF OPTION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Option shall terminate on the Option Expiration Date as specified in the Stock Option Grant Notice and, if this Option is designated in the Stock Option Grant Notice as an ISO and the Participant owns as of the date hereof more than 10% of the total combined voting power of all classes of capital stock of the Company or an Affiliate, such date may not be more than five years from the date of this Agreement, but shall be subject to earlier termination as provided herein or in the Plan.</w:t>
      </w:r>
    </w:p>
    <w:p>
      <w:pPr>
        <w:spacing w:after="0" w:line="187" w:lineRule="exact"/>
        <w:rPr>
          <w:sz w:val="20"/>
          <w:szCs w:val="20"/>
          <w:color w:val="auto"/>
        </w:rPr>
      </w:pPr>
    </w:p>
    <w:p>
      <w:pPr>
        <w:ind w:right="380" w:firstLine="913"/>
        <w:spacing w:after="0" w:line="288" w:lineRule="auto"/>
        <w:rPr>
          <w:sz w:val="20"/>
          <w:szCs w:val="20"/>
          <w:color w:val="auto"/>
        </w:rPr>
      </w:pPr>
      <w:r>
        <w:rPr>
          <w:rFonts w:ascii="Arial" w:cs="Arial" w:eastAsia="Arial" w:hAnsi="Arial"/>
          <w:sz w:val="16"/>
          <w:szCs w:val="16"/>
          <w:color w:val="auto"/>
        </w:rPr>
        <w:t>If the Participant ceases to be an Employee, director or Consultant of the Company or of an Affiliate for any reason other than the death or Disability of the Participant, or termination of the Participant for Cause (the “Termination Date”), the Option to the extent then vested and exercisable pursuant to Section 3 hereof as of the Termination Date, and not previously terminated in accordance with this Agreement, may be exercised within three</w:t>
      </w:r>
    </w:p>
    <w:p>
      <w:pPr>
        <w:jc w:val="both"/>
        <w:ind w:right="280" w:firstLine="8"/>
        <w:spacing w:after="0" w:line="255" w:lineRule="auto"/>
        <w:tabs>
          <w:tab w:leader="none" w:pos="2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months after the Termination Date, or on or prior to the Option Expiration Date as specified in the Stock Option Grant Notice, whichever is earlier, but may not be exercised thereafter except as set forth below. In such event, the unvested portion of the Option shall not be exercisable and shall expire and be cancelled on the Termination Date.</w:t>
      </w:r>
    </w:p>
    <w:p>
      <w:pPr>
        <w:spacing w:after="0" w:line="1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this Option is designated in the Stock Option Grant Notice as an ISO and the Participant ceases to be an Employee of the Company or of an Affiliate but continues after termination of employment to provide service to the Company or an Affiliate as a director or Consultant, this Option shall continue to vest in accordance with Section 3 above as if this Option had not terminated until the Participant is no longer providing services to the Company. In such case, this Option shall automatically convert and be deemed a Non-Qualified Option as of the date that is three (3) months from termination of the Participant’s employment and this Option shall continue on the same terms and conditions set forth herein until such Participant is no longer providing service to the Company or an Affiliate.</w:t>
      </w:r>
    </w:p>
    <w:p>
      <w:pPr>
        <w:spacing w:after="0" w:line="193"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Notwithstanding the foregoing, in the event of the Participant’s Disability or death within three (3) months after the Termination Date, the Participant or the Participant’s Survivors may exercise the Option within one (1) year after the Termination Date, but in no event after the Option Expiration Date as specified in the Stock Option Grant Notice, and this Option shall thereupon terminate.</w:t>
      </w:r>
    </w:p>
    <w:p>
      <w:pPr>
        <w:spacing w:after="0" w:line="181"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color w:val="auto"/>
        </w:rPr>
        <w:t>In the event the Participant’s service is terminated by the Company or an Affiliate for Cause, the Participant’s right to exercise any unexercised portion of this Option even if vested shall cease immediately as of the time the Participant is notified his or her service is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1" w:name="page92"/>
    <w:bookmarkEnd w:id="91"/>
    <w:p>
      <w:pPr>
        <w:ind w:right="8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the Disability of the Participant while an Employee, director or Consultant of the Company or of an Affiliate, as determined in accordance with the Plan, the Option shall be exercisable within one (1) year after the Participant’s termination of service due to Disability or, if earlier, on or prior to the Option Expiration Date as specified in the Stock Option Grant Notice. In such event, the Option shall be exercisable:</w:t>
      </w:r>
    </w:p>
    <w:p>
      <w:pPr>
        <w:spacing w:after="0" w:line="71" w:lineRule="exact"/>
        <w:rPr>
          <w:sz w:val="20"/>
          <w:szCs w:val="20"/>
          <w:color w:val="auto"/>
        </w:rPr>
      </w:pPr>
    </w:p>
    <w:p>
      <w:pPr>
        <w:ind w:left="1480" w:right="200" w:hanging="567"/>
        <w:spacing w:after="0" w:line="277" w:lineRule="auto"/>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as of the date of the Participant’s termination of service due to Disability; and</w:t>
      </w:r>
    </w:p>
    <w:p>
      <w:pPr>
        <w:spacing w:after="0" w:line="75" w:lineRule="exact"/>
        <w:rPr>
          <w:rFonts w:ascii="Arial" w:cs="Arial" w:eastAsia="Arial" w:hAnsi="Arial"/>
          <w:sz w:val="18"/>
          <w:szCs w:val="18"/>
          <w:color w:val="auto"/>
        </w:rPr>
      </w:pPr>
    </w:p>
    <w:p>
      <w:pPr>
        <w:ind w:left="1480" w:right="100" w:hanging="567"/>
        <w:spacing w:after="0" w:line="259" w:lineRule="auto"/>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8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In the event of the death of the Participant while an Employee, director or Consultant of the Company or of an Affiliate, the Option shall be exercisable by the Participant’s Survivors within one year after the date of death of the Participant or, if earlier, on or prior to the Option Expiration Date as specified in the Stock Option Grant Notice. In such event, the Option shall be exercisable:</w:t>
      </w:r>
    </w:p>
    <w:p>
      <w:pPr>
        <w:spacing w:after="0" w:line="87" w:lineRule="exact"/>
        <w:rPr>
          <w:sz w:val="20"/>
          <w:szCs w:val="20"/>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as of the date of death; and</w:t>
      </w:r>
    </w:p>
    <w:p>
      <w:pPr>
        <w:spacing w:after="0" w:line="130"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329"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Subject to the terms and conditions of this Agreement, the Option may be exercised by written notice to the Company or its designee, in substantially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(or in such other form acceptable to the Company, which may include electronic notice). Such notice shall state the number of Shares with respect to which the Option is being exercised and shall be signed by the person exercising the Option (which signature may be provided electronically in a form acceptable to the Company). Payment of the Exercise Price for such Shares shall be made in accordance with Paragraph 9 of the Plan. The Company shall deliver such Shares as soon as practicable after the notice shall be received, provided, however, that the Company may delay issuance of such Shares until completion of any action or obtaining of any consent, which the Company deems necessary under any applicable law (including, without limitation, state securities or “blue sky” laws). The Shares as to which the Option shall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2" w:name="page93"/>
    <w:bookmarkEnd w:id="9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been so exercised shall be registered in the Company’s share register in the name of the person so exercising the Option (or, if the Option shall be exercised by the Participant and if the Participant shall so request in the notice exercising the Option, shall be registered in the Company’s share register in the name of the Participant and another person jointly, with right of survivorship) and shall be delivered as provided above to or upon the written order of the person exercising the Option. In the event the Option shall be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327"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Exercise of this Option to the extent above stated may be made in part at any time and from time to time within the above limits, except that no fractional share shall be issued pursuant to this Option.</w:t>
      </w:r>
    </w:p>
    <w:p>
      <w:pPr>
        <w:spacing w:after="0" w:line="319"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Option shall not be transferable by the Participant otherwise than by will or by the laws of descent and distribution. If this Option is a Non-Qualified Option then it may also be transferred pursuant to a qualified domestic relations order as defined by the Code or Title I of the Employee Retirement Income Security Act or the rules thereunder. Except as provided above in this paragraph, the Option shall be exercisable, during the Participant’s lifetime, only by the Participant (or, in the event of legal incapacity or incompetency, by the Participant’s guardian or representative) and shall not be assigned, pledged or hypothecated in any way (whether by operation of law or otherwise) and shall not be subject to execution, attachment or similar process. Any attempted transfer, assignment, pledge, hypothecation or other disposition of the Option or of any rights granted hereunder contrary to the provisions of this Section 7, or the levy of any attachment or similar process upon the Option shall be null and void.</w:t>
      </w:r>
    </w:p>
    <w:p>
      <w:pPr>
        <w:spacing w:after="0" w:line="326"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The Participant shall have no rights as a stockholder with respect to Shares subject to this Agreement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295"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The Plan contains provisions covering the treatment of Options in a number of contingencies such as stock splits and mergers. Provisions in the Plan for adjustment with respect to stock subject to Options and the related provisions with respect to successors to the business of the Company are hereby made applicable hereunder and are incorporated herein by reference.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3" w:name="page94"/>
    <w:bookmarkEnd w:id="93"/>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Participant acknowledges and agrees that (i) any income or other taxes due from the Participant with respect to this Option or the Shares issuable upon exercise of this Option shall be the Participant’s responsibility; (ii) the Participant was free to use professional advisors of his or her choice in connection with this Agreement, has received advice from his or her professional advisors in connection with this Agreement, understands its meaning and import, and is entering into this Agreement freely and without coercion or duress; (iii) the Participant has not received and is not relying upon any advice, representations or assurances made by or on behalf of the Company or any Affiliate or any Employee of or counsel to the Company or any Affiliate regarding any tax or other effects or implications of the Option, the Shares or other matters contemplated by this Agreement and (iv) neither the Administrator, the Company, its Affiliates, nor any of its officers or directors, shall be held liable for any applicable costs, taxes, or penalties associated with the Option if, in fact, the Internal Revenue Service were to determine that the Option constitutes deferred compensation under Section 409A of the Code.</w:t>
      </w:r>
    </w:p>
    <w:p>
      <w:pPr>
        <w:spacing w:after="0" w:line="166"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If this Option is designated in the Stock Option Grant Notice as a Non-Qualified Option or if the Option is an ISO and is converted into a Non-Qualified Option and such Non-Qualified Option is exercised, the Participant agrees that the Company may withhold from the Participant’s remuneration, if any, the minimum statutory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p>
      <w:pPr>
        <w:spacing w:after="0" w:line="326"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Unless the offering and sale of the Shares to be issued upon the particular exercise of the Option shall have been effectively registered under the Securities Act of 1933, as now in force or hereafter amended (the “1933 Act”), the Company shall be under no obligation to issue the Shares covered by such exercise unless the Company has determined that such exercise and issuance would be exempt from the registration requirements of the 1933 Act and until the following conditions have been fulfilled:</w:t>
      </w:r>
    </w:p>
    <w:p>
      <w:pPr>
        <w:spacing w:after="0" w:line="92" w:lineRule="exact"/>
        <w:rPr>
          <w:sz w:val="20"/>
          <w:szCs w:val="20"/>
          <w:color w:val="auto"/>
        </w:rPr>
      </w:pPr>
    </w:p>
    <w:p>
      <w:pPr>
        <w:ind w:left="1480" w:right="80" w:hanging="567"/>
        <w:spacing w:after="0" w:line="279" w:lineRule="auto"/>
        <w:tabs>
          <w:tab w:leader="none" w:pos="14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person(s) who exercise the Option shall warrant to the Company, at the time of such exercise, that such person(s) are acquiring such Shares for their own respective accounts, for investment, and not with a view to, or for sale in connection with, the distribution of any such Shares, in which event the person(s) acquiring such Shares shall be bound by the provisions of the following legend which shall be endorsed upon any certificate(s) evidencing the Shares issued pursuant to such exercise: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94" w:name="page95"/>
    <w:bookmarkEnd w:id="94"/>
    <w:p>
      <w:pPr>
        <w:ind w:left="1500"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 and</w:t>
      </w:r>
    </w:p>
    <w:p>
      <w:pPr>
        <w:spacing w:after="0" w:line="60" w:lineRule="exact"/>
        <w:rPr>
          <w:sz w:val="20"/>
          <w:szCs w:val="20"/>
          <w:color w:val="auto"/>
        </w:rPr>
      </w:pPr>
    </w:p>
    <w:p>
      <w:pPr>
        <w:ind w:left="1480" w:hanging="567"/>
        <w:spacing w:after="0" w:line="259" w:lineRule="auto"/>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the Company so requires, the Company shall have received an opinion of its counsel that the Shares may be issued upon such particular exercise in compliance with the 1933 Act without registration thereunder. 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12.1 The Shares acquired by the Participant pursuant to the exercise of the Option granted hereby shall not be transferred by the Participant except as permitted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[Intentionally Omitted]</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12.3 It shall be a condition precedent to the validity of any sale or other transfer of any Shares by the Participant that the following restrictions be complied with (except as otherwise provided in this Section 12):</w:t>
      </w:r>
    </w:p>
    <w:p>
      <w:pPr>
        <w:spacing w:after="0" w:line="76" w:lineRule="exact"/>
        <w:rPr>
          <w:sz w:val="20"/>
          <w:szCs w:val="20"/>
          <w:color w:val="auto"/>
        </w:rPr>
      </w:pPr>
    </w:p>
    <w:p>
      <w:pPr>
        <w:ind w:left="900" w:right="840" w:hanging="446"/>
        <w:spacing w:after="0" w:line="308" w:lineRule="auto"/>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 Shares owned by the Participant may be sold, pledged or otherwise transferred (including by gift or devise) to any person or entity, voluntarily, or by operation of law, except in accordance with the terms and conditions hereinafter set forth.</w:t>
      </w:r>
    </w:p>
    <w:p>
      <w:pPr>
        <w:spacing w:after="0" w:line="51" w:lineRule="exact"/>
        <w:rPr>
          <w:rFonts w:ascii="Arial" w:cs="Arial" w:eastAsia="Arial" w:hAnsi="Arial"/>
          <w:sz w:val="17"/>
          <w:szCs w:val="17"/>
          <w:color w:val="auto"/>
        </w:rPr>
      </w:pPr>
    </w:p>
    <w:p>
      <w:pPr>
        <w:ind w:left="900" w:right="20" w:hanging="446"/>
        <w:spacing w:after="0" w:line="290"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Before selling or otherwise transferring all or part of the Shares, the Participant shall give written notice of such intention to the Company, which notice shall include the name of the proposed transferee, the proposed purchase price per share, the terms of payment of such purchase price and all other matters relating to such sale or transfer and shall be accompanied by a copy of the binding written agreement of the proposed transferee to purchase the Shares of the Participant. Such notice shall constitute a binding offer by the Participant to sell to the Company such number of the Shares then held by the Participant as are proposed to be sold in the notice at the monetary price per share designated in such notice, payable on the terms offered to the Participant by the proposed transferee (provided, however, that the Company shall not be required to meet any non-monetary terms of the proposed transfer, including, without limitation, delivery of other securities in exchange for the Shares proposed to be sold). The Company shall give written notice to the Participant as to whether such offer has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5" w:name="page96"/>
    <w:bookmarkEnd w:id="95"/>
    <w:p>
      <w:pPr>
        <w:ind w:left="9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accepted in whole by the Company within sixty (60) days after its receipt of written notice from the Participant. The Company may only accept such offer in whole and may not accept such offer in part. Such acceptance notice shall fix a time, location and date for the Closing on such purchase (“Closing Date”) which shall not be less than ten (10) nor more than sixty (60) days after the giving of the acceptance notice, provided, however, if any of the Shares to be sold pursuant to this Section 12.3 have been held by the Participant for less than six (6) months, then the Closing Date may be extended by the Company until no more than ten (10) days after such Shares have been held by the Participant for six (6) months if required under applicable accounting rules in effect at the time. The place for such Closing shall be at the Company’s principal office. At such Closing, the Participant shall accept payment as set forth herein and shall deliver to the Company in exchange therefor certificates for the number of Shares stated in the notice accompanied by duly executed instruments of transfer.</w:t>
      </w:r>
    </w:p>
    <w:p>
      <w:pPr>
        <w:spacing w:after="0" w:line="72" w:lineRule="exact"/>
        <w:rPr>
          <w:sz w:val="20"/>
          <w:szCs w:val="20"/>
          <w:color w:val="auto"/>
        </w:rPr>
      </w:pPr>
    </w:p>
    <w:p>
      <w:pPr>
        <w:ind w:left="900" w:hanging="446"/>
        <w:spacing w:after="0" w:line="273"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the Company shall fail to accept any such offer, the Participant shall be free to sell all, but not less than all, of the Shares set forth in his or her notice to the designated transferee at the price and terms designated in the Participant’s notice, provided that (i) such sale is consummated within six (6) months after the giving of notice by the Participant to the Company as aforesaid, and (ii) the transferee first agrees in writing to be bound by the provisions of this Section 12 so that such transferee (and all subsequent transferees) shall thereafter only be permitted to sell or transfer the Shares in accordance with the terms hereof. After the expiration of such six (6) months, the provisions of this Section 12.3 shall again apply with respect to any proposed voluntary transfer of the Participant’s Shares.</w:t>
      </w:r>
    </w:p>
    <w:p>
      <w:pPr>
        <w:spacing w:after="0" w:line="83" w:lineRule="exact"/>
        <w:rPr>
          <w:rFonts w:ascii="Arial" w:cs="Arial" w:eastAsia="Arial" w:hAnsi="Arial"/>
          <w:sz w:val="17"/>
          <w:szCs w:val="17"/>
          <w:color w:val="auto"/>
        </w:rPr>
      </w:pPr>
    </w:p>
    <w:p>
      <w:pPr>
        <w:ind w:left="900" w:right="20" w:hanging="446"/>
        <w:spacing w:after="0" w:line="255"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restrictions on transfer contained in this Section 12.3 shall not apply to (a) transfers by the Participant to his or her spouse or children or to a trust for the benefit of his or her spouse or children, (b) transfers by the Participant to his or her guardian or conservator, and (c) transfers by the Participant, in the event of his or her death, to his or her executor(s) or administrator(s) or to trustee(s) under his or her will (collectively, “Permitted Transferees”); provided however, that in any such event the Shares so transferred in the hands of each such Permitted Transferee shall remain subject to this Agreement, and each such Permitted Transferee shall so acknowledge in writing as a condition precedent to the effectiveness of such transfer.</w:t>
      </w:r>
    </w:p>
    <w:p>
      <w:pPr>
        <w:spacing w:after="0" w:line="98"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provisions of this Section 12.3 may be waived by the Company. Any such waiver may be unconditional or based upon such conditions as the Company may impose.</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12.4 In the event that the Participant or his or her successor in interest fails to deliver the Shares to be repurchased by the Company under this Agreement, the Company may elect (a) to establish a segregated account in the amount of the repurchase price, such account to be turned over to the Participant or his or her successor in interest upon delivery of such Shares, and (b) immediately to take such action as is appropriate to transfer record title of such Shares from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96" w:name="page97"/>
    <w:bookmarkEnd w:id="96"/>
    <w:p>
      <w:pPr>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Participant to the Company and to treat the Participant and such Shares in all respects as if delivery of such Shares had been made as required by this Agreement. The Participant hereby irrevocably grants the Company a power of attorney which shall be coupled with an interest for the purpose of effectuating the preceding sentence.</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12.5 If the Company shall pay a stock dividend or declare a stock split on or with respect to any of its Common Stock, or otherwise distribute securities of the Company to the holders of its Common Stock, the number of shares of stock or other securities of the Company issued with respect to the shares then subject to the restrictions contained in this Agreement shall be added to the Shares subject to the Company’s rights to repurchase pursuant to this Agreement. If the Company shall distribute to its stockholders shares of stock of another corporation or equity in another entity, the shares of stock of such other corporation or equity in such other entity, distributed with respect to the Shares then subject to the restrictions contained in this Agreement, shall be added to the Shares subject to the Company’s rights to repurchase pursuant to this Agreement.</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12.6 If the outstanding shares of Common Stock of the Company shall be subdivided into a greater number of shares or combined into a smaller number of shares, or in the event of a reclassification of the outstanding shares of Common Stock of the Company, or if the Company shall be a party to a merger, consolidation or capital reorganization, there shall be substituted for the Shares then subject to the restrictions contained in this Agreement such amount and kind of securities as are issued in such subdivision, combination, reclassification, merger, consolidation or capital reorganization in respect of the Shares subject immediately prior thereto to the Company’s rights to repurchase pursuant to this Agreement.</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12.7 The Company shall not be required to transfer any Shares on its books which shall have been sold, assigned or otherwise transferred in violation of this Agreement, or to treat as owner of such Shares, or to accord the right to vote as such owner or to pay dividends to, any person or organization to which any such Shares shall have been so sold, assigned or otherwise transferred, in violation of this Agreement.</w:t>
      </w:r>
    </w:p>
    <w:p>
      <w:pPr>
        <w:spacing w:after="0" w:line="166"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12.8 The provisions of Sections 12.1 and 12.3 shall terminate upon the effective date of the registration of the Shares pursuant to the Securities Exchange Act of 1934.</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12.9 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Shares or other securities of the Company held by him or her during such period as is determined by the Company and the underwriters, not to exceed 180 days following the closing of the offering, plus such additional period of time as may be required to comply with FINRA Rules or similar rules promulgated by another regulatory authority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7" w:name="page98"/>
    <w:bookmarkEnd w:id="97"/>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12.10 In the event that the Initiating Holders (as defined below) approve a Sale of the Company (as defined below) then the Participant hereby agrees with respect to the Shares and any other shares of Common Stock that the Participant holds and any other Company securities over which the Participant otherwise exercises dispositive power (the “Drag Along”):</w:t>
      </w:r>
    </w:p>
    <w:p>
      <w:pPr>
        <w:spacing w:after="0" w:line="87" w:lineRule="exact"/>
        <w:rPr>
          <w:sz w:val="20"/>
          <w:szCs w:val="20"/>
          <w:color w:val="auto"/>
        </w:rPr>
      </w:pPr>
    </w:p>
    <w:p>
      <w:pPr>
        <w:ind w:left="900" w:hanging="446"/>
        <w:spacing w:after="0" w:line="255"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event such transaction requires the approval of stockholders, (1) if the matter is to be brought to a vote at a stockholder meeting, after receiving proper notice of any meeting of stockholders of the Company to vote on the approval of a Sale of the Company, to be present, in person or by proxy, as a holder of Shares, at all such meetings and be counted for the purposes of determining the presence of a quorum at such meetings; and (2) to vote (in person, by proxy or by action by written consent, as applicable) all Shares in favor of such Sale of the Company and in opposition of any and all other proposals that could reasonably be expected to delay or impair the ability of the Company to consummate such Sale of the Company;</w:t>
      </w:r>
    </w:p>
    <w:p>
      <w:pPr>
        <w:spacing w:after="0" w:line="98"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refrain from exercising any dissenters’ rights or rights of appraisal under applicable law at any time with respect to such Sale of the Company;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execute and deliver all related documentation and take such other action in support of the Sale of the Company as shall reasonably be requested by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shall have the following respective meanings:</w:t>
      </w:r>
    </w:p>
    <w:p>
      <w:pPr>
        <w:spacing w:after="0" w:line="117" w:lineRule="exact"/>
        <w:rPr>
          <w:sz w:val="20"/>
          <w:szCs w:val="20"/>
          <w:color w:val="auto"/>
        </w:rPr>
      </w:pPr>
    </w:p>
    <w:p>
      <w:pPr>
        <w:ind w:left="460" w:firstLine="438"/>
        <w:spacing w:after="0" w:line="286" w:lineRule="auto"/>
        <w:rPr>
          <w:sz w:val="20"/>
          <w:szCs w:val="20"/>
          <w:color w:val="auto"/>
        </w:rPr>
      </w:pPr>
      <w:r>
        <w:rPr>
          <w:rFonts w:ascii="Arial" w:cs="Arial" w:eastAsia="Arial" w:hAnsi="Arial"/>
          <w:sz w:val="17"/>
          <w:szCs w:val="17"/>
          <w:color w:val="auto"/>
        </w:rPr>
        <w:t>“Initiating Holders” means Persons holding not less than 50.1% of the shares of Common Stock of the Company then outstanding, determined on an as-converted basis (and including, for this purpose, any and all shares of Common Stock issued or issuable upon conversion of the Company’s convertible preferred stock, but specifically excluding, for this purpose, any then outstanding options and warrants).</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 of the Company” means:</w:t>
      </w:r>
    </w:p>
    <w:p>
      <w:pPr>
        <w:spacing w:after="0" w:line="131" w:lineRule="exact"/>
        <w:rPr>
          <w:sz w:val="20"/>
          <w:szCs w:val="20"/>
          <w:color w:val="auto"/>
        </w:rPr>
      </w:pPr>
    </w:p>
    <w:p>
      <w:pPr>
        <w:ind w:left="900" w:right="360" w:hanging="446"/>
        <w:spacing w:after="0" w:line="276"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merger or consolidation in which (A) the Company is a constituent party or (B) a subsidiary of the Company is a constituent party and the Company issues shares of its capital stock pursuant to such merger or consolidation, except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98" w:name="page99"/>
    <w:bookmarkEnd w:id="98"/>
    <w:p>
      <w:pPr>
        <w:ind w:left="9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surviving or resulting corporation or (2) if the surviving or resulting corporation is a wholly owned subsidiary of another corporation immediately following such merger or consolidation, the parent corporation of such surviving or resulting corporation (</w:t>
      </w:r>
      <w:r>
        <w:rPr>
          <w:rFonts w:ascii="Arial" w:cs="Arial" w:eastAsia="Arial" w:hAnsi="Arial"/>
          <w:sz w:val="18"/>
          <w:szCs w:val="18"/>
          <w:u w:val="single" w:color="auto"/>
          <w:color w:val="auto"/>
        </w:rPr>
        <w:t>provided that</w:t>
      </w:r>
      <w:r>
        <w:rPr>
          <w:rFonts w:ascii="Arial" w:cs="Arial" w:eastAsia="Arial" w:hAnsi="Arial"/>
          <w:sz w:val="18"/>
          <w:szCs w:val="18"/>
          <w:color w:val="auto"/>
        </w:rPr>
        <w:t>, for the purpose of this clause (i) all shares of Common Stock issuable upon exercise of options or warrants outstanding immediately prior to such merger or consolidation or upon conversion of convertible securities immediately prior to such merger or consolidation shall be deemed to be outstanding immediately prior to such merger or consolidation and, if applicable, converted or exchanged in such merger or consolidation on the same terms as the actual outstanding shares of Common Stock are converted or exchanged);</w:t>
      </w:r>
    </w:p>
    <w:p>
      <w:pPr>
        <w:spacing w:after="0" w:line="99" w:lineRule="exact"/>
        <w:rPr>
          <w:sz w:val="20"/>
          <w:szCs w:val="20"/>
          <w:color w:val="auto"/>
        </w:rPr>
      </w:pPr>
    </w:p>
    <w:p>
      <w:pPr>
        <w:ind w:left="900" w:right="40" w:hanging="446"/>
        <w:spacing w:after="0" w:line="276"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transaction or series of related transactions to which the Company is a party in which in excess of fifty percent (50%) of the Company’s voting power is transferred such that the stockholders of the Company immediately prior to the transaction or series of related transactions do not own a majority of the voting power of the surviving or acquiring entity following such transaction or series of transactions; other than any transaction or series of transactions principally for bona fide equity financing purposes in which cash is received by the Company or any successor or indebtedness of the Company is cancelled or converted or a combination thereof; or</w:t>
      </w:r>
    </w:p>
    <w:p>
      <w:pPr>
        <w:spacing w:after="0" w:line="77" w:lineRule="exact"/>
        <w:rPr>
          <w:rFonts w:ascii="Arial" w:cs="Arial" w:eastAsia="Arial" w:hAnsi="Arial"/>
          <w:sz w:val="17"/>
          <w:szCs w:val="17"/>
          <w:color w:val="auto"/>
        </w:rPr>
      </w:pPr>
    </w:p>
    <w:p>
      <w:pPr>
        <w:ind w:left="900" w:right="20" w:hanging="446"/>
        <w:spacing w:after="0" w:line="255"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sale, lease, transfer, exclusive license (other than an exclusive license that is approved by the Board of Directors), or other disposition, in a single transaction or series of related transactions, by the Company or any subsidiary of the Company of all or substantially all the assets of the Company and its subsidiaries taken as a whole, or the sale or disposition (whether by merger or otherwise) of one or more subsidiaries of the Company if substantially all of the assets of the Company and its subsidiaries taken as a whole are held by such subsidiary or subsidiaries, except where such sale, lease, transfer, exclusive license (other than an exclusive license that is approved by the Board of Directors) or other disposition is to a wholly owned subsidiary of the Company.</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12.11 The Participant acknowledges and agrees that neither the Company, its shareholders nor its directors and officers, has any duty or obligation to disclose to the Participant any material information regarding the business of the Company or affecting the value of the Shares before, at the time of, or following a termination of the service of the Participant by the Company, including, without limitation, any information concerning plans for the Company to make a public offering of its securities or to be acquired by or merged with or into another firm or entity.</w:t>
      </w:r>
    </w:p>
    <w:p>
      <w:pPr>
        <w:spacing w:after="0" w:line="187" w:lineRule="exact"/>
        <w:rPr>
          <w:sz w:val="20"/>
          <w:szCs w:val="20"/>
          <w:color w:val="auto"/>
        </w:rPr>
      </w:pPr>
    </w:p>
    <w:p>
      <w:pPr>
        <w:ind w:right="820" w:firstLine="456"/>
        <w:spacing w:after="0" w:line="291" w:lineRule="auto"/>
        <w:rPr>
          <w:sz w:val="20"/>
          <w:szCs w:val="20"/>
          <w:color w:val="auto"/>
        </w:rPr>
      </w:pPr>
      <w:r>
        <w:rPr>
          <w:rFonts w:ascii="Arial" w:cs="Arial" w:eastAsia="Arial" w:hAnsi="Arial"/>
          <w:sz w:val="16"/>
          <w:szCs w:val="16"/>
          <w:color w:val="auto"/>
        </w:rPr>
        <w:t>12.12 All certificates representing the Shares to be issued to the Participant pursuant to this Agreement shall have endorsed thereon a legend substantially as follows: “The shares represented by this certificate are subject to restrictions set forth in a Stock Option Agreement dated as of</w:t>
      </w:r>
    </w:p>
    <w:p>
      <w:pPr>
        <w:ind w:left="1260" w:hanging="82"/>
        <w:spacing w:after="0"/>
        <w:tabs>
          <w:tab w:leader="none" w:pos="1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copy of which Agreement is available for inspection at the offices of the Company or will be made available upon request.”</w:t>
      </w:r>
    </w:p>
    <w:p>
      <w:pPr>
        <w:spacing w:after="0" w:line="1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429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9" w:name="page100"/>
    <w:bookmarkEnd w:id="99"/>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OBLIGATION TO MAINTAIN RELATIONSHIP</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The Participant acknowledges that: (i) the Company is not by the Plan or this Option Agreement obligated to continue the Participant as an Employee, director or Consultant of the Company or an Affiliate; (ii) the Plan is discretionary in nature and may be suspended or terminated by the Company at any time; (iii) the grant of the Option is a one-time benefit which does not create any contractual or other right to receive future grants of options, or benefits in lieu of options; (iv)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Company; (v) the Participant’s participation in the Plan is voluntary; (vi) the value of the Option is an extraordinary item of compensation which is outside the scope of the Participant’s employment or consulting contract, if any; and (vii) the Option is not part of normal or expected compensation for purposes of calculating any severance, resignation, redundancy, end of service payments, bonuses, long-service awards, pension or retirement benefits or similar payments.</w:t>
      </w:r>
    </w:p>
    <w:p>
      <w:pPr>
        <w:spacing w:after="0" w:line="346"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IF OPTION IS INTENDED TO BE AN ISO</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If this Option is designated in the Stock Option Grant Notice as an ISO so that the Participant (or the Participant’s Survivors) may qualify for the favorable tax treatment provided to holders of Options that meet the standards of Section 422 of the Code then any provision of this Agreement or the Plan which conflicts with the Code so that this Option would not be deemed an ISO is null and void and any ambiguities shall be resolved so that the Option qualifies as an ISO. The Participant should consult with the Participant’s own tax advisors regarding the tax effects of the Option and the requirements necessary to obtain favorable tax treatment under Section 422 of the Code, including, but not limited to, holding period requirements.</w:t>
      </w:r>
    </w:p>
    <w:p>
      <w:pPr>
        <w:spacing w:after="0" w:line="17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Notwithstanding the foregoing, to the extent that the Option is designated in the Stock Option Grant Notice as an ISO and is not deemed to be an ISO pursuant to Section 422(d) of the Code because the aggregate Fair Market Value (determined as of the Date of Option Grant) of any of the Shares with respect to which this ISO is granted becomes exercisable for the first time during any calendar year in excess of $100,000, the portion of the Option representing such excess value shall be treated as a Non-Qualified Option and the Participant shall be deemed to have taxable income measured by the difference between the then Fair Market Value of the Shares received upon exercise and the price paid for such Shares pursuant to this Agreement.</w:t>
      </w:r>
    </w:p>
    <w:p>
      <w:pPr>
        <w:spacing w:after="0" w:line="158"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Neither the Company nor any Affiliate shall have any liability to the Participant, or any other party, if the Option (or any part thereof) that is intended to be an ISO is not an ISO or for any action taken by the Administrator, including without limitation the conversion of an ISO to a Non-Qualified Option.</w:t>
      </w:r>
    </w:p>
    <w:p>
      <w:pPr>
        <w:spacing w:after="0" w:line="330"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 OF AN ISO</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If this Option is designated in the Stock Option Grant Notice as an ISO then the Participant agrees to notify the Company in writing immediately after the Participant makes 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00" w:name="page101"/>
    <w:bookmarkEnd w:id="100"/>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Disqualifying Disposition of any of the Shares acquired pursuant to the exercise of the ISO. A Disqualifying Disposition is defined in Section 424(c) of the Code and includes any disposition (including any sale) of such Shares before the later of (a) two years after the date the Participant was granted the ISO or</w:t>
      </w:r>
    </w:p>
    <w:p>
      <w:pPr>
        <w:ind w:firstLine="8"/>
        <w:spacing w:after="0" w:line="290" w:lineRule="auto"/>
        <w:tabs>
          <w:tab w:leader="none" w:pos="25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one year after the date the Participant acquired Shares by exercising the ISO, except as otherwise provided in Section 424(c) of the Code. If the Participant has died before the Shares are sold, these holding period requirements do not apply and no Disqualifying Disposition can occur thereafter.</w:t>
      </w:r>
    </w:p>
    <w:p>
      <w:pPr>
        <w:spacing w:after="0" w:line="310"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Any notices required or permitted by the terms of this Agreement or the Plan shall be given by recognized courier service, facsimile, registered or certified mail, return receipt requested, or by email addressed as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Synlogic,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 Sidney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to the Participant at the address set forth on the Stock Option Grant Notice or such address as the Company may then have in its records for the Participant or to such other address or addresses of which notice in the same manner has previously been given. Any such notice shall be deemed to have been given upon the earlier of receipt, one business day following delivery to a recognized courier service or three business days following mailing by registered or certified mail.</w:t>
      </w:r>
    </w:p>
    <w:p>
      <w:pPr>
        <w:spacing w:after="0" w:line="335"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without giving effect to its internal principles governing the conflict of law. For the purpose of litigating any dispute that arises under this Agreement, the parties hereby consent to exclusive jurisdiction in the Commonwealth of Massachusetts and agree that such litigation shall be conducted in the state courts of Suffolk County, Massachusetts or the federal courts of the United States for the District of Massachusetts.</w:t>
      </w:r>
    </w:p>
    <w:p>
      <w:pPr>
        <w:spacing w:after="0" w:line="335"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BENEFIT OF AGREEMENT</w:t>
      </w:r>
      <w:r>
        <w:rPr>
          <w:rFonts w:ascii="Arial" w:cs="Arial" w:eastAsia="Arial" w:hAnsi="Arial"/>
          <w:sz w:val="18"/>
          <w:szCs w:val="18"/>
          <w:color w:val="auto"/>
        </w:rPr>
        <w:t>.</w:t>
      </w:r>
    </w:p>
    <w:p>
      <w:pPr>
        <w:spacing w:after="0" w:line="11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Subject to the provisions of the Plan and the other provisions hereof, this Agreement shall be for the benefit of and shall be binding upon the heirs, executors, administrators, successors and assigns of the parties 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01" w:name="page102"/>
    <w:bookmarkEnd w:id="101"/>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This Agreement, together with the Plan,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320"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terms and provisions of this Agreement may be modified or amended as provided in the Plan.</w:t>
      </w:r>
    </w:p>
    <w:p>
      <w:pPr>
        <w:spacing w:after="0" w:line="374" w:lineRule="exact"/>
        <w:rPr>
          <w:sz w:val="20"/>
          <w:szCs w:val="20"/>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WAIVERS AND CONSENTS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303"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(ii) to the extent permitted by law waives any data privacy rights he or she may have with respect to such information; and (iii) authorizes the Company and each Affiliate to store and transmit such information in electronic form for the purposes set forth in this Agreement.</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20" w:type="dxa"/>
            <w:vAlign w:val="bottom"/>
            <w:gridSpan w:val="2"/>
          </w:tcPr>
          <w:p>
            <w:pPr>
              <w:ind w:left="6080"/>
              <w:spacing w:after="0"/>
              <w:rPr>
                <w:sz w:val="20"/>
                <w:szCs w:val="20"/>
                <w:color w:val="auto"/>
              </w:rPr>
            </w:pPr>
            <w:r>
              <w:rPr>
                <w:rFonts w:ascii="Arial" w:cs="Arial" w:eastAsia="Arial" w:hAnsi="Arial"/>
                <w:sz w:val="18"/>
                <w:szCs w:val="18"/>
                <w:b w:val="1"/>
                <w:bCs w:val="1"/>
                <w:color w:val="auto"/>
                <w:w w:val="92"/>
              </w:rPr>
              <w:t>Exhibit A</w:t>
            </w:r>
          </w:p>
        </w:tc>
      </w:tr>
      <w:tr>
        <w:trPr>
          <w:trHeight w:val="561"/>
        </w:trPr>
        <w:tc>
          <w:tcPr>
            <w:tcW w:w="3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0" w:type="dxa"/>
            <w:vAlign w:val="bottom"/>
            <w:gridSpan w:val="2"/>
          </w:tcPr>
          <w:p>
            <w:pPr>
              <w:jc w:val="center"/>
              <w:ind w:right="3050"/>
              <w:spacing w:after="0"/>
              <w:rPr>
                <w:sz w:val="20"/>
                <w:szCs w:val="20"/>
                <w:color w:val="auto"/>
              </w:rPr>
            </w:pPr>
            <w:r>
              <w:rPr>
                <w:rFonts w:ascii="Arial" w:cs="Arial" w:eastAsia="Arial" w:hAnsi="Arial"/>
                <w:sz w:val="18"/>
                <w:szCs w:val="18"/>
                <w:color w:val="auto"/>
                <w:w w:val="94"/>
              </w:rPr>
              <w:t>NOTICE OF EXERCISE OF STOCK OPTION</w:t>
            </w:r>
          </w:p>
        </w:tc>
        <w:tc>
          <w:tcPr>
            <w:tcW w:w="740" w:type="dxa"/>
            <w:vAlign w:val="bottom"/>
            <w:tcBorders>
              <w:top w:val="single" w:sz="8" w:color="auto"/>
            </w:tcBorders>
          </w:tcPr>
          <w:p>
            <w:pPr>
              <w:spacing w:after="0"/>
              <w:rPr>
                <w:sz w:val="24"/>
                <w:szCs w:val="24"/>
                <w:color w:val="auto"/>
              </w:rPr>
            </w:pPr>
          </w:p>
        </w:tc>
      </w:tr>
      <w:tr>
        <w:trPr>
          <w:trHeight w:val="432"/>
        </w:trPr>
        <w:tc>
          <w:tcPr>
            <w:tcW w:w="3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90"/>
              </w:rPr>
              <w:t>[Form for Unregistered Shares]</w:t>
            </w: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To: Synlogic, Inc.</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Ladies and Gentlemen:</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2"/>
        </w:trPr>
        <w:tc>
          <w:tcPr>
            <w:tcW w:w="3840" w:type="dxa"/>
            <w:vAlign w:val="bottom"/>
            <w:gridSpan w:val="2"/>
          </w:tcPr>
          <w:p>
            <w:pPr>
              <w:ind w:left="460"/>
              <w:spacing w:after="0"/>
              <w:rPr>
                <w:sz w:val="20"/>
                <w:szCs w:val="20"/>
                <w:color w:val="auto"/>
              </w:rPr>
            </w:pPr>
            <w:r>
              <w:rPr>
                <w:rFonts w:ascii="Arial" w:cs="Arial" w:eastAsia="Arial" w:hAnsi="Arial"/>
                <w:sz w:val="18"/>
                <w:szCs w:val="18"/>
                <w:color w:val="auto"/>
                <w:w w:val="90"/>
              </w:rPr>
              <w:t>I hereby exercise my Stock Option to purchase</w:t>
            </w:r>
          </w:p>
        </w:tc>
        <w:tc>
          <w:tcPr>
            <w:tcW w:w="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20" w:type="dxa"/>
            <w:vAlign w:val="bottom"/>
            <w:gridSpan w:val="2"/>
          </w:tcPr>
          <w:p>
            <w:pPr>
              <w:ind w:left="40"/>
              <w:spacing w:after="0"/>
              <w:rPr>
                <w:sz w:val="20"/>
                <w:szCs w:val="20"/>
                <w:color w:val="auto"/>
              </w:rPr>
            </w:pPr>
            <w:r>
              <w:rPr>
                <w:rFonts w:ascii="Arial" w:cs="Arial" w:eastAsia="Arial" w:hAnsi="Arial"/>
                <w:sz w:val="18"/>
                <w:szCs w:val="18"/>
                <w:color w:val="auto"/>
              </w:rPr>
              <w:t>shares (the “Shares”) of the common stock, $0.0001 par value, of Synlogic, Inc. (the</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w w:val="99"/>
              </w:rPr>
              <w:t>“Company”), at the exercise price of $[</w:t>
            </w:r>
          </w:p>
        </w:tc>
        <w:tc>
          <w:tcPr>
            <w:tcW w:w="8360" w:type="dxa"/>
            <w:vAlign w:val="bottom"/>
            <w:gridSpan w:val="5"/>
          </w:tcPr>
          <w:p>
            <w:pPr>
              <w:ind w:left="320"/>
              <w:spacing w:after="0"/>
              <w:rPr>
                <w:sz w:val="20"/>
                <w:szCs w:val="20"/>
                <w:color w:val="auto"/>
              </w:rPr>
            </w:pPr>
            <w:r>
              <w:rPr>
                <w:rFonts w:ascii="Arial" w:cs="Arial" w:eastAsia="Arial" w:hAnsi="Arial"/>
                <w:sz w:val="18"/>
                <w:szCs w:val="18"/>
                <w:color w:val="auto"/>
              </w:rPr>
              <w:t>] per share, pursuant to and subject to the terms of that certain Stock Option Agreement between the</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w w:val="99"/>
              </w:rPr>
              <w:t>undersigned and the Company dated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 20[</w:t>
            </w:r>
          </w:p>
        </w:tc>
        <w:tc>
          <w:tcPr>
            <w:tcW w:w="760" w:type="dxa"/>
            <w:vAlign w:val="bottom"/>
            <w:gridSpan w:val="2"/>
          </w:tcPr>
          <w:p>
            <w:pPr>
              <w:jc w:val="right"/>
              <w:ind w:right="550"/>
              <w:spacing w:after="0"/>
              <w:rPr>
                <w:sz w:val="20"/>
                <w:szCs w:val="20"/>
                <w:color w:val="auto"/>
              </w:rPr>
            </w:pPr>
            <w:r>
              <w:rPr>
                <w:rFonts w:ascii="Arial" w:cs="Arial" w:eastAsia="Arial" w:hAnsi="Arial"/>
                <w:sz w:val="18"/>
                <w:szCs w:val="18"/>
                <w:color w:val="auto"/>
                <w:w w:val="99"/>
              </w:rPr>
              <w:t>].</w:t>
            </w:r>
          </w:p>
        </w:tc>
        <w:tc>
          <w:tcPr>
            <w:tcW w:w="608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20" w:firstLine="456"/>
        <w:spacing w:after="0" w:line="264" w:lineRule="auto"/>
        <w:rPr>
          <w:sz w:val="20"/>
          <w:szCs w:val="20"/>
          <w:color w:val="auto"/>
        </w:rPr>
      </w:pPr>
      <w:r>
        <w:rPr>
          <w:rFonts w:ascii="Arial" w:cs="Arial" w:eastAsia="Arial" w:hAnsi="Arial"/>
          <w:sz w:val="18"/>
          <w:szCs w:val="18"/>
          <w:color w:val="auto"/>
        </w:rPr>
        <w:t>I am aware that the Shares have not been registered under the Securities Act of 1933, as amended (the “1933 Act”), or any state securities laws. I understand that the reliance by the Company on exemptions under the 1933 Act is predicated in part upon the truth and accuracy of the statements by me in this Notice of Exercise.</w:t>
      </w:r>
    </w:p>
    <w:p>
      <w:pPr>
        <w:spacing w:after="0" w:line="18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 hereby represent and warrant that (1) I have been furnished with all information which I deem necessary to evaluate the merits and risks of the purchase of the Shares; (2) I have had the opportunity to ask questions concerning the Shares and the Company and all questions posed have been answered to my satisfaction; (3) I have been given the opportunity to obtain any additional information I deem necessary to verify the accuracy of any information obtained concerning the Shares and the Company; and (4) I have such knowledge and experience in financial and business matters that I am able to evaluate the merits and risks of purchasing the Shares and to make an informed investment decision relating thereto.</w:t>
      </w:r>
    </w:p>
    <w:p>
      <w:pPr>
        <w:spacing w:after="0" w:line="173"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 hereby represent and warrant that I am purchasing the Shares for my own personal account for investment and not with a view to the sale or distribution of all or any part of the Shares.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 understand that because the Shares have not been registered under the 1933 Act, I must continue to bear the economic risk of the investment for an indefinite time and the Shares cannot be sold unless the Shares are subsequently registered under applicable federal and state securities laws or an exemption from such registration requirements is available.</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 agree that I will in no event sell or distribute or otherwise dispose of all or any part of the Shares unless (1) there is an effective registration statement under the 1933 Act and applicable state securities laws covering any such transaction involving the Shares or (2) the Company receives an opinion of my legal counsel (concurred in by legal counsel for the Company) stating that such transaction is exempt from registration or the Company otherwise satisfies itself that such transaction is exempt from registration.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420"/>
          </w:cols>
          <w:pgMar w:left="240" w:top="257" w:right="239" w:bottom="1440" w:gutter="0" w:footer="0" w:header="0"/>
        </w:sectPr>
      </w:pPr>
    </w:p>
    <w:bookmarkStart w:id="103" w:name="page104"/>
    <w:bookmarkEnd w:id="103"/>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consent to the placing of a legend on my certificate for the Shares stating that the Shares have not been registered and setting forth the restrictions on transfer contemplated hereby and to the placing of a stop transfer order on the books of the Company and with any transfer agents against the Shares until the Shares may be legally resold or distributed without restriction.</w:t>
      </w:r>
    </w:p>
    <w:p>
      <w:pPr>
        <w:spacing w:after="0" w:line="181" w:lineRule="exact"/>
        <w:rPr>
          <w:sz w:val="20"/>
          <w:szCs w:val="20"/>
          <w:color w:val="auto"/>
        </w:rPr>
      </w:pPr>
    </w:p>
    <w:p>
      <w:pPr>
        <w:jc w:val="both"/>
        <w:ind w:right="740" w:firstLine="456"/>
        <w:spacing w:after="0" w:line="264" w:lineRule="auto"/>
        <w:rPr>
          <w:sz w:val="20"/>
          <w:szCs w:val="20"/>
          <w:color w:val="auto"/>
        </w:rPr>
      </w:pPr>
      <w:r>
        <w:rPr>
          <w:rFonts w:ascii="Arial" w:cs="Arial" w:eastAsia="Arial" w:hAnsi="Arial"/>
          <w:sz w:val="18"/>
          <w:szCs w:val="18"/>
          <w:color w:val="auto"/>
        </w:rPr>
        <w:t>I understand that at the present time Rule 144 of the Securities and Exchange Commission (the “SEC”) may not be relied on for the resale or distribution of the Shares by me. I understand that the Company has no obligation to me to register the sale of the Shares with the SEC and has not represented to me that it will register the sale of the Shares.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 understand the terms and restrictions on the right to dispose of the Shares set forth in the 2017 Stock Incentive Plan and the Stock Option Agreement, both of which I have carefully reviewed. I consent to the placing of a legend on my certificate for the Shares referring to such restriction and the placing of stop transfer orders until the Shares may be transferred in accordance with the terms of such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have considered the Federal, state and local income tax implications of the exercise of my Option and the purchase and subsequent sale of the Shares.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am paying the option exercise price for the Shares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238125</wp:posOffset>
            </wp:positionV>
            <wp:extent cx="45707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issue the Shares (check one):</w:t>
      </w:r>
    </w:p>
    <w:p>
      <w:pPr>
        <w:spacing w:after="0" w:line="117" w:lineRule="exact"/>
        <w:rPr>
          <w:sz w:val="20"/>
          <w:szCs w:val="20"/>
          <w:color w:val="auto"/>
        </w:rPr>
      </w:pPr>
    </w:p>
    <w:p>
      <w:pPr>
        <w:ind w:left="720" w:hanging="256"/>
        <w:spacing w:after="0"/>
        <w:tabs>
          <w:tab w:leader="none" w:pos="72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to me; or</w:t>
      </w:r>
    </w:p>
    <w:p>
      <w:pPr>
        <w:spacing w:after="0" w:line="84" w:lineRule="exact"/>
        <w:rPr>
          <w:sz w:val="20"/>
          <w:szCs w:val="20"/>
          <w:color w:val="auto"/>
        </w:rPr>
      </w:pPr>
    </w:p>
    <w:p>
      <w:pPr>
        <w:ind w:left="460"/>
        <w:spacing w:after="0" w:line="207" w:lineRule="exact"/>
        <w:tabs>
          <w:tab w:leader="none" w:pos="29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me and</w:t>
      </w:r>
      <w:r>
        <w:rPr>
          <w:sz w:val="20"/>
          <w:szCs w:val="20"/>
          <w:color w:val="auto"/>
        </w:rPr>
        <w:tab/>
      </w:r>
      <w:r>
        <w:rPr>
          <w:rFonts w:ascii="Arial" w:cs="Arial" w:eastAsia="Arial" w:hAnsi="Arial"/>
          <w:sz w:val="16"/>
          <w:szCs w:val="16"/>
          <w:color w:val="auto"/>
        </w:rPr>
        <w:t>, as joint tenants with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10160</wp:posOffset>
            </wp:positionV>
            <wp:extent cx="9144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mail the certificate to me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5176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5176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15176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340"/>
          </w:cols>
          <w:pgMar w:left="240" w:top="274" w:right="3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My mailing address for shareholder communications, if different from the address listed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238125</wp:posOffset>
            </wp:positionV>
            <wp:extent cx="15176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417830</wp:posOffset>
            </wp:positionV>
            <wp:extent cx="15176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598170</wp:posOffset>
            </wp:positionV>
            <wp:extent cx="15176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2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-123190</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-130175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-130175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1639"/>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-130175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9759"/>
          </w:cols>
          <w:pgMar w:left="700" w:top="274"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EXERCISE OF STOCK OPTION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[Form for Shares </w:t>
      </w:r>
      <w:r>
        <w:rPr>
          <w:rFonts w:ascii="Arial" w:cs="Arial" w:eastAsia="Arial" w:hAnsi="Arial"/>
          <w:sz w:val="18"/>
          <w:szCs w:val="18"/>
          <w:b w:val="1"/>
          <w:bCs w:val="1"/>
          <w:u w:val="single" w:color="auto"/>
          <w:color w:val="auto"/>
        </w:rPr>
        <w:t>Registered</w:t>
      </w:r>
      <w:r>
        <w:rPr>
          <w:rFonts w:ascii="Arial" w:cs="Arial" w:eastAsia="Arial" w:hAnsi="Arial"/>
          <w:sz w:val="18"/>
          <w:szCs w:val="18"/>
          <w:b w:val="1"/>
          <w:bCs w:val="1"/>
          <w:color w:val="auto"/>
        </w:rPr>
        <w:t xml:space="preserve"> in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Synlogic, Inc.</w:t>
      </w:r>
    </w:p>
    <w:p>
      <w:pPr>
        <w:spacing w:after="0" w:line="221" w:lineRule="exact"/>
        <w:rPr>
          <w:sz w:val="20"/>
          <w:szCs w:val="20"/>
          <w:color w:val="auto"/>
        </w:rPr>
      </w:pPr>
    </w:p>
    <w:p>
      <w:pPr>
        <w:jc w:val="both"/>
        <w:ind w:right="600"/>
        <w:spacing w:after="0" w:line="266" w:lineRule="auto"/>
        <w:rPr>
          <w:sz w:val="20"/>
          <w:szCs w:val="20"/>
          <w:color w:val="auto"/>
        </w:rPr>
      </w:pPr>
      <w:r>
        <w:rPr>
          <w:rFonts w:ascii="Arial" w:cs="Arial" w:eastAsia="Arial" w:hAnsi="Arial"/>
          <w:sz w:val="18"/>
          <w:szCs w:val="18"/>
          <w:b w:val="1"/>
          <w:bCs w:val="1"/>
          <w:color w:val="auto"/>
        </w:rPr>
        <w:t>IMPORTANT NOTICE</w:t>
      </w:r>
      <w:r>
        <w:rPr>
          <w:rFonts w:ascii="Arial" w:cs="Arial" w:eastAsia="Arial" w:hAnsi="Arial"/>
          <w:sz w:val="18"/>
          <w:szCs w:val="18"/>
          <w:color w:val="auto"/>
        </w:rPr>
        <w:t>: This form of Notice of Exercise may only be used at such time as the Company has filed a Registration Statement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Exchange Commission under which the issuance of the Shares for which this exercise is being made is registered and such Registration Statement remains effective.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gridSpan w:val="4"/>
          </w:tcPr>
          <w:p>
            <w:pPr>
              <w:spacing w:after="0"/>
              <w:rPr>
                <w:sz w:val="20"/>
                <w:szCs w:val="20"/>
                <w:color w:val="auto"/>
              </w:rPr>
            </w:pPr>
            <w:r>
              <w:rPr>
                <w:rFonts w:ascii="Arial" w:cs="Arial" w:eastAsia="Arial" w:hAnsi="Arial"/>
                <w:sz w:val="18"/>
                <w:szCs w:val="18"/>
                <w:color w:val="auto"/>
              </w:rPr>
              <w:t>Ladies and Gentlemen:</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3"/>
          </w:tcPr>
          <w:p>
            <w:pPr>
              <w:ind w:left="40"/>
              <w:spacing w:after="0"/>
              <w:rPr>
                <w:sz w:val="20"/>
                <w:szCs w:val="20"/>
                <w:color w:val="auto"/>
              </w:rPr>
            </w:pPr>
            <w:r>
              <w:rPr>
                <w:rFonts w:ascii="Arial" w:cs="Arial" w:eastAsia="Arial" w:hAnsi="Arial"/>
                <w:sz w:val="18"/>
                <w:szCs w:val="18"/>
                <w:color w:val="auto"/>
                <w:w w:val="91"/>
              </w:rPr>
              <w:t>I hereby exercise my Stock Option to purchase</w:t>
            </w:r>
          </w:p>
        </w:tc>
        <w:tc>
          <w:tcPr>
            <w:tcW w:w="820" w:type="dxa"/>
            <w:vAlign w:val="bottom"/>
            <w:tcBorders>
              <w:bottom w:val="single" w:sz="8" w:color="auto"/>
            </w:tcBorders>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3"/>
              </w:rPr>
              <w:t>shares (the “Shares”) of the common stock, $0.0001 par value, of Synlogic, Inc. (the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3500" w:type="dxa"/>
            <w:vAlign w:val="bottom"/>
            <w:gridSpan w:val="4"/>
          </w:tcPr>
          <w:p>
            <w:pPr>
              <w:spacing w:after="0" w:line="196" w:lineRule="exact"/>
              <w:rPr>
                <w:sz w:val="20"/>
                <w:szCs w:val="20"/>
                <w:color w:val="auto"/>
              </w:rPr>
            </w:pPr>
            <w:r>
              <w:rPr>
                <w:rFonts w:ascii="Arial" w:cs="Arial" w:eastAsia="Arial" w:hAnsi="Arial"/>
                <w:sz w:val="18"/>
                <w:szCs w:val="18"/>
                <w:color w:val="auto"/>
              </w:rPr>
              <w:t>“Company”), at the exercise price of $</w:t>
            </w:r>
          </w:p>
        </w:tc>
        <w:tc>
          <w:tcPr>
            <w:tcW w:w="750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per share, pursuant to and subject to the terms of that Stock Option Grant Notice dated</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780" w:type="dxa"/>
            <w:vAlign w:val="bottom"/>
            <w:gridSpan w:val="3"/>
          </w:tcPr>
          <w:p>
            <w:pPr>
              <w:spacing w:after="0" w:line="196" w:lineRule="exact"/>
              <w:rPr>
                <w:sz w:val="20"/>
                <w:szCs w:val="20"/>
                <w:color w:val="auto"/>
              </w:rPr>
            </w:pPr>
            <w:r>
              <w:rPr>
                <w:rFonts w:ascii="Arial" w:cs="Arial" w:eastAsia="Arial" w:hAnsi="Arial"/>
                <w:sz w:val="18"/>
                <w:szCs w:val="18"/>
                <w:color w:val="auto"/>
              </w:rPr>
              <w:t>20[  ].</w:t>
            </w:r>
          </w:p>
        </w:tc>
        <w:tc>
          <w:tcPr>
            <w:tcW w:w="7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 understand the nature of the investment I am making and the financial risks thereof. I am aware that it is my responsibility to have consulted with competent tax and legal advisors about the relevant national, state and local income tax and securities laws affecting the exercise of the Option and the purchase and subsequent sale of the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am paying the option exercise price for the Shares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238125</wp:posOffset>
            </wp:positionV>
            <wp:extent cx="45707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issue the Shares (check one):</w:t>
      </w:r>
    </w:p>
    <w:p>
      <w:pPr>
        <w:spacing w:after="0" w:line="117" w:lineRule="exact"/>
        <w:rPr>
          <w:sz w:val="20"/>
          <w:szCs w:val="20"/>
          <w:color w:val="auto"/>
        </w:rPr>
      </w:pPr>
    </w:p>
    <w:p>
      <w:pPr>
        <w:ind w:left="720" w:hanging="256"/>
        <w:spacing w:after="0"/>
        <w:tabs>
          <w:tab w:leader="none" w:pos="720"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to me; or</w:t>
      </w:r>
    </w:p>
    <w:p>
      <w:pPr>
        <w:spacing w:after="0" w:line="84" w:lineRule="exact"/>
        <w:rPr>
          <w:sz w:val="20"/>
          <w:szCs w:val="20"/>
          <w:color w:val="auto"/>
        </w:rPr>
      </w:pPr>
    </w:p>
    <w:p>
      <w:pPr>
        <w:ind w:left="460"/>
        <w:spacing w:after="0" w:line="207" w:lineRule="exact"/>
        <w:tabs>
          <w:tab w:leader="none" w:pos="29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me and</w:t>
      </w:r>
      <w:r>
        <w:rPr>
          <w:sz w:val="20"/>
          <w:szCs w:val="20"/>
          <w:color w:val="auto"/>
        </w:rPr>
        <w:tab/>
      </w:r>
      <w:r>
        <w:rPr>
          <w:rFonts w:ascii="Arial" w:cs="Arial" w:eastAsia="Arial" w:hAnsi="Arial"/>
          <w:sz w:val="16"/>
          <w:szCs w:val="16"/>
          <w:color w:val="auto"/>
        </w:rPr>
        <w:t>, as joint tenants with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10160</wp:posOffset>
            </wp:positionV>
            <wp:extent cx="9144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246380</wp:posOffset>
            </wp:positionV>
            <wp:extent cx="22466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426720</wp:posOffset>
            </wp:positionV>
            <wp:extent cx="22466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606425</wp:posOffset>
            </wp:positionV>
            <wp:extent cx="22466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420"/>
          </w:cols>
          <w:pgMar w:left="240" w:top="27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My mailing address for shareholder communications, if different from the address listed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238125</wp:posOffset>
            </wp:positionV>
            <wp:extent cx="22466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417830</wp:posOffset>
            </wp:positionV>
            <wp:extent cx="22466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598170</wp:posOffset>
            </wp:positionV>
            <wp:extent cx="22466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22"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-123190</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-130175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-130175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1279"/>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-130175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Exhibit B-2</w:t>
      </w:r>
    </w:p>
    <w:p>
      <w:pPr>
        <w:sectPr>
          <w:pgSz w:w="11900" w:h="16838" w:orient="portrait"/>
          <w:cols w:equalWidth="0" w:num="1">
            <w:col w:w="9759"/>
          </w:cols>
          <w:pgMar w:left="700" w:top="274"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Jose-Carlos Gutierrez-Ramos, certify that:</w:t>
      </w:r>
    </w:p>
    <w:p>
      <w:pPr>
        <w:spacing w:after="0" w:line="131" w:lineRule="exact"/>
        <w:rPr>
          <w:sz w:val="20"/>
          <w:szCs w:val="20"/>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240" w:hanging="446"/>
        <w:spacing w:after="0" w:line="291"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480" w:right="120" w:hanging="567"/>
        <w:spacing w:after="0" w:line="264" w:lineRule="auto"/>
        <w:tabs>
          <w:tab w:leader="none" w:pos="14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w:t>
      </w:r>
    </w:p>
    <w:p>
      <w:pPr>
        <w:spacing w:after="0" w:line="130"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480" w:right="460" w:hanging="567"/>
        <w:spacing w:after="0" w:line="342" w:lineRule="auto"/>
        <w:tabs>
          <w:tab w:leader="none" w:pos="14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40" w:hanging="567"/>
        <w:spacing w:after="0" w:line="277" w:lineRule="auto"/>
        <w:tabs>
          <w:tab w:leader="none" w:pos="14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w:t>
      </w:r>
      <w:r>
        <w:rPr>
          <w:rFonts w:ascii="Arial" w:cs="Arial" w:eastAsia="Arial" w:hAnsi="Arial"/>
          <w:sz w:val="15"/>
          <w:szCs w:val="15"/>
          <w:color w:val="auto"/>
        </w:rPr>
        <w:t>OSE</w:t>
      </w:r>
      <w:r>
        <w:rPr>
          <w:rFonts w:ascii="Arial" w:cs="Arial" w:eastAsia="Arial" w:hAnsi="Arial"/>
          <w:sz w:val="18"/>
          <w:szCs w:val="18"/>
          <w:color w:val="auto"/>
        </w:rPr>
        <w:t xml:space="preserve"> C</w:t>
      </w:r>
      <w:r>
        <w:rPr>
          <w:rFonts w:ascii="Arial" w:cs="Arial" w:eastAsia="Arial" w:hAnsi="Arial"/>
          <w:sz w:val="15"/>
          <w:szCs w:val="15"/>
          <w:color w:val="auto"/>
        </w:rPr>
        <w:t>ARLOS</w:t>
      </w:r>
      <w:r>
        <w:rPr>
          <w:rFonts w:ascii="Arial" w:cs="Arial" w:eastAsia="Arial" w:hAnsi="Arial"/>
          <w:sz w:val="18"/>
          <w:szCs w:val="18"/>
          <w:color w:val="auto"/>
        </w:rPr>
        <w:t xml:space="preserve"> G</w:t>
      </w:r>
      <w:r>
        <w:rPr>
          <w:rFonts w:ascii="Arial" w:cs="Arial" w:eastAsia="Arial" w:hAnsi="Arial"/>
          <w:sz w:val="15"/>
          <w:szCs w:val="15"/>
          <w:color w:val="auto"/>
        </w:rPr>
        <w:t>UTIÉRREZ</w:t>
      </w:r>
      <w:r>
        <w:rPr>
          <w:rFonts w:ascii="Arial" w:cs="Arial" w:eastAsia="Arial" w:hAnsi="Arial"/>
          <w:sz w:val="18"/>
          <w:szCs w:val="18"/>
          <w:color w:val="auto"/>
        </w:rPr>
        <w:t>-R</w:t>
      </w:r>
      <w:r>
        <w:rPr>
          <w:rFonts w:ascii="Arial" w:cs="Arial" w:eastAsia="Arial" w:hAnsi="Arial"/>
          <w:sz w:val="15"/>
          <w:szCs w:val="15"/>
          <w:color w:val="auto"/>
        </w:rPr>
        <w:t>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Jose Carlos Gutiérrez-Ramos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Todd Shegog, certify that:</w:t>
      </w:r>
    </w:p>
    <w:p>
      <w:pPr>
        <w:spacing w:after="0" w:line="131"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240" w:hanging="446"/>
        <w:spacing w:after="0" w:line="291"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15d-15(f))for the registrant and have:</w:t>
      </w:r>
    </w:p>
    <w:p>
      <w:pPr>
        <w:spacing w:after="0" w:line="116" w:lineRule="exact"/>
        <w:rPr>
          <w:rFonts w:ascii="Arial" w:cs="Arial" w:eastAsia="Arial" w:hAnsi="Arial"/>
          <w:sz w:val="16"/>
          <w:szCs w:val="16"/>
          <w:color w:val="auto"/>
        </w:rPr>
      </w:pPr>
    </w:p>
    <w:p>
      <w:pPr>
        <w:ind w:left="1480" w:right="120" w:hanging="567"/>
        <w:spacing w:after="0" w:line="264" w:lineRule="auto"/>
        <w:tabs>
          <w:tab w:leader="none" w:pos="14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w:t>
      </w:r>
    </w:p>
    <w:p>
      <w:pPr>
        <w:spacing w:after="0" w:line="130"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480" w:right="460" w:hanging="567"/>
        <w:spacing w:after="0" w:line="342" w:lineRule="auto"/>
        <w:tabs>
          <w:tab w:leader="none" w:pos="148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40" w:hanging="567"/>
        <w:spacing w:after="0" w:line="277" w:lineRule="auto"/>
        <w:tabs>
          <w:tab w:leader="none" w:pos="14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w:t>
      </w:r>
      <w:r>
        <w:rPr>
          <w:rFonts w:ascii="Arial" w:cs="Arial" w:eastAsia="Arial" w:hAnsi="Arial"/>
          <w:sz w:val="15"/>
          <w:szCs w:val="15"/>
          <w:color w:val="auto"/>
        </w:rPr>
        <w:t>ODD</w:t>
      </w:r>
      <w:r>
        <w:rPr>
          <w:rFonts w:ascii="Arial" w:cs="Arial" w:eastAsia="Arial" w:hAnsi="Arial"/>
          <w:sz w:val="18"/>
          <w:szCs w:val="18"/>
          <w:color w:val="auto"/>
        </w:rPr>
        <w:t xml:space="preserve"> S</w:t>
      </w:r>
      <w:r>
        <w:rPr>
          <w:rFonts w:ascii="Arial" w:cs="Arial" w:eastAsia="Arial" w:hAnsi="Arial"/>
          <w:sz w:val="15"/>
          <w:szCs w:val="15"/>
          <w:color w:val="auto"/>
        </w:rPr>
        <w:t>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Todd Shegog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In connection with the Quarterly Report of Synlogic, Inc. (the “Company”) on Form 10-Q for the period ended September 30, 2017 as filed with the Securities and Exchange Commission on the date hereof (the “Report”), I, Jose-Carlos Gutierrez-Ramos, President and Chief Executive Officer of the Company, certify, pursuant to 18 U.S.C. Section 1350, as adopted pursuant to Section 906 of the Sarbanes-Oxley Act of 2002, to my knowledge that:</w:t>
      </w:r>
    </w:p>
    <w:p>
      <w:pPr>
        <w:spacing w:after="0" w:line="52" w:lineRule="exact"/>
        <w:rPr>
          <w:sz w:val="20"/>
          <w:szCs w:val="20"/>
          <w:color w:val="auto"/>
        </w:rPr>
      </w:pPr>
    </w:p>
    <w:p>
      <w:pPr>
        <w:ind w:left="1480" w:hanging="567"/>
        <w:spacing w:after="0"/>
        <w:tabs>
          <w:tab w:leader="none" w:pos="14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1480" w:right="280" w:hanging="567"/>
        <w:spacing w:after="0" w:line="277" w:lineRule="auto"/>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w:t>
      </w:r>
      <w:r>
        <w:rPr>
          <w:rFonts w:ascii="Arial" w:cs="Arial" w:eastAsia="Arial" w:hAnsi="Arial"/>
          <w:sz w:val="15"/>
          <w:szCs w:val="15"/>
          <w:color w:val="auto"/>
        </w:rPr>
        <w:t>OSE</w:t>
      </w:r>
      <w:r>
        <w:rPr>
          <w:rFonts w:ascii="Arial" w:cs="Arial" w:eastAsia="Arial" w:hAnsi="Arial"/>
          <w:sz w:val="18"/>
          <w:szCs w:val="18"/>
          <w:color w:val="auto"/>
        </w:rPr>
        <w:t xml:space="preserve"> C</w:t>
      </w:r>
      <w:r>
        <w:rPr>
          <w:rFonts w:ascii="Arial" w:cs="Arial" w:eastAsia="Arial" w:hAnsi="Arial"/>
          <w:sz w:val="15"/>
          <w:szCs w:val="15"/>
          <w:color w:val="auto"/>
        </w:rPr>
        <w:t>ARLOS</w:t>
      </w:r>
      <w:r>
        <w:rPr>
          <w:rFonts w:ascii="Arial" w:cs="Arial" w:eastAsia="Arial" w:hAnsi="Arial"/>
          <w:sz w:val="18"/>
          <w:szCs w:val="18"/>
          <w:color w:val="auto"/>
        </w:rPr>
        <w:t xml:space="preserve"> G</w:t>
      </w:r>
      <w:r>
        <w:rPr>
          <w:rFonts w:ascii="Arial" w:cs="Arial" w:eastAsia="Arial" w:hAnsi="Arial"/>
          <w:sz w:val="15"/>
          <w:szCs w:val="15"/>
          <w:color w:val="auto"/>
        </w:rPr>
        <w:t>UTIÉRREZ</w:t>
      </w:r>
      <w:r>
        <w:rPr>
          <w:rFonts w:ascii="Arial" w:cs="Arial" w:eastAsia="Arial" w:hAnsi="Arial"/>
          <w:sz w:val="18"/>
          <w:szCs w:val="18"/>
          <w:color w:val="auto"/>
        </w:rPr>
        <w:t>-R</w:t>
      </w:r>
      <w:r>
        <w:rPr>
          <w:rFonts w:ascii="Arial" w:cs="Arial" w:eastAsia="Arial" w:hAnsi="Arial"/>
          <w:sz w:val="15"/>
          <w:szCs w:val="15"/>
          <w:color w:val="auto"/>
        </w:rPr>
        <w:t>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Jose Carlos Gutiérrez-Ramos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2017</w:t>
      </w:r>
    </w:p>
    <w:p>
      <w:pPr>
        <w:spacing w:after="0" w:line="21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September 30, 2017 as filed with the Securities and Exchange Commission on the date hereof (the “Report”), I, Todd Shegog, Chief Financial Officer of the Company, certify, pursuant to 18 U.S.C. Section 1350, as adopted pursuant to Section 906 of the Sarbanes-Oxley Act of 2002, to my knowledge that:</w:t>
      </w:r>
    </w:p>
    <w:p>
      <w:pPr>
        <w:spacing w:after="0" w:line="71" w:lineRule="exact"/>
        <w:rPr>
          <w:sz w:val="20"/>
          <w:szCs w:val="20"/>
          <w:color w:val="auto"/>
        </w:rPr>
      </w:pPr>
    </w:p>
    <w:p>
      <w:pPr>
        <w:ind w:left="1480" w:hanging="567"/>
        <w:spacing w:after="0"/>
        <w:tabs>
          <w:tab w:leader="none" w:pos="14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1480" w:right="280" w:hanging="567"/>
        <w:spacing w:after="0" w:line="277" w:lineRule="auto"/>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T</w:t>
      </w:r>
      <w:r>
        <w:rPr>
          <w:rFonts w:ascii="Arial" w:cs="Arial" w:eastAsia="Arial" w:hAnsi="Arial"/>
          <w:sz w:val="15"/>
          <w:szCs w:val="15"/>
          <w:color w:val="auto"/>
        </w:rPr>
        <w:t>ODD</w:t>
      </w:r>
      <w:r>
        <w:rPr>
          <w:rFonts w:ascii="Arial" w:cs="Arial" w:eastAsia="Arial" w:hAnsi="Arial"/>
          <w:sz w:val="18"/>
          <w:szCs w:val="18"/>
          <w:color w:val="auto"/>
        </w:rPr>
        <w:t xml:space="preserve"> S</w:t>
      </w:r>
      <w:r>
        <w:rPr>
          <w:rFonts w:ascii="Arial" w:cs="Arial" w:eastAsia="Arial" w:hAnsi="Arial"/>
          <w:sz w:val="15"/>
          <w:szCs w:val="15"/>
          <w:color w:val="auto"/>
        </w:rPr>
        <w:t>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Todd Shegog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2017</w:t>
      </w:r>
    </w:p>
    <w:p>
      <w:pPr>
        <w:spacing w:after="0" w:line="21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1)"/>
      <w:numFmt w:val="decimal"/>
      <w:start w:val="1"/>
    </w:lvl>
  </w:abstractNum>
  <w:abstractNum w:abstractNumId="3">
    <w:nsid w:val="A0382C5"/>
    <w:multiLevelType w:val="hybridMultilevel"/>
    <w:lvl w:ilvl="0">
      <w:lvlJc w:val="left"/>
      <w:lvlText w:val="(%1)"/>
      <w:numFmt w:val="decimal"/>
      <w:start w:val="2"/>
    </w:lvl>
  </w:abstractNum>
  <w:abstractNum w:abstractNumId="4">
    <w:nsid w:val="8F2B15E"/>
    <w:multiLevelType w:val="hybridMultilevel"/>
    <w:lvl w:ilvl="0">
      <w:lvlJc w:val="left"/>
      <w:lvlText w:val="(%1)"/>
      <w:numFmt w:val="lowerLetter"/>
      <w:start w:val="1"/>
    </w:lvl>
  </w:abstractNum>
  <w:abstractNum w:abstractNumId="5">
    <w:nsid w:val="1A32234B"/>
    <w:multiLevelType w:val="hybridMultilevel"/>
    <w:lvl w:ilvl="0">
      <w:lvlJc w:val="left"/>
      <w:lvlText w:val="(%1)"/>
      <w:numFmt w:val="lowerLetter"/>
      <w:start w:val="2"/>
    </w:lvl>
  </w:abstractNum>
  <w:abstractNum w:abstractNumId="6">
    <w:nsid w:val="3B0FD379"/>
    <w:multiLevelType w:val="hybridMultilevel"/>
    <w:lvl w:ilvl="0">
      <w:lvlJc w:val="left"/>
      <w:lvlText w:val="(%1)"/>
      <w:numFmt w:val="lowerLetter"/>
      <w:start w:val="3"/>
    </w:lvl>
  </w:abstractNum>
  <w:abstractNum w:abstractNumId="7">
    <w:nsid w:val="68EB2F63"/>
    <w:multiLevelType w:val="hybridMultilevel"/>
    <w:lvl w:ilvl="0">
      <w:lvlJc w:val="left"/>
      <w:lvlText w:val="(%1)"/>
      <w:numFmt w:val="lowerLetter"/>
      <w:start w:val="4"/>
    </w:lvl>
  </w:abstractNum>
  <w:abstractNum w:abstractNumId="8">
    <w:nsid w:val="4962813B"/>
    <w:multiLevelType w:val="hybridMultilevel"/>
    <w:lvl w:ilvl="0">
      <w:lvlJc w:val="left"/>
      <w:lvlText w:val="(%1)"/>
      <w:numFmt w:val="lowerLetter"/>
      <w:start w:val="5"/>
    </w:lvl>
  </w:abstractNum>
  <w:abstractNum w:abstractNumId="9">
    <w:nsid w:val="60B6DF70"/>
    <w:multiLevelType w:val="hybridMultilevel"/>
    <w:lvl w:ilvl="0">
      <w:lvlJc w:val="left"/>
      <w:lvlText w:val="(%1)"/>
      <w:numFmt w:val="lowerLetter"/>
      <w:start w:val="5"/>
    </w:lvl>
    <w:lvl w:ilvl="1">
      <w:lvlJc w:val="left"/>
      <w:lvlText w:val="•"/>
      <w:numFmt w:val="bullet"/>
      <w:start w:val="1"/>
    </w:lvl>
  </w:abstractNum>
  <w:abstractNum w:abstractNumId="10">
    <w:nsid w:val="6A5EE64"/>
    <w:multiLevelType w:val="hybridMultilevel"/>
    <w:lvl w:ilvl="0">
      <w:lvlJc w:val="left"/>
      <w:lvlText w:val="(%1)"/>
      <w:numFmt w:val="lowerLetter"/>
      <w:start w:val="7"/>
    </w:lvl>
  </w:abstractNum>
  <w:abstractNum w:abstractNumId="11">
    <w:nsid w:val="14330624"/>
    <w:multiLevelType w:val="hybridMultilevel"/>
    <w:lvl w:ilvl="0">
      <w:lvlJc w:val="left"/>
      <w:lvlText w:val="(%1)"/>
      <w:numFmt w:val="decimal"/>
      <w:start w:val="1"/>
    </w:lvl>
  </w:abstractNum>
  <w:abstractNum w:abstractNumId="12">
    <w:nsid w:val="7FFFCA11"/>
    <w:multiLevelType w:val="hybridMultilevel"/>
    <w:lvl w:ilvl="0">
      <w:lvlJc w:val="left"/>
      <w:lvlText w:val="(%1)"/>
      <w:numFmt w:val="decimal"/>
      <w:start w:val="3"/>
    </w:lvl>
  </w:abstractNum>
  <w:abstractNum w:abstractNumId="13">
    <w:nsid w:val="1A27709E"/>
    <w:multiLevelType w:val="hybridMultilevel"/>
    <w:lvl w:ilvl="0">
      <w:lvlJc w:val="left"/>
      <w:lvlText w:val="(%1)"/>
      <w:numFmt w:val="decimal"/>
      <w:start w:val="4"/>
    </w:lvl>
  </w:abstractNum>
  <w:abstractNum w:abstractNumId="14">
    <w:nsid w:val="71EA1109"/>
    <w:multiLevelType w:val="hybridMultilevel"/>
    <w:lvl w:ilvl="0">
      <w:lvlJc w:val="left"/>
      <w:lvlText w:val="(%1)"/>
      <w:numFmt w:val="decimal"/>
      <w:start w:val="5"/>
    </w:lvl>
  </w:abstractNum>
  <w:abstractNum w:abstractNumId="15">
    <w:nsid w:val="100F59DC"/>
    <w:multiLevelType w:val="hybridMultilevel"/>
    <w:lvl w:ilvl="0">
      <w:lvlJc w:val="left"/>
      <w:lvlText w:val="(%1)"/>
      <w:numFmt w:val="decimal"/>
      <w:start w:val="6"/>
    </w:lvl>
  </w:abstractNum>
  <w:abstractNum w:abstractNumId="16">
    <w:nsid w:val="7FB7E0AA"/>
    <w:multiLevelType w:val="hybridMultilevel"/>
    <w:lvl w:ilvl="0">
      <w:lvlJc w:val="left"/>
      <w:lvlText w:val="(%1)"/>
      <w:numFmt w:val="decimal"/>
      <w:start w:val="8"/>
    </w:lvl>
    <w:lvl w:ilvl="1">
      <w:lvlJc w:val="left"/>
      <w:lvlText w:val="•"/>
      <w:numFmt w:val="bullet"/>
      <w:start w:val="1"/>
    </w:lvl>
  </w:abstractNum>
  <w:abstractNum w:abstractNumId="17">
    <w:nsid w:val="6EB5BD4"/>
    <w:multiLevelType w:val="hybridMultilevel"/>
    <w:lvl w:ilvl="0">
      <w:lvlJc w:val="left"/>
      <w:lvlText w:val="(%1)"/>
      <w:numFmt w:val="decimal"/>
      <w:start w:val="9"/>
    </w:lvl>
  </w:abstractNum>
  <w:abstractNum w:abstractNumId="18">
    <w:nsid w:val="6F6DD9AC"/>
    <w:multiLevelType w:val="hybridMultilevel"/>
    <w:lvl w:ilvl="0">
      <w:lvlJc w:val="left"/>
      <w:lvlText w:val="(%1)"/>
      <w:numFmt w:val="lowerLetter"/>
      <w:start w:val="1"/>
    </w:lvl>
  </w:abstractNum>
  <w:abstractNum w:abstractNumId="19">
    <w:nsid w:val="94211F2"/>
    <w:multiLevelType w:val="hybridMultilevel"/>
    <w:lvl w:ilvl="0">
      <w:lvlJc w:val="left"/>
      <w:lvlText w:val="(%1)"/>
      <w:numFmt w:val="lowerLetter"/>
      <w:start w:val="2"/>
    </w:lvl>
  </w:abstractNum>
  <w:abstractNum w:abstractNumId="20">
    <w:nsid w:val="885E1B"/>
    <w:multiLevelType w:val="hybridMultilevel"/>
    <w:lvl w:ilvl="0">
      <w:lvlJc w:val="left"/>
      <w:lvlText w:val="(%1)"/>
      <w:numFmt w:val="lowerRoman"/>
      <w:start w:val="1"/>
    </w:lvl>
  </w:abstractNum>
  <w:abstractNum w:abstractNumId="21">
    <w:nsid w:val="76272110"/>
    <w:multiLevelType w:val="hybridMultilevel"/>
    <w:lvl w:ilvl="0">
      <w:lvlJc w:val="left"/>
      <w:lvlText w:val="(%1)"/>
      <w:numFmt w:val="lowerRoman"/>
      <w:start w:val="2"/>
    </w:lvl>
  </w:abstractNum>
  <w:abstractNum w:abstractNumId="22">
    <w:nsid w:val="4C04A8AF"/>
    <w:multiLevelType w:val="hybridMultilevel"/>
    <w:lvl w:ilvl="0">
      <w:lvlJc w:val="left"/>
      <w:lvlText w:val="(%1)"/>
      <w:numFmt w:val="lowerLetter"/>
      <w:start w:val="3"/>
    </w:lvl>
  </w:abstractNum>
  <w:abstractNum w:abstractNumId="23">
    <w:nsid w:val="1716703B"/>
    <w:multiLevelType w:val="hybridMultilevel"/>
    <w:lvl w:ilvl="0">
      <w:lvlJc w:val="left"/>
      <w:lvlText w:val="(%1)"/>
      <w:numFmt w:val="lowerRoman"/>
      <w:start w:val="1"/>
    </w:lvl>
  </w:abstractNum>
  <w:abstractNum w:abstractNumId="24">
    <w:nsid w:val="14E17E33"/>
    <w:multiLevelType w:val="hybridMultilevel"/>
    <w:lvl w:ilvl="0">
      <w:lvlJc w:val="left"/>
      <w:lvlText w:val="(%1)"/>
      <w:numFmt w:val="lowerRoman"/>
      <w:start w:val="2"/>
    </w:lvl>
  </w:abstractNum>
  <w:abstractNum w:abstractNumId="25">
    <w:nsid w:val="3222E7CD"/>
    <w:multiLevelType w:val="hybridMultilevel"/>
    <w:lvl w:ilvl="0">
      <w:lvlJc w:val="left"/>
      <w:lvlText w:val="(%1)"/>
      <w:numFmt w:val="lowerLetter"/>
      <w:start w:val="1"/>
    </w:lvl>
  </w:abstractNum>
  <w:abstractNum w:abstractNumId="26">
    <w:nsid w:val="74DE0EE3"/>
    <w:multiLevelType w:val="hybridMultilevel"/>
    <w:lvl w:ilvl="0">
      <w:lvlJc w:val="left"/>
      <w:lvlText w:val="(%1)"/>
      <w:numFmt w:val="lowerLetter"/>
      <w:start w:val="2"/>
    </w:lvl>
  </w:abstractNum>
  <w:abstractNum w:abstractNumId="27">
    <w:nsid w:val="68EBC550"/>
    <w:multiLevelType w:val="hybridMultilevel"/>
    <w:lvl w:ilvl="0">
      <w:lvlJc w:val="left"/>
      <w:lvlText w:val="(%1)"/>
      <w:numFmt w:val="decimal"/>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1)"/>
      <w:numFmt w:val="lowerLetter"/>
      <w:start w:val="1"/>
    </w:lvl>
  </w:abstractNum>
  <w:abstractNum w:abstractNumId="51">
    <w:nsid w:val="7DE67713"/>
    <w:multiLevelType w:val="hybridMultilevel"/>
    <w:lvl w:ilvl="0">
      <w:lvlJc w:val="left"/>
      <w:lvlText w:val="(%1)"/>
      <w:numFmt w:val="lowerLetter"/>
      <w:start w:val="2"/>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1."/>
      <w:numFmt w:val="decimal"/>
      <w:start w:val="1"/>
    </w:lvl>
  </w:abstractNum>
  <w:abstractNum w:abstractNumId="57">
    <w:nsid w:val="9DAF632"/>
    <w:multiLevelType w:val="hybridMultilevel"/>
    <w:lvl w:ilvl="0">
      <w:lvlJc w:val="left"/>
      <w:lvlText w:val="(%1)"/>
      <w:numFmt w:val="decimal"/>
      <w:start w:val="1"/>
    </w:lvl>
  </w:abstractNum>
  <w:abstractNum w:abstractNumId="58">
    <w:nsid w:val="53299938"/>
    <w:multiLevelType w:val="hybridMultilevel"/>
    <w:lvl w:ilvl="0">
      <w:lvlJc w:val="left"/>
      <w:lvlText w:val="%1."/>
      <w:numFmt w:val="decimal"/>
      <w:start w:val="2"/>
    </w:lvl>
  </w:abstractNum>
  <w:abstractNum w:abstractNumId="59">
    <w:nsid w:val="1FBFE8E0"/>
    <w:multiLevelType w:val="hybridMultilevel"/>
    <w:lvl w:ilvl="0">
      <w:lvlJc w:val="left"/>
      <w:lvlText w:val="%1."/>
      <w:numFmt w:val="decimal"/>
      <w:start w:val="3"/>
    </w:lvl>
    <w:lvl w:ilvl="1">
      <w:lvlJc w:val="left"/>
      <w:lvlText w:val="(%2)"/>
      <w:numFmt w:val="lowerLetter"/>
      <w:start w:val="1"/>
    </w:lvl>
  </w:abstractNum>
  <w:abstractNum w:abstractNumId="60">
    <w:nsid w:val="5092CA79"/>
    <w:multiLevelType w:val="hybridMultilevel"/>
    <w:lvl w:ilvl="0">
      <w:lvlJc w:val="left"/>
      <w:lvlText w:val="%1."/>
      <w:numFmt w:val="decimal"/>
      <w:start w:val="4"/>
    </w:lvl>
  </w:abstractNum>
  <w:abstractNum w:abstractNumId="61">
    <w:nsid w:val="1D545C4D"/>
    <w:multiLevelType w:val="hybridMultilevel"/>
    <w:lvl w:ilvl="0">
      <w:lvlJc w:val="left"/>
      <w:lvlText w:val="(%1)"/>
      <w:numFmt w:val="lowerLetter"/>
      <w:start w:val="1"/>
    </w:lvl>
  </w:abstractNum>
  <w:abstractNum w:abstractNumId="62">
    <w:nsid w:val="59ADEA3D"/>
    <w:multiLevelType w:val="hybridMultilevel"/>
    <w:lvl w:ilvl="0">
      <w:lvlJc w:val="left"/>
      <w:lvlText w:val="%1."/>
      <w:numFmt w:val="decimal"/>
      <w:start w:val="5"/>
    </w:lvl>
  </w:abstractNum>
  <w:abstractNum w:abstractNumId="63">
    <w:nsid w:val="288F1A34"/>
    <w:multiLevelType w:val="hybridMultilevel"/>
    <w:lvl w:ilvl="0">
      <w:lvlJc w:val="left"/>
      <w:lvlText w:val="%1."/>
      <w:numFmt w:val="decimal"/>
      <w:start w:val="6"/>
    </w:lvl>
  </w:abstractNum>
  <w:abstractNum w:abstractNumId="64">
    <w:nsid w:val="2A155DBC"/>
    <w:multiLevelType w:val="hybridMultilevel"/>
    <w:lvl w:ilvl="0">
      <w:lvlJc w:val="left"/>
      <w:lvlText w:val="(%1)"/>
      <w:numFmt w:val="lowerLetter"/>
      <w:start w:val="1"/>
    </w:lvl>
  </w:abstractNum>
  <w:abstractNum w:abstractNumId="65">
    <w:nsid w:val="1D9F6E5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6">
    <w:nsid w:val="97E1B4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7">
    <w:nsid w:val="51088277"/>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8">
    <w:nsid w:val="1CA0C5FA"/>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69">
    <w:nsid w:val="53584BCB"/>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70">
    <w:nsid w:val="415E286C"/>
    <w:multiLevelType w:val="hybridMultilevel"/>
    <w:lvl w:ilvl="0">
      <w:lvlJc w:val="left"/>
      <w:lvlText w:val="(%1)"/>
      <w:numFmt w:val="lowerLetter"/>
      <w:start w:val="1"/>
    </w:lvl>
  </w:abstractNum>
  <w:abstractNum w:abstractNumId="71">
    <w:nsid w:val="7C58FD05"/>
    <w:multiLevelType w:val="hybridMultilevel"/>
    <w:lvl w:ilvl="0">
      <w:lvlJc w:val="left"/>
      <w:lvlText w:val="%1"/>
      <w:numFmt w:val="decimal"/>
      <w:start w:val="1"/>
    </w:lvl>
    <w:lvl w:ilvl="1">
      <w:lvlJc w:val="left"/>
      <w:lvlText w:val="(%2)"/>
      <w:numFmt w:val="lowerLetter"/>
      <w:start w:val="3"/>
    </w:lvl>
  </w:abstractNum>
  <w:abstractNum w:abstractNumId="72">
    <w:nsid w:val="23D86AAC"/>
    <w:multiLevelType w:val="hybridMultilevel"/>
    <w:lvl w:ilvl="0">
      <w:lvlJc w:val="left"/>
      <w:lvlText w:val="%1."/>
      <w:numFmt w:val="decimal"/>
      <w:start w:val="8"/>
    </w:lvl>
    <w:lvl w:ilvl="1">
      <w:lvlJc w:val="left"/>
      <w:lvlText w:val="%2"/>
      <w:numFmt w:val="lowerLetter"/>
      <w:start w:val="1"/>
    </w:lvl>
  </w:abstractNum>
  <w:abstractNum w:abstractNumId="73">
    <w:nsid w:val="45E6D486"/>
    <w:multiLevelType w:val="hybridMultilevel"/>
    <w:lvl w:ilvl="0">
      <w:lvlJc w:val="left"/>
      <w:lvlText w:val="%1."/>
      <w:numFmt w:val="decimal"/>
      <w:start w:val="10"/>
    </w:lvl>
  </w:abstractNum>
  <w:abstractNum w:abstractNumId="74">
    <w:nsid w:val="5C10FE21"/>
    <w:multiLevelType w:val="hybridMultilevel"/>
    <w:lvl w:ilvl="0">
      <w:lvlJc w:val="left"/>
      <w:lvlText w:val="%1."/>
      <w:numFmt w:val="decimal"/>
      <w:start w:val="11"/>
    </w:lvl>
  </w:abstractNum>
  <w:abstractNum w:abstractNumId="75">
    <w:nsid w:val="E7FFA2B"/>
    <w:multiLevelType w:val="hybridMultilevel"/>
    <w:lvl w:ilvl="0">
      <w:lvlJc w:val="left"/>
      <w:lvlText w:val="%1."/>
      <w:numFmt w:val="decimal"/>
      <w:start w:val="12"/>
    </w:lvl>
  </w:abstractNum>
  <w:abstractNum w:abstractNumId="76">
    <w:nsid w:val="3C5991AA"/>
    <w:multiLevelType w:val="hybridMultilevel"/>
    <w:lvl w:ilvl="0">
      <w:lvlJc w:val="left"/>
      <w:lvlText w:val="%1."/>
      <w:numFmt w:val="decimal"/>
      <w:start w:val="13"/>
    </w:lvl>
  </w:abstractNum>
  <w:abstractNum w:abstractNumId="77">
    <w:nsid w:val="4BD8591A"/>
    <w:multiLevelType w:val="hybridMultilevel"/>
    <w:lvl w:ilvl="0">
      <w:lvlJc w:val="left"/>
      <w:lvlText w:val="(%1)"/>
      <w:numFmt w:val="lowerLetter"/>
      <w:start w:val="1"/>
    </w:lvl>
  </w:abstractNum>
  <w:abstractNum w:abstractNumId="78">
    <w:nsid w:val="78DF6A55"/>
    <w:multiLevelType w:val="hybridMultilevel"/>
    <w:lvl w:ilvl="0">
      <w:lvlJc w:val="left"/>
      <w:lvlText w:val="%1."/>
      <w:numFmt w:val="decimal"/>
      <w:start w:val="14"/>
    </w:lvl>
  </w:abstractNum>
  <w:abstractNum w:abstractNumId="79">
    <w:nsid w:val="39B7AAA2"/>
    <w:multiLevelType w:val="hybridMultilevel"/>
    <w:lvl w:ilvl="0">
      <w:lvlJc w:val="left"/>
      <w:lvlText w:val="(%1)"/>
      <w:numFmt w:val="lowerLetter"/>
      <w:start w:val="1"/>
    </w:lvl>
  </w:abstractNum>
  <w:abstractNum w:abstractNumId="80">
    <w:nsid w:val="2B0D8DBE"/>
    <w:multiLevelType w:val="hybridMultilevel"/>
    <w:lvl w:ilvl="0">
      <w:lvlJc w:val="left"/>
      <w:lvlText w:val="%1."/>
      <w:numFmt w:val="decimal"/>
      <w:start w:val="15"/>
    </w:lvl>
  </w:abstractNum>
  <w:abstractNum w:abstractNumId="81">
    <w:nsid w:val="6C80EC70"/>
    <w:multiLevelType w:val="hybridMultilevel"/>
    <w:lvl w:ilvl="0">
      <w:lvlJc w:val="left"/>
      <w:lvlText w:val="(%1)"/>
      <w:numFmt w:val="lowerLetter"/>
      <w:start w:val="1"/>
    </w:lvl>
    <w:lvl w:ilvl="1">
      <w:lvlJc w:val="left"/>
      <w:lvlText w:val="(%2)"/>
      <w:numFmt w:val="lowerRoman"/>
      <w:start w:val="1"/>
    </w:lvl>
  </w:abstractNum>
  <w:abstractNum w:abstractNumId="82">
    <w:nsid w:val="379E21B5"/>
    <w:multiLevelType w:val="hybridMultilevel"/>
    <w:lvl w:ilvl="0">
      <w:lvlJc w:val="left"/>
      <w:lvlText w:val="(%1)"/>
      <w:numFmt w:val="lowerLetter"/>
      <w:start w:val="3"/>
    </w:lvl>
  </w:abstractNum>
  <w:abstractNum w:abstractNumId="83">
    <w:nsid w:val="69E373"/>
    <w:multiLevelType w:val="hybridMultilevel"/>
    <w:lvl w:ilvl="0">
      <w:lvlJc w:val="left"/>
      <w:lvlText w:val="%1."/>
      <w:numFmt w:val="decimal"/>
      <w:start w:val="16"/>
    </w:lvl>
  </w:abstractNum>
  <w:abstractNum w:abstractNumId="84">
    <w:nsid w:val="2C27173B"/>
    <w:multiLevelType w:val="hybridMultilevel"/>
    <w:lvl w:ilvl="0">
      <w:lvlJc w:val="left"/>
      <w:lvlText w:val="(%1)"/>
      <w:numFmt w:val="lowerLetter"/>
      <w:start w:val="1"/>
    </w:lvl>
    <w:lvl w:ilvl="1">
      <w:lvlJc w:val="left"/>
      <w:lvlText w:val="(%2)"/>
      <w:numFmt w:val="lowerRoman"/>
      <w:start w:val="1"/>
    </w:lvl>
  </w:abstractNum>
  <w:abstractNum w:abstractNumId="85">
    <w:nsid w:val="4C9B0904"/>
    <w:multiLevelType w:val="hybridMultilevel"/>
    <w:lvl w:ilvl="0">
      <w:lvlJc w:val="left"/>
      <w:lvlText w:val="%1."/>
      <w:numFmt w:val="decimal"/>
      <w:start w:val="17"/>
    </w:lvl>
  </w:abstractNum>
  <w:abstractNum w:abstractNumId="86">
    <w:nsid w:val="6AA7B75C"/>
    <w:multiLevelType w:val="hybridMultilevel"/>
    <w:lvl w:ilvl="0">
      <w:lvlJc w:val="left"/>
      <w:lvlText w:val="%1."/>
      <w:numFmt w:val="decimal"/>
      <w:start w:val="18"/>
    </w:lvl>
  </w:abstractNum>
  <w:abstractNum w:abstractNumId="87">
    <w:nsid w:val="1DF029D3"/>
    <w:multiLevelType w:val="hybridMultilevel"/>
    <w:lvl w:ilvl="0">
      <w:lvlJc w:val="left"/>
      <w:lvlText w:val="%1."/>
      <w:numFmt w:val="decimal"/>
      <w:start w:val="19"/>
    </w:lvl>
  </w:abstractNum>
  <w:abstractNum w:abstractNumId="88">
    <w:nsid w:val="5675FF36"/>
    <w:multiLevelType w:val="hybridMultilevel"/>
    <w:lvl w:ilvl="0">
      <w:lvlJc w:val="left"/>
      <w:lvlText w:val="(%1)"/>
      <w:numFmt w:val="lowerLetter"/>
      <w:start w:val="1"/>
    </w:lvl>
  </w:abstractNum>
  <w:abstractNum w:abstractNumId="89">
    <w:nsid w:val="3DD15094"/>
    <w:multiLevelType w:val="hybridMultilevel"/>
    <w:lvl w:ilvl="0">
      <w:lvlJc w:val="left"/>
      <w:lvlText w:val="%1."/>
      <w:numFmt w:val="decimal"/>
      <w:start w:val="20"/>
    </w:lvl>
  </w:abstractNum>
  <w:abstractNum w:abstractNumId="90">
    <w:nsid w:val="3DB012B3"/>
    <w:multiLevelType w:val="hybridMultilevel"/>
    <w:lvl w:ilvl="0">
      <w:lvlJc w:val="left"/>
      <w:lvlText w:val="%1."/>
      <w:numFmt w:val="decimal"/>
      <w:start w:val="21"/>
    </w:lvl>
  </w:abstractNum>
  <w:abstractNum w:abstractNumId="91">
    <w:nsid w:val="2708C9AF"/>
    <w:multiLevelType w:val="hybridMultilevel"/>
    <w:lvl w:ilvl="0">
      <w:lvlJc w:val="left"/>
      <w:lvlText w:val="%1."/>
      <w:numFmt w:val="decimal"/>
      <w:start w:val="22"/>
    </w:lvl>
  </w:abstractNum>
  <w:abstractNum w:abstractNumId="92">
    <w:nsid w:val="5B25ACE2"/>
    <w:multiLevelType w:val="hybridMultilevel"/>
    <w:lvl w:ilvl="0">
      <w:lvlJc w:val="left"/>
      <w:lvlText w:val="(%1)"/>
      <w:numFmt w:val="lowerLetter"/>
      <w:start w:val="1"/>
    </w:lvl>
  </w:abstractNum>
  <w:abstractNum w:abstractNumId="93">
    <w:nsid w:val="175DFCF0"/>
    <w:multiLevelType w:val="hybridMultilevel"/>
    <w:lvl w:ilvl="0">
      <w:lvlJc w:val="left"/>
      <w:lvlText w:val="(%1)"/>
      <w:numFmt w:val="lowerLetter"/>
      <w:start w:val="2"/>
    </w:lvl>
  </w:abstractNum>
  <w:abstractNum w:abstractNumId="94">
    <w:nsid w:val="4F97E3E4"/>
    <w:multiLevelType w:val="hybridMultilevel"/>
    <w:lvl w:ilvl="0">
      <w:lvlJc w:val="left"/>
      <w:lvlText w:val="%1."/>
      <w:numFmt w:val="decimal"/>
      <w:start w:val="23"/>
    </w:lvl>
  </w:abstractNum>
  <w:abstractNum w:abstractNumId="95">
    <w:nsid w:val="53B0A9E"/>
    <w:multiLevelType w:val="hybridMultilevel"/>
    <w:lvl w:ilvl="0">
      <w:lvlJc w:val="left"/>
      <w:lvlText w:val="%1."/>
      <w:numFmt w:val="decimal"/>
      <w:start w:val="24"/>
    </w:lvl>
  </w:abstractNum>
  <w:abstractNum w:abstractNumId="96">
    <w:nsid w:val="34FD6B4F"/>
    <w:multiLevelType w:val="hybridMultilevel"/>
    <w:lvl w:ilvl="0">
      <w:lvlJc w:val="left"/>
      <w:lvlText w:val="%1"/>
      <w:numFmt w:val="lowerLetter"/>
      <w:start w:val="1"/>
    </w:lvl>
    <w:lvl w:ilvl="1">
      <w:lvlJc w:val="left"/>
      <w:lvlText w:val="(%2)"/>
      <w:numFmt w:val="lowerLetter"/>
      <w:start w:val="1"/>
    </w:lvl>
  </w:abstractNum>
  <w:abstractNum w:abstractNumId="97">
    <w:nsid w:val="5915FF32"/>
    <w:multiLevelType w:val="hybridMultilevel"/>
    <w:lvl w:ilvl="0">
      <w:lvlJc w:val="left"/>
      <w:lvlText w:val="(%1)"/>
      <w:numFmt w:val="lowerLetter"/>
      <w:start w:val="35"/>
    </w:lvl>
    <w:lvl w:ilvl="1">
      <w:lvlJc w:val="left"/>
      <w:lvlText w:val="%2"/>
      <w:numFmt w:val="lowerLetter"/>
      <w:start w:val="1"/>
    </w:lvl>
  </w:abstractNum>
  <w:abstractNum w:abstractNumId="98">
    <w:nsid w:val="56438D15"/>
    <w:multiLevelType w:val="hybridMultilevel"/>
    <w:lvl w:ilvl="0">
      <w:lvlJc w:val="left"/>
      <w:lvlText w:val="(%1)"/>
      <w:numFmt w:val="lowerLetter"/>
      <w:start w:val="3"/>
    </w:lvl>
  </w:abstractNum>
  <w:abstractNum w:abstractNumId="99">
    <w:nsid w:val="519E3149"/>
    <w:multiLevelType w:val="hybridMultilevel"/>
    <w:lvl w:ilvl="0">
      <w:lvlJc w:val="left"/>
      <w:lvlText w:val="%1."/>
      <w:numFmt w:val="decimal"/>
      <w:start w:val="25"/>
    </w:lvl>
  </w:abstractNum>
  <w:abstractNum w:abstractNumId="100">
    <w:nsid w:val="2C6E4AFD"/>
    <w:multiLevelType w:val="hybridMultilevel"/>
    <w:lvl w:ilvl="0">
      <w:lvlJc w:val="left"/>
      <w:lvlText w:val="%1."/>
      <w:numFmt w:val="decimal"/>
      <w:start w:val="26"/>
    </w:lvl>
  </w:abstractNum>
  <w:abstractNum w:abstractNumId="101">
    <w:nsid w:val="17A1B582"/>
    <w:multiLevelType w:val="hybridMultilevel"/>
    <w:lvl w:ilvl="0">
      <w:lvlJc w:val="left"/>
      <w:lvlText w:val="%1."/>
      <w:numFmt w:val="decimal"/>
      <w:start w:val="27"/>
    </w:lvl>
  </w:abstractNum>
  <w:abstractNum w:abstractNumId="102">
    <w:nsid w:val="4DF72E4E"/>
    <w:multiLevelType w:val="hybridMultilevel"/>
    <w:lvl w:ilvl="0">
      <w:lvlJc w:val="left"/>
      <w:lvlText w:val="%1."/>
      <w:numFmt w:val="decimal"/>
      <w:start w:val="28"/>
    </w:lvl>
  </w:abstractNum>
  <w:abstractNum w:abstractNumId="103">
    <w:nsid w:val="5046B5A9"/>
    <w:multiLevelType w:val="hybridMultilevel"/>
    <w:lvl w:ilvl="0">
      <w:lvlJc w:val="left"/>
      <w:lvlText w:val="%1."/>
      <w:numFmt w:val="decimal"/>
      <w:start w:val="29"/>
    </w:lvl>
  </w:abstractNum>
  <w:abstractNum w:abstractNumId="104">
    <w:nsid w:val="5D888A08"/>
    <w:multiLevelType w:val="hybridMultilevel"/>
    <w:lvl w:ilvl="0">
      <w:lvlJc w:val="left"/>
      <w:lvlText w:val="%1."/>
      <w:numFmt w:val="decimal"/>
      <w:start w:val="30"/>
    </w:lvl>
  </w:abstractNum>
  <w:abstractNum w:abstractNumId="105">
    <w:nsid w:val="2A082C70"/>
    <w:multiLevelType w:val="hybridMultilevel"/>
    <w:lvl w:ilvl="0">
      <w:lvlJc w:val="left"/>
      <w:lvlText w:val="%1."/>
      <w:numFmt w:val="decimal"/>
      <w:start w:val="31"/>
    </w:lvl>
  </w:abstractNum>
  <w:abstractNum w:abstractNumId="106">
    <w:nsid w:val="5EC6AFD4"/>
    <w:multiLevelType w:val="hybridMultilevel"/>
    <w:lvl w:ilvl="0">
      <w:lvlJc w:val="left"/>
      <w:lvlText w:val="%1."/>
      <w:numFmt w:val="decimal"/>
      <w:start w:val="32"/>
    </w:lvl>
  </w:abstractNum>
  <w:abstractNum w:abstractNumId="107">
    <w:nsid w:val="19E21BB2"/>
    <w:multiLevelType w:val="hybridMultilevel"/>
    <w:lvl w:ilvl="0">
      <w:lvlJc w:val="left"/>
      <w:lvlText w:val="%1."/>
      <w:numFmt w:val="decimal"/>
      <w:start w:val="33"/>
    </w:lvl>
  </w:abstractNum>
  <w:abstractNum w:abstractNumId="108">
    <w:nsid w:val="75E0858A"/>
    <w:multiLevelType w:val="hybridMultilevel"/>
    <w:lvl w:ilvl="0">
      <w:lvlJc w:val="left"/>
      <w:lvlText w:val="%1."/>
      <w:numFmt w:val="decimal"/>
      <w:start w:val="1"/>
    </w:lvl>
  </w:abstractNum>
  <w:abstractNum w:abstractNumId="109">
    <w:nsid w:val="57A61A29"/>
    <w:multiLevelType w:val="hybridMultilevel"/>
    <w:lvl w:ilvl="0">
      <w:lvlJc w:val="left"/>
      <w:lvlText w:val="(%1)"/>
      <w:numFmt w:val="lowerRoman"/>
      <w:start w:val="1"/>
    </w:lvl>
  </w:abstractNum>
  <w:abstractNum w:abstractNumId="110">
    <w:nsid w:val="5399C654"/>
    <w:multiLevelType w:val="hybridMultilevel"/>
    <w:lvl w:ilvl="0">
      <w:lvlJc w:val="left"/>
      <w:lvlText w:val="(%1)"/>
      <w:numFmt w:val="lowerRoman"/>
      <w:start w:val="2"/>
    </w:lvl>
  </w:abstractNum>
  <w:abstractNum w:abstractNumId="111">
    <w:nsid w:val="20EE1348"/>
    <w:multiLevelType w:val="hybridMultilevel"/>
    <w:lvl w:ilvl="0">
      <w:lvlJc w:val="left"/>
      <w:lvlText w:val="(%1)"/>
      <w:numFmt w:val="lowerRoman"/>
      <w:start w:val="4"/>
    </w:lvl>
  </w:abstractNum>
  <w:abstractNum w:abstractNumId="112">
    <w:nsid w:val="4427069A"/>
    <w:multiLevelType w:val="hybridMultilevel"/>
    <w:lvl w:ilvl="0">
      <w:lvlJc w:val="left"/>
      <w:lvlText w:val="%1."/>
      <w:numFmt w:val="decimal"/>
      <w:start w:val="1"/>
    </w:lvl>
  </w:abstractNum>
  <w:abstractNum w:abstractNumId="113">
    <w:nsid w:val="B37E80A"/>
    <w:multiLevelType w:val="hybridMultilevel"/>
    <w:lvl w:ilvl="0">
      <w:lvlJc w:val="left"/>
      <w:lvlText w:val="%1."/>
      <w:numFmt w:val="decimal"/>
      <w:start w:val="2"/>
    </w:lvl>
  </w:abstractNum>
  <w:abstractNum w:abstractNumId="114">
    <w:nsid w:val="2157F6BC"/>
    <w:multiLevelType w:val="hybridMultilevel"/>
    <w:lvl w:ilvl="0">
      <w:lvlJc w:val="left"/>
      <w:lvlText w:val="%1."/>
      <w:numFmt w:val="decimal"/>
      <w:start w:val="3"/>
    </w:lvl>
  </w:abstractNum>
  <w:abstractNum w:abstractNumId="115">
    <w:nsid w:val="704E1DD5"/>
    <w:multiLevelType w:val="hybridMultilevel"/>
    <w:lvl w:ilvl="0">
      <w:lvlJc w:val="left"/>
      <w:lvlText w:val="%1."/>
      <w:numFmt w:val="decimal"/>
      <w:start w:val="4"/>
    </w:lvl>
  </w:abstractNum>
  <w:abstractNum w:abstractNumId="116">
    <w:nsid w:val="57D2F10E"/>
    <w:multiLevelType w:val="hybridMultilevel"/>
    <w:lvl w:ilvl="0">
      <w:lvlJc w:val="left"/>
      <w:lvlText w:val="(%1)"/>
      <w:numFmt w:val="decimal"/>
      <w:start w:val="3"/>
    </w:lvl>
  </w:abstractNum>
  <w:abstractNum w:abstractNumId="117">
    <w:nsid w:val="BFFAE18"/>
    <w:multiLevelType w:val="hybridMultilevel"/>
    <w:lvl w:ilvl="0">
      <w:lvlJc w:val="left"/>
      <w:lvlText w:val="(%1)"/>
      <w:numFmt w:val="lowerLetter"/>
      <w:start w:val="1"/>
    </w:lvl>
  </w:abstractNum>
  <w:abstractNum w:abstractNumId="118">
    <w:nsid w:val="E3E47A8"/>
    <w:multiLevelType w:val="hybridMultilevel"/>
    <w:lvl w:ilvl="0">
      <w:lvlJc w:val="left"/>
      <w:lvlText w:val="%1"/>
      <w:numFmt w:val="decimal"/>
      <w:start w:val="1"/>
    </w:lvl>
    <w:lvl w:ilvl="1">
      <w:lvlJc w:val="left"/>
      <w:lvlText w:val="(%2)"/>
      <w:numFmt w:val="lowerLetter"/>
      <w:start w:val="24"/>
    </w:lvl>
  </w:abstractNum>
  <w:abstractNum w:abstractNumId="119">
    <w:nsid w:val="2E48F044"/>
    <w:multiLevelType w:val="hybridMultilevel"/>
    <w:lvl w:ilvl="0">
      <w:lvlJc w:val="left"/>
      <w:lvlText w:val="%1."/>
      <w:numFmt w:val="decimal"/>
      <w:start w:val="5"/>
    </w:lvl>
    <w:lvl w:ilvl="1">
      <w:lvlJc w:val="left"/>
      <w:lvlText w:val="%2"/>
      <w:numFmt w:val="lowerLetter"/>
      <w:start w:val="1"/>
    </w:lvl>
  </w:abstractNum>
  <w:abstractNum w:abstractNumId="120">
    <w:nsid w:val="49D0FEAC"/>
    <w:multiLevelType w:val="hybridMultilevel"/>
    <w:lvl w:ilvl="0">
      <w:lvlJc w:val="left"/>
      <w:lvlText w:val="%1."/>
      <w:numFmt w:val="decimal"/>
      <w:start w:val="6"/>
    </w:lvl>
  </w:abstractNum>
  <w:abstractNum w:abstractNumId="121">
    <w:nsid w:val="4BEE5A5B"/>
    <w:multiLevelType w:val="hybridMultilevel"/>
    <w:lvl w:ilvl="0">
      <w:lvlJc w:val="left"/>
      <w:lvlText w:val="%1."/>
      <w:numFmt w:val="decimal"/>
      <w:start w:val="7"/>
    </w:lvl>
  </w:abstractNum>
  <w:abstractNum w:abstractNumId="122">
    <w:nsid w:val="5551B9F3"/>
    <w:multiLevelType w:val="hybridMultilevel"/>
    <w:lvl w:ilvl="0">
      <w:lvlJc w:val="left"/>
      <w:lvlText w:val="%1."/>
      <w:numFmt w:val="decimal"/>
      <w:start w:val="8"/>
    </w:lvl>
  </w:abstractNum>
  <w:abstractNum w:abstractNumId="123">
    <w:nsid w:val="24F6AB8E"/>
    <w:multiLevelType w:val="hybridMultilevel"/>
    <w:lvl w:ilvl="0">
      <w:lvlJc w:val="left"/>
      <w:lvlText w:val="%1."/>
      <w:numFmt w:val="decimal"/>
      <w:start w:val="9"/>
    </w:lvl>
  </w:abstractNum>
  <w:abstractNum w:abstractNumId="124">
    <w:nsid w:val="634C574C"/>
    <w:multiLevelType w:val="hybridMultilevel"/>
    <w:lvl w:ilvl="0">
      <w:lvlJc w:val="left"/>
      <w:lvlText w:val="%1."/>
      <w:numFmt w:val="decimal"/>
      <w:start w:val="10"/>
    </w:lvl>
  </w:abstractNum>
  <w:abstractNum w:abstractNumId="125">
    <w:nsid w:val="24E99DD7"/>
    <w:multiLevelType w:val="hybridMultilevel"/>
    <w:lvl w:ilvl="0">
      <w:lvlJc w:val="left"/>
      <w:lvlText w:val="%1."/>
      <w:numFmt w:val="decimal"/>
      <w:start w:val="11"/>
    </w:lvl>
  </w:abstractNum>
  <w:abstractNum w:abstractNumId="126">
    <w:nsid w:val="2A31B62D"/>
    <w:multiLevelType w:val="hybridMultilevel"/>
    <w:lvl w:ilvl="0">
      <w:lvlJc w:val="left"/>
      <w:lvlText w:val="(%1)"/>
      <w:numFmt w:val="lowerLetter"/>
      <w:start w:val="1"/>
    </w:lvl>
  </w:abstractNum>
  <w:abstractNum w:abstractNumId="127">
    <w:nsid w:val="1849C29B"/>
    <w:multiLevelType w:val="hybridMultilevel"/>
    <w:lvl w:ilvl="0">
      <w:lvlJc w:val="left"/>
      <w:lvlText w:val="%1"/>
      <w:numFmt w:val="decimal"/>
      <w:start w:val="1"/>
    </w:lvl>
    <w:lvl w:ilvl="1">
      <w:lvlJc w:val="left"/>
      <w:lvlText w:val="(%2)"/>
      <w:numFmt w:val="lowerLetter"/>
      <w:start w:val="2"/>
    </w:lvl>
  </w:abstractNum>
  <w:abstractNum w:abstractNumId="128">
    <w:nsid w:val="7DFF9D09"/>
    <w:multiLevelType w:val="hybridMultilevel"/>
    <w:lvl w:ilvl="0">
      <w:lvlJc w:val="left"/>
      <w:lvlText w:val="%1."/>
      <w:numFmt w:val="decimal"/>
      <w:start w:val="12"/>
    </w:lvl>
    <w:lvl w:ilvl="1">
      <w:lvlJc w:val="left"/>
      <w:lvlText w:val="%2"/>
      <w:numFmt w:val="lowerLetter"/>
      <w:start w:val="1"/>
    </w:lvl>
  </w:abstractNum>
  <w:abstractNum w:abstractNumId="129">
    <w:nsid w:val="754342"/>
    <w:multiLevelType w:val="hybridMultilevel"/>
    <w:lvl w:ilvl="0">
      <w:lvlJc w:val="left"/>
      <w:lvlText w:val="(%1)"/>
      <w:numFmt w:val="lowerRoman"/>
      <w:start w:val="1"/>
    </w:lvl>
  </w:abstractNum>
  <w:abstractNum w:abstractNumId="130">
    <w:nsid w:val="69E7F3E5"/>
    <w:multiLevelType w:val="hybridMultilevel"/>
    <w:lvl w:ilvl="0">
      <w:lvlJc w:val="left"/>
      <w:lvlText w:val="(%1)"/>
      <w:numFmt w:val="lowerRoman"/>
      <w:start w:val="3"/>
    </w:lvl>
  </w:abstractNum>
  <w:abstractNum w:abstractNumId="131">
    <w:nsid w:val="2A6DE806"/>
    <w:multiLevelType w:val="hybridMultilevel"/>
    <w:lvl w:ilvl="0">
      <w:lvlJc w:val="left"/>
      <w:lvlText w:val="(%1)"/>
      <w:numFmt w:val="lowerRoman"/>
      <w:start w:val="1"/>
    </w:lvl>
  </w:abstractNum>
  <w:abstractNum w:abstractNumId="132">
    <w:nsid w:val="1816F8C4"/>
    <w:multiLevelType w:val="hybridMultilevel"/>
    <w:lvl w:ilvl="0">
      <w:lvlJc w:val="left"/>
      <w:lvlText w:val="(%1)"/>
      <w:numFmt w:val="lowerRoman"/>
      <w:start w:val="1"/>
    </w:lvl>
  </w:abstractNum>
  <w:abstractNum w:abstractNumId="133">
    <w:nsid w:val="37DF2233"/>
    <w:multiLevelType w:val="hybridMultilevel"/>
    <w:lvl w:ilvl="0">
      <w:lvlJc w:val="left"/>
      <w:lvlText w:val="(%1)"/>
      <w:numFmt w:val="lowerRoman"/>
      <w:start w:val="2"/>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1."/>
      <w:numFmt w:val="decimal"/>
      <w:start w:val="13"/>
    </w:lvl>
  </w:abstractNum>
  <w:abstractNum w:abstractNumId="136">
    <w:nsid w:val="61E74EA3"/>
    <w:multiLevelType w:val="hybridMultilevel"/>
    <w:lvl w:ilvl="0">
      <w:lvlJc w:val="left"/>
      <w:lvlText w:val="%1."/>
      <w:numFmt w:val="decimal"/>
      <w:start w:val="14"/>
    </w:lvl>
  </w:abstractNum>
  <w:abstractNum w:abstractNumId="137">
    <w:nsid w:val="597B4D84"/>
    <w:multiLevelType w:val="hybridMultilevel"/>
    <w:lvl w:ilvl="0">
      <w:lvlJc w:val="left"/>
      <w:lvlText w:val="%1."/>
      <w:numFmt w:val="decimal"/>
      <w:start w:val="15"/>
    </w:lvl>
  </w:abstractNum>
  <w:abstractNum w:abstractNumId="138">
    <w:nsid w:val="F819E7F"/>
    <w:multiLevelType w:val="hybridMultilevel"/>
    <w:lvl w:ilvl="0">
      <w:lvlJc w:val="left"/>
      <w:lvlText w:val="(%1)"/>
      <w:numFmt w:val="lowerLetter"/>
      <w:start w:val="2"/>
    </w:lvl>
  </w:abstractNum>
  <w:abstractNum w:abstractNumId="139">
    <w:nsid w:val="57C7D42D"/>
    <w:multiLevelType w:val="hybridMultilevel"/>
    <w:lvl w:ilvl="0">
      <w:lvlJc w:val="left"/>
      <w:lvlText w:val="%1."/>
      <w:numFmt w:val="decimal"/>
      <w:start w:val="16"/>
    </w:lvl>
  </w:abstractNum>
  <w:abstractNum w:abstractNumId="140">
    <w:nsid w:val="312167AD"/>
    <w:multiLevelType w:val="hybridMultilevel"/>
    <w:lvl w:ilvl="0">
      <w:lvlJc w:val="left"/>
      <w:lvlText w:val="%1."/>
      <w:numFmt w:val="decimal"/>
      <w:start w:val="17"/>
    </w:lvl>
  </w:abstractNum>
  <w:abstractNum w:abstractNumId="141">
    <w:nsid w:val="631B64D4"/>
    <w:multiLevelType w:val="hybridMultilevel"/>
    <w:lvl w:ilvl="0">
      <w:lvlJc w:val="left"/>
      <w:lvlText w:val="%1."/>
      <w:numFmt w:val="decimal"/>
      <w:start w:val="18"/>
    </w:lvl>
  </w:abstractNum>
  <w:abstractNum w:abstractNumId="142">
    <w:nsid w:val="78B5E776"/>
    <w:multiLevelType w:val="hybridMultilevel"/>
    <w:lvl w:ilvl="0">
      <w:lvlJc w:val="left"/>
      <w:lvlText w:val="%1."/>
      <w:numFmt w:val="decimal"/>
      <w:start w:val="19"/>
    </w:lvl>
  </w:abstractNum>
  <w:abstractNum w:abstractNumId="143">
    <w:nsid w:val="75486E47"/>
    <w:multiLevelType w:val="hybridMultilevel"/>
    <w:lvl w:ilvl="0">
      <w:lvlJc w:val="left"/>
      <w:lvlText w:val="%1."/>
      <w:numFmt w:val="decimal"/>
      <w:start w:val="20"/>
    </w:lvl>
  </w:abstractNum>
  <w:abstractNum w:abstractNumId="144">
    <w:nsid w:val="6E534CDE"/>
    <w:multiLevelType w:val="hybridMultilevel"/>
    <w:lvl w:ilvl="0">
      <w:lvlJc w:val="left"/>
      <w:lvlText w:val="%1."/>
      <w:numFmt w:val="decimal"/>
      <w:start w:val="21"/>
    </w:lvl>
  </w:abstractNum>
  <w:abstractNum w:abstractNumId="145">
    <w:nsid w:val="1A0DDE32"/>
    <w:multiLevelType w:val="hybridMultilevel"/>
    <w:lvl w:ilvl="0">
      <w:lvlJc w:val="left"/>
      <w:lvlText w:val="%1."/>
      <w:numFmt w:val="decimal"/>
      <w:start w:val="22"/>
    </w:lvl>
  </w:abstractNum>
  <w:abstractNum w:abstractNumId="146">
    <w:nsid w:val="65968C1C"/>
    <w:multiLevelType w:val="hybridMultilevel"/>
    <w:lvl w:ilvl="0">
      <w:lvlJc w:val="left"/>
      <w:lvlText w:val="☐"/>
      <w:numFmt w:val="bullet"/>
      <w:start w:val="1"/>
    </w:lvl>
  </w:abstractNum>
  <w:abstractNum w:abstractNumId="147">
    <w:nsid w:val="46263DEC"/>
    <w:multiLevelType w:val="hybridMultilevel"/>
    <w:lvl w:ilvl="0">
      <w:lvlJc w:val="left"/>
      <w:lvlText w:val="☐"/>
      <w:numFmt w:val="bullet"/>
      <w:start w:val="1"/>
    </w:lvl>
  </w:abstractNum>
  <w:abstractNum w:abstractNumId="148">
    <w:nsid w:val="260D8C4A"/>
    <w:multiLevelType w:val="hybridMultilevel"/>
    <w:lvl w:ilvl="0">
      <w:lvlJc w:val="left"/>
      <w:lvlText w:val="%1."/>
      <w:numFmt w:val="decimal"/>
      <w:start w:val="1"/>
    </w:lvl>
    <w:lvl w:ilvl="1">
      <w:lvlJc w:val="left"/>
      <w:lvlText w:val="(%2)"/>
      <w:numFmt w:val="lowerLetter"/>
      <w:start w:val="1"/>
    </w:lvl>
  </w:abstractNum>
  <w:abstractNum w:abstractNumId="149">
    <w:nsid w:val="73D4D3C4"/>
    <w:multiLevelType w:val="hybridMultilevel"/>
    <w:lvl w:ilvl="0">
      <w:lvlJc w:val="left"/>
      <w:lvlText w:val="%1."/>
      <w:numFmt w:val="decimal"/>
      <w:start w:val="1"/>
    </w:lvl>
    <w:lvl w:ilvl="1">
      <w:lvlJc w:val="left"/>
      <w:lvlText w:val="(%2)"/>
      <w:numFmt w:val="lowerLetter"/>
      <w:start w:val="1"/>
    </w:lvl>
  </w:abstractNum>
  <w:abstractNum w:abstractNumId="150">
    <w:nsid w:val="746F2E30"/>
    <w:multiLevelType w:val="hybridMultilevel"/>
    <w:lvl w:ilvl="0">
      <w:lvlJc w:val="left"/>
      <w:lvlText w:val="(%1)"/>
      <w:numFmt w:val="decimal"/>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82" Type="http://schemas.openxmlformats.org/officeDocument/2006/relationships/hyperlink" Target="http://www.sec.gov/Archives/edgar/data/1527599/000110465917032941/a17-13113_1ex2d1.htm" TargetMode="External"/><Relationship Id="rId83" Type="http://schemas.openxmlformats.org/officeDocument/2006/relationships/hyperlink" Target="http://www.sec.gov/Archives/edgar/data/1527599/000119312517270395/d431294dex31.htm" TargetMode="External"/><Relationship Id="rId84" Type="http://schemas.openxmlformats.org/officeDocument/2006/relationships/hyperlink" Target="http://www.sec.gov/Archives/edgar/data/1527599/000119312517270395/d431294dex32.htm" TargetMode="External"/><Relationship Id="rId85" Type="http://schemas.openxmlformats.org/officeDocument/2006/relationships/hyperlink" Target="http://www.sec.gov/Archives/edgar/data/1527599/000104746915007251/a2225898zex-10_13.htm" TargetMode="External"/><Relationship Id="rId86" Type="http://schemas.openxmlformats.org/officeDocument/2006/relationships/hyperlink" Target="http://www.sec.gov/Archives/edgar/data/1527599/000119312517270395/d431294dex102.htm" TargetMode="External"/><Relationship Id="rId87" Type="http://schemas.openxmlformats.org/officeDocument/2006/relationships/hyperlink" Target="http://www.sec.gov/Archives/edgar/data/1527599/000119312517270395/d431294dex103.htm" TargetMode="External"/><Relationship Id="rId88" Type="http://schemas.openxmlformats.org/officeDocument/2006/relationships/hyperlink" Target="http://www.sec.gov/Archives/edgar/data/1527599/000119312517270395/d431294dex104.htm" TargetMode="External"/><Relationship Id="rId89" Type="http://schemas.openxmlformats.org/officeDocument/2006/relationships/hyperlink" Target="http://www.sec.gov/Archives/edgar/data/1527599/000119312517270395/d431294dex105.htm" TargetMode="External"/><Relationship Id="rId90" Type="http://schemas.openxmlformats.org/officeDocument/2006/relationships/hyperlink" Target="http://www.sec.gov/Archives/edgar/data/1527599/000119312517270395/d431294dex106.htm" TargetMode="External"/><Relationship Id="rId91" Type="http://schemas.openxmlformats.org/officeDocument/2006/relationships/hyperlink" Target="http://www.sec.gov/Archives/edgar/data/1527599/000119312517270395/d431294dex107.htm" TargetMode="External"/><Relationship Id="rId92" Type="http://schemas.openxmlformats.org/officeDocument/2006/relationships/hyperlink" Target="http://www.sec.gov/Archives/edgar/data/1527599/000119312517270395/d431294dex108.htm" TargetMode="External"/><Relationship Id="rId93" Type="http://schemas.openxmlformats.org/officeDocument/2006/relationships/hyperlink" Target="http://www.sec.gov/Archives/edgar/data/1527599/000119312517270395/d431294dex109.htm" TargetMode="External"/><Relationship Id="rId94" Type="http://schemas.openxmlformats.org/officeDocument/2006/relationships/hyperlink" Target="http://www.sec.gov/Archives/edgar/data/1527599/000119312517270395/d431294dex1010.htm" TargetMode="External"/><Relationship Id="rId95" Type="http://schemas.openxmlformats.org/officeDocument/2006/relationships/hyperlink" Target="http://www.sec.gov/Archives/edgar/data/1527599/000119312517270395/d431294dex1011.htm" TargetMode="External"/><Relationship Id="rId96" Type="http://schemas.openxmlformats.org/officeDocument/2006/relationships/hyperlink" Target="http://www.sec.gov/Archives/edgar/data/1527599/000119312517270395/d431294dex1012.htm" TargetMode="External"/><Relationship Id="rId97" Type="http://schemas.openxmlformats.org/officeDocument/2006/relationships/hyperlink" Target="http://www.sec.gov/Archives/edgar/data/1527599/000119312517270395/d431294dex1013.htm" TargetMode="External"/><Relationship Id="rId98" Type="http://schemas.openxmlformats.org/officeDocument/2006/relationships/hyperlink" Target="http://www.sec.gov/Archives/edgar/data/1527599/000119312517270395/d431294dex1014.htm" TargetMode="External"/><Relationship Id="rId99" Type="http://schemas.openxmlformats.org/officeDocument/2006/relationships/hyperlink" Target="http://www.sec.gov/Archives/edgar/data/1527599/000119312517270395/d431294dex1015.htm" TargetMode="External"/><Relationship Id="rId100" Type="http://schemas.openxmlformats.org/officeDocument/2006/relationships/hyperlink" Target="http://www.sec.gov/Archives/edgar/data/1527599/000119312517307077/d469197dex101.htm" TargetMode="External"/><Relationship Id="rId101" Type="http://schemas.openxmlformats.org/officeDocument/2006/relationships/hyperlink" Target="http://www.sec.gov/Archives/edgar/data/1527599/000119312517310897/d671201dex11.htm" TargetMode="External"/><Relationship Id="rId102" Type="http://schemas.openxmlformats.org/officeDocument/2006/relationships/hyperlink" Target="http://www.sec.gov/Archives/edgar/data/1527599/000119312517270395/d431294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2019-12-29T03:18:29Z</dcterms:created>
  <dcterms:modified xsi:type="dcterms:W3CDTF">2019-12-29T03:18:29Z</dcterms:modified>
</cp:coreProperties>
</file>